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22D" w:rsidRPr="000818A2" w:rsidRDefault="001A122D" w:rsidP="001A122D">
      <w:pPr>
        <w:pStyle w:val="default"/>
        <w:rPr>
          <w:b/>
          <w:sz w:val="28"/>
          <w:szCs w:val="28"/>
        </w:rPr>
      </w:pPr>
    </w:p>
    <w:p w:rsidR="001A122D" w:rsidRDefault="001A122D" w:rsidP="001A122D">
      <w:pPr>
        <w:pStyle w:val="default"/>
        <w:rPr>
          <w:b/>
        </w:rPr>
      </w:pPr>
    </w:p>
    <w:p w:rsidR="001A122D" w:rsidRDefault="001A122D" w:rsidP="001A122D">
      <w:pPr>
        <w:pStyle w:val="default"/>
        <w:rPr>
          <w:b/>
        </w:rPr>
      </w:pPr>
    </w:p>
    <w:p w:rsidR="001A122D" w:rsidRDefault="001A122D" w:rsidP="001A122D">
      <w:pPr>
        <w:pStyle w:val="default"/>
        <w:rPr>
          <w:b/>
        </w:rPr>
      </w:pPr>
    </w:p>
    <w:p w:rsidR="001A122D" w:rsidRDefault="001A122D" w:rsidP="001A122D">
      <w:pPr>
        <w:pStyle w:val="default"/>
        <w:rPr>
          <w:b/>
        </w:rPr>
      </w:pPr>
    </w:p>
    <w:p w:rsidR="001A122D" w:rsidRDefault="001A122D" w:rsidP="001A122D">
      <w:pPr>
        <w:pStyle w:val="default"/>
        <w:rPr>
          <w:b/>
        </w:rPr>
      </w:pPr>
    </w:p>
    <w:p w:rsidR="001A122D" w:rsidRPr="00FD7300" w:rsidRDefault="008258D8" w:rsidP="00CA6C7D">
      <w:pPr>
        <w:pStyle w:val="default"/>
        <w:rPr>
          <w:b/>
          <w:color w:val="365F91"/>
          <w:sz w:val="40"/>
          <w:szCs w:val="40"/>
        </w:rPr>
      </w:pPr>
      <w:r>
        <w:rPr>
          <w:b/>
          <w:sz w:val="40"/>
          <w:szCs w:val="40"/>
        </w:rPr>
        <w:tab/>
      </w:r>
      <w:r>
        <w:rPr>
          <w:b/>
          <w:sz w:val="40"/>
          <w:szCs w:val="40"/>
        </w:rPr>
        <w:tab/>
      </w:r>
      <w:r w:rsidR="005946F5" w:rsidRPr="005946F5">
        <w:rPr>
          <w:b/>
          <w:color w:val="365F91"/>
          <w:sz w:val="40"/>
          <w:szCs w:val="40"/>
        </w:rPr>
        <w:t xml:space="preserve">NIEA Business Plan </w:t>
      </w:r>
      <w:r w:rsidR="00011CB1">
        <w:rPr>
          <w:b/>
          <w:color w:val="365F91"/>
          <w:sz w:val="40"/>
          <w:szCs w:val="40"/>
        </w:rPr>
        <w:t>2017-18</w:t>
      </w:r>
    </w:p>
    <w:p w:rsidR="00EE38BC" w:rsidRDefault="00EE38BC">
      <w:pPr>
        <w:spacing w:after="200" w:line="276" w:lineRule="auto"/>
        <w:rPr>
          <w:rFonts w:ascii="Arial" w:hAnsi="Arial" w:cs="Arial"/>
          <w:b/>
          <w:color w:val="000000"/>
          <w:sz w:val="24"/>
          <w:szCs w:val="24"/>
          <w:lang w:eastAsia="en-GB"/>
        </w:rPr>
      </w:pPr>
      <w:r>
        <w:rPr>
          <w:b/>
        </w:rPr>
        <w:br w:type="page"/>
      </w:r>
    </w:p>
    <w:p w:rsidR="00471504" w:rsidRDefault="00471504" w:rsidP="00471504">
      <w:pPr>
        <w:pStyle w:val="default"/>
        <w:rPr>
          <w:b/>
        </w:rPr>
      </w:pPr>
      <w:r w:rsidRPr="00ED6903">
        <w:rPr>
          <w:b/>
        </w:rPr>
        <w:t>C</w:t>
      </w:r>
      <w:r>
        <w:rPr>
          <w:b/>
        </w:rPr>
        <w:t>ONTENTS</w:t>
      </w:r>
    </w:p>
    <w:p w:rsidR="00471504" w:rsidRPr="00ED6903" w:rsidRDefault="00471504" w:rsidP="00471504">
      <w:pPr>
        <w:pStyle w:val="default"/>
        <w:rPr>
          <w:b/>
        </w:rPr>
      </w:pPr>
    </w:p>
    <w:p w:rsidR="00471504" w:rsidRPr="00ED6903" w:rsidRDefault="00471504" w:rsidP="00471504">
      <w:pPr>
        <w:pStyle w:val="default"/>
        <w:rPr>
          <w:b/>
        </w:rPr>
      </w:pPr>
      <w:r>
        <w:rPr>
          <w:b/>
        </w:rPr>
        <w:t>¯¯¯¯¯¯¯¯¯¯¯¯¯¯¯¯¯¯¯¯¯¯¯¯¯¯¯¯¯¯¯¯¯¯¯¯¯¯¯¯¯¯¯¯¯¯¯¯¯¯¯¯¯¯¯¯¯¯¯¯¯¯¯¯¯¯¯¯</w:t>
      </w:r>
    </w:p>
    <w:p w:rsidR="00523110" w:rsidRDefault="00523110" w:rsidP="00471504">
      <w:pPr>
        <w:pStyle w:val="default"/>
        <w:rPr>
          <w:b/>
        </w:rPr>
      </w:pPr>
      <w:r>
        <w:rPr>
          <w:b/>
        </w:rPr>
        <w:t>Chief Executive’s Foreword</w:t>
      </w:r>
      <w:r>
        <w:rPr>
          <w:b/>
        </w:rPr>
        <w:tab/>
      </w:r>
      <w:r w:rsidR="001C7ACB">
        <w:rPr>
          <w:b/>
        </w:rPr>
        <w:tab/>
      </w:r>
      <w:r w:rsidR="001C7ACB">
        <w:rPr>
          <w:b/>
        </w:rPr>
        <w:tab/>
      </w:r>
      <w:r w:rsidR="001C7ACB">
        <w:rPr>
          <w:b/>
        </w:rPr>
        <w:tab/>
      </w:r>
      <w:r w:rsidR="001C7ACB">
        <w:rPr>
          <w:b/>
        </w:rPr>
        <w:tab/>
      </w:r>
      <w:r w:rsidR="001C7ACB">
        <w:rPr>
          <w:b/>
        </w:rPr>
        <w:tab/>
      </w:r>
      <w:r w:rsidR="001C7ACB">
        <w:rPr>
          <w:b/>
        </w:rPr>
        <w:tab/>
        <w:t>3</w:t>
      </w:r>
      <w:r>
        <w:rPr>
          <w:b/>
        </w:rPr>
        <w:tab/>
      </w:r>
      <w:r>
        <w:rPr>
          <w:b/>
        </w:rPr>
        <w:tab/>
      </w:r>
      <w:r>
        <w:rPr>
          <w:b/>
        </w:rPr>
        <w:tab/>
      </w:r>
      <w:r>
        <w:rPr>
          <w:b/>
        </w:rPr>
        <w:tab/>
      </w:r>
      <w:r>
        <w:rPr>
          <w:b/>
        </w:rPr>
        <w:tab/>
      </w:r>
      <w:r>
        <w:rPr>
          <w:b/>
        </w:rPr>
        <w:tab/>
      </w:r>
    </w:p>
    <w:p w:rsidR="00471504" w:rsidRDefault="00471504" w:rsidP="00523110">
      <w:pPr>
        <w:pStyle w:val="default"/>
        <w:rPr>
          <w:b/>
        </w:rPr>
      </w:pPr>
      <w:r>
        <w:rPr>
          <w:b/>
        </w:rPr>
        <w:t>Introduction</w:t>
      </w:r>
      <w:r>
        <w:rPr>
          <w:b/>
        </w:rPr>
        <w:tab/>
      </w:r>
      <w:r>
        <w:rPr>
          <w:b/>
        </w:rPr>
        <w:tab/>
      </w:r>
      <w:r>
        <w:rPr>
          <w:b/>
        </w:rPr>
        <w:tab/>
      </w:r>
      <w:r>
        <w:rPr>
          <w:b/>
        </w:rPr>
        <w:tab/>
      </w:r>
      <w:r>
        <w:rPr>
          <w:b/>
        </w:rPr>
        <w:tab/>
      </w:r>
      <w:r>
        <w:rPr>
          <w:b/>
        </w:rPr>
        <w:tab/>
      </w:r>
      <w:r>
        <w:rPr>
          <w:b/>
        </w:rPr>
        <w:tab/>
      </w:r>
      <w:r>
        <w:rPr>
          <w:b/>
        </w:rPr>
        <w:tab/>
      </w:r>
      <w:r>
        <w:rPr>
          <w:b/>
        </w:rPr>
        <w:tab/>
      </w:r>
      <w:r>
        <w:rPr>
          <w:b/>
        </w:rPr>
        <w:tab/>
      </w:r>
      <w:r w:rsidR="001C7ACB">
        <w:rPr>
          <w:b/>
        </w:rPr>
        <w:t>5</w:t>
      </w:r>
    </w:p>
    <w:p w:rsidR="00471504" w:rsidRDefault="00471504" w:rsidP="00471504">
      <w:pPr>
        <w:pStyle w:val="default"/>
        <w:rPr>
          <w:b/>
        </w:rPr>
      </w:pPr>
    </w:p>
    <w:p w:rsidR="00471504" w:rsidRDefault="001C7ACB" w:rsidP="00A455FF">
      <w:pPr>
        <w:pStyle w:val="default"/>
        <w:rPr>
          <w:b/>
        </w:rPr>
      </w:pPr>
      <w:r>
        <w:rPr>
          <w:b/>
          <w:color w:val="auto"/>
        </w:rPr>
        <w:t>Structure</w:t>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t>5</w:t>
      </w:r>
      <w:r w:rsidR="00DC24A2">
        <w:rPr>
          <w:b/>
          <w:color w:val="auto"/>
        </w:rPr>
        <w:tab/>
      </w:r>
      <w:r w:rsidR="00CF50BB">
        <w:rPr>
          <w:b/>
          <w:color w:val="auto"/>
        </w:rPr>
        <w:tab/>
      </w:r>
      <w:r w:rsidR="00CF50BB">
        <w:rPr>
          <w:b/>
          <w:color w:val="auto"/>
        </w:rPr>
        <w:tab/>
      </w:r>
      <w:r w:rsidR="00471504">
        <w:rPr>
          <w:b/>
        </w:rPr>
        <w:tab/>
      </w:r>
      <w:r w:rsidR="00471504">
        <w:rPr>
          <w:b/>
        </w:rPr>
        <w:tab/>
      </w:r>
      <w:r w:rsidR="00471504">
        <w:rPr>
          <w:b/>
        </w:rPr>
        <w:tab/>
      </w:r>
      <w:r w:rsidR="00471504">
        <w:rPr>
          <w:b/>
        </w:rPr>
        <w:tab/>
      </w:r>
      <w:r w:rsidR="00471504">
        <w:rPr>
          <w:b/>
        </w:rPr>
        <w:tab/>
      </w:r>
      <w:r w:rsidR="00471504">
        <w:rPr>
          <w:b/>
        </w:rPr>
        <w:tab/>
      </w:r>
    </w:p>
    <w:p w:rsidR="00CF50BB" w:rsidRDefault="00CF50BB">
      <w:pPr>
        <w:pStyle w:val="default"/>
        <w:rPr>
          <w:b/>
        </w:rPr>
      </w:pPr>
      <w:r>
        <w:rPr>
          <w:b/>
        </w:rPr>
        <w:t xml:space="preserve">Strategic </w:t>
      </w:r>
      <w:r w:rsidR="001C7ACB">
        <w:rPr>
          <w:b/>
        </w:rPr>
        <w:t>Context</w:t>
      </w:r>
      <w:r w:rsidR="001C7ACB">
        <w:rPr>
          <w:b/>
        </w:rPr>
        <w:tab/>
      </w:r>
      <w:r w:rsidR="001C7ACB">
        <w:rPr>
          <w:b/>
        </w:rPr>
        <w:tab/>
      </w:r>
      <w:r w:rsidR="001C7ACB">
        <w:rPr>
          <w:b/>
        </w:rPr>
        <w:tab/>
      </w:r>
      <w:r w:rsidR="001C7ACB">
        <w:rPr>
          <w:b/>
        </w:rPr>
        <w:tab/>
      </w:r>
      <w:r w:rsidR="001C7ACB">
        <w:rPr>
          <w:b/>
        </w:rPr>
        <w:tab/>
      </w:r>
      <w:r w:rsidR="001C7ACB">
        <w:rPr>
          <w:b/>
        </w:rPr>
        <w:tab/>
      </w:r>
      <w:r w:rsidR="001C7ACB">
        <w:rPr>
          <w:b/>
        </w:rPr>
        <w:tab/>
      </w:r>
      <w:bookmarkStart w:id="0" w:name="_GoBack"/>
      <w:bookmarkEnd w:id="0"/>
      <w:r w:rsidR="001C7ACB">
        <w:rPr>
          <w:b/>
        </w:rPr>
        <w:tab/>
      </w:r>
      <w:r w:rsidR="001C7ACB">
        <w:rPr>
          <w:b/>
        </w:rPr>
        <w:tab/>
        <w:t>6</w:t>
      </w:r>
      <w:r>
        <w:rPr>
          <w:b/>
        </w:rPr>
        <w:tab/>
      </w:r>
      <w:r>
        <w:rPr>
          <w:b/>
        </w:rPr>
        <w:tab/>
      </w:r>
      <w:r>
        <w:rPr>
          <w:b/>
        </w:rPr>
        <w:tab/>
      </w:r>
      <w:r>
        <w:rPr>
          <w:b/>
        </w:rPr>
        <w:tab/>
      </w:r>
      <w:r>
        <w:rPr>
          <w:b/>
        </w:rPr>
        <w:tab/>
      </w:r>
      <w:r>
        <w:rPr>
          <w:b/>
        </w:rPr>
        <w:tab/>
      </w:r>
      <w:r>
        <w:rPr>
          <w:b/>
        </w:rPr>
        <w:tab/>
      </w:r>
    </w:p>
    <w:p w:rsidR="00471504" w:rsidRDefault="005946F5" w:rsidP="00471504">
      <w:pPr>
        <w:pStyle w:val="default"/>
        <w:rPr>
          <w:b/>
        </w:rPr>
      </w:pPr>
      <w:r w:rsidRPr="005946F5">
        <w:rPr>
          <w:b/>
          <w:color w:val="auto"/>
        </w:rPr>
        <w:t>Business Planning/</w:t>
      </w:r>
      <w:r w:rsidR="001C7ACB">
        <w:rPr>
          <w:b/>
          <w:color w:val="auto"/>
        </w:rPr>
        <w:t>Reporting</w:t>
      </w:r>
      <w:r w:rsidR="002702AE">
        <w:rPr>
          <w:b/>
          <w:color w:val="auto"/>
        </w:rPr>
        <w:tab/>
      </w:r>
      <w:r w:rsidR="002702AE">
        <w:rPr>
          <w:b/>
          <w:color w:val="auto"/>
        </w:rPr>
        <w:tab/>
      </w:r>
      <w:r w:rsidR="00471504">
        <w:rPr>
          <w:b/>
        </w:rPr>
        <w:tab/>
      </w:r>
      <w:r w:rsidR="00471504">
        <w:rPr>
          <w:b/>
        </w:rPr>
        <w:tab/>
      </w:r>
      <w:r w:rsidR="00043941">
        <w:rPr>
          <w:b/>
        </w:rPr>
        <w:tab/>
      </w:r>
      <w:r w:rsidR="00043941">
        <w:rPr>
          <w:b/>
        </w:rPr>
        <w:tab/>
      </w:r>
      <w:r w:rsidR="00043941">
        <w:rPr>
          <w:b/>
        </w:rPr>
        <w:tab/>
        <w:t>8</w:t>
      </w:r>
      <w:r w:rsidR="00CF50BB">
        <w:rPr>
          <w:b/>
        </w:rPr>
        <w:tab/>
      </w:r>
      <w:r w:rsidR="00CF50BB">
        <w:rPr>
          <w:b/>
        </w:rPr>
        <w:tab/>
      </w:r>
      <w:r w:rsidR="00CF50BB">
        <w:rPr>
          <w:b/>
        </w:rPr>
        <w:tab/>
      </w:r>
      <w:r w:rsidR="00CF50BB">
        <w:rPr>
          <w:b/>
        </w:rPr>
        <w:tab/>
      </w:r>
      <w:r w:rsidR="00CF50BB">
        <w:rPr>
          <w:b/>
        </w:rPr>
        <w:tab/>
      </w:r>
    </w:p>
    <w:p w:rsidR="00661FEB" w:rsidRDefault="001E7DF1">
      <w:pPr>
        <w:pStyle w:val="default"/>
        <w:rPr>
          <w:b/>
        </w:rPr>
      </w:pPr>
      <w:r>
        <w:rPr>
          <w:b/>
        </w:rPr>
        <w:t>Targets</w:t>
      </w:r>
      <w:r w:rsidR="00A51B01">
        <w:rPr>
          <w:b/>
        </w:rPr>
        <w:tab/>
      </w:r>
      <w:r w:rsidR="00471504">
        <w:rPr>
          <w:b/>
        </w:rPr>
        <w:tab/>
      </w:r>
      <w:r w:rsidR="00523110">
        <w:rPr>
          <w:b/>
        </w:rPr>
        <w:tab/>
      </w:r>
      <w:r w:rsidR="00523110">
        <w:rPr>
          <w:b/>
        </w:rPr>
        <w:tab/>
      </w:r>
      <w:r>
        <w:rPr>
          <w:b/>
        </w:rPr>
        <w:t xml:space="preserve">                  </w:t>
      </w:r>
      <w:r w:rsidR="00471504">
        <w:rPr>
          <w:b/>
        </w:rPr>
        <w:tab/>
      </w:r>
      <w:r w:rsidR="00471504">
        <w:rPr>
          <w:b/>
        </w:rPr>
        <w:tab/>
      </w:r>
      <w:r w:rsidR="00471504">
        <w:rPr>
          <w:b/>
        </w:rPr>
        <w:tab/>
      </w:r>
      <w:r w:rsidR="00471504">
        <w:rPr>
          <w:b/>
        </w:rPr>
        <w:tab/>
      </w:r>
      <w:r w:rsidR="00CF50BB">
        <w:rPr>
          <w:b/>
        </w:rPr>
        <w:t xml:space="preserve">       </w:t>
      </w:r>
      <w:r w:rsidR="00993E98">
        <w:rPr>
          <w:b/>
        </w:rPr>
        <w:t xml:space="preserve">   1</w:t>
      </w:r>
      <w:r w:rsidR="00705E86">
        <w:rPr>
          <w:b/>
        </w:rPr>
        <w:t>1</w:t>
      </w:r>
    </w:p>
    <w:p w:rsidR="00471504" w:rsidRDefault="00471504" w:rsidP="00471504">
      <w:pPr>
        <w:pStyle w:val="default"/>
        <w:rPr>
          <w:b/>
        </w:rPr>
      </w:pPr>
    </w:p>
    <w:p w:rsidR="00471504" w:rsidRDefault="00471504" w:rsidP="00471504">
      <w:pPr>
        <w:pStyle w:val="default"/>
        <w:rPr>
          <w:b/>
        </w:rPr>
      </w:pPr>
      <w:r>
        <w:rPr>
          <w:b/>
        </w:rPr>
        <w:t>¯¯¯¯¯¯¯¯¯¯¯¯¯¯¯¯¯¯¯¯¯¯¯¯¯¯¯¯¯¯¯¯¯¯¯¯¯¯¯¯¯¯¯¯¯¯¯¯¯¯¯¯¯¯¯¯¯¯¯¯¯¯¯¯¯¯¯¯</w:t>
      </w:r>
    </w:p>
    <w:p w:rsidR="00471504" w:rsidRDefault="00471504" w:rsidP="008E2318">
      <w:pPr>
        <w:pStyle w:val="default"/>
        <w:rPr>
          <w:b/>
        </w:rPr>
      </w:pPr>
      <w:r>
        <w:rPr>
          <w:b/>
        </w:rPr>
        <w:t>Annex A: Organisation Chart</w:t>
      </w:r>
      <w:r>
        <w:rPr>
          <w:b/>
        </w:rPr>
        <w:tab/>
      </w:r>
      <w:r>
        <w:rPr>
          <w:b/>
        </w:rPr>
        <w:tab/>
      </w:r>
      <w:r>
        <w:rPr>
          <w:b/>
        </w:rPr>
        <w:tab/>
      </w:r>
      <w:r>
        <w:rPr>
          <w:b/>
        </w:rPr>
        <w:tab/>
      </w:r>
      <w:r>
        <w:rPr>
          <w:b/>
        </w:rPr>
        <w:tab/>
      </w:r>
      <w:r w:rsidR="00CF50BB">
        <w:rPr>
          <w:b/>
        </w:rPr>
        <w:t xml:space="preserve">         </w:t>
      </w:r>
      <w:r w:rsidR="001F7606">
        <w:rPr>
          <w:b/>
        </w:rPr>
        <w:tab/>
        <w:t xml:space="preserve">         </w:t>
      </w:r>
      <w:r w:rsidR="00440A98">
        <w:rPr>
          <w:b/>
        </w:rPr>
        <w:t xml:space="preserve"> 1</w:t>
      </w:r>
      <w:r w:rsidR="00EE649C">
        <w:rPr>
          <w:b/>
        </w:rPr>
        <w:t>3</w:t>
      </w:r>
    </w:p>
    <w:p w:rsidR="001E7DF1" w:rsidRDefault="001E7DF1" w:rsidP="008E2318">
      <w:pPr>
        <w:pStyle w:val="default"/>
        <w:rPr>
          <w:b/>
        </w:rPr>
      </w:pPr>
    </w:p>
    <w:p w:rsidR="001E7DF1" w:rsidRDefault="001E7DF1" w:rsidP="008E2318">
      <w:pPr>
        <w:pStyle w:val="default"/>
        <w:rPr>
          <w:b/>
        </w:rPr>
      </w:pPr>
      <w:r>
        <w:rPr>
          <w:b/>
        </w:rPr>
        <w:t xml:space="preserve">Annex B: Key Performance </w:t>
      </w:r>
      <w:r w:rsidR="00701785">
        <w:rPr>
          <w:b/>
        </w:rPr>
        <w:t>T</w:t>
      </w:r>
      <w:r>
        <w:rPr>
          <w:b/>
        </w:rPr>
        <w:t>argets</w:t>
      </w:r>
      <w:r w:rsidR="00FD7300">
        <w:rPr>
          <w:b/>
        </w:rPr>
        <w:tab/>
      </w:r>
      <w:r w:rsidR="00FD7300">
        <w:rPr>
          <w:b/>
        </w:rPr>
        <w:tab/>
      </w:r>
      <w:r w:rsidR="00FD7300">
        <w:rPr>
          <w:b/>
        </w:rPr>
        <w:tab/>
      </w:r>
      <w:r w:rsidR="00FD7300">
        <w:rPr>
          <w:b/>
        </w:rPr>
        <w:tab/>
      </w:r>
      <w:r w:rsidR="00CF50BB">
        <w:rPr>
          <w:b/>
        </w:rPr>
        <w:t xml:space="preserve">      </w:t>
      </w:r>
      <w:r w:rsidR="001F7606">
        <w:rPr>
          <w:b/>
        </w:rPr>
        <w:tab/>
        <w:t xml:space="preserve">      </w:t>
      </w:r>
      <w:r w:rsidR="00440A98">
        <w:rPr>
          <w:b/>
        </w:rPr>
        <w:t xml:space="preserve">    1</w:t>
      </w:r>
      <w:r w:rsidR="00EE649C">
        <w:rPr>
          <w:b/>
        </w:rPr>
        <w:t>4</w:t>
      </w:r>
      <w:r w:rsidR="001F7606">
        <w:rPr>
          <w:b/>
        </w:rPr>
        <w:t xml:space="preserve">   </w:t>
      </w:r>
    </w:p>
    <w:p w:rsidR="00471504" w:rsidRDefault="00471504" w:rsidP="00471504">
      <w:pPr>
        <w:pStyle w:val="default"/>
        <w:rPr>
          <w:b/>
        </w:rPr>
      </w:pPr>
    </w:p>
    <w:p w:rsidR="00471504" w:rsidRPr="00ED6903" w:rsidRDefault="00471504" w:rsidP="008E2318">
      <w:pPr>
        <w:pStyle w:val="default"/>
        <w:rPr>
          <w:b/>
        </w:rPr>
      </w:pPr>
      <w:r>
        <w:rPr>
          <w:b/>
        </w:rPr>
        <w:t xml:space="preserve">Annex </w:t>
      </w:r>
      <w:r w:rsidR="001E7DF1">
        <w:rPr>
          <w:b/>
        </w:rPr>
        <w:t>C</w:t>
      </w:r>
      <w:r>
        <w:rPr>
          <w:b/>
        </w:rPr>
        <w:t xml:space="preserve">: </w:t>
      </w:r>
      <w:r w:rsidR="008960C0" w:rsidRPr="008960C0">
        <w:rPr>
          <w:b/>
          <w:color w:val="auto"/>
          <w:lang w:val="en-US"/>
        </w:rPr>
        <w:t xml:space="preserve">Funding </w:t>
      </w:r>
      <w:r w:rsidR="00295B06">
        <w:rPr>
          <w:b/>
          <w:color w:val="auto"/>
          <w:lang w:val="en-US"/>
        </w:rPr>
        <w:tab/>
      </w:r>
      <w:r w:rsidR="00295B06">
        <w:rPr>
          <w:b/>
          <w:color w:val="auto"/>
          <w:lang w:val="en-US"/>
        </w:rPr>
        <w:tab/>
      </w:r>
      <w:r w:rsidR="00295B06">
        <w:rPr>
          <w:b/>
          <w:color w:val="auto"/>
          <w:lang w:val="en-US"/>
        </w:rPr>
        <w:tab/>
      </w:r>
      <w:r w:rsidR="00295B06">
        <w:rPr>
          <w:b/>
          <w:color w:val="auto"/>
          <w:lang w:val="en-US"/>
        </w:rPr>
        <w:tab/>
      </w:r>
      <w:r w:rsidR="00A455FF">
        <w:rPr>
          <w:b/>
          <w:color w:val="auto"/>
          <w:lang w:val="en-US"/>
        </w:rPr>
        <w:tab/>
      </w:r>
      <w:r w:rsidR="00A455FF">
        <w:rPr>
          <w:b/>
          <w:color w:val="auto"/>
          <w:lang w:val="en-US"/>
        </w:rPr>
        <w:tab/>
      </w:r>
      <w:r w:rsidR="00440A98">
        <w:rPr>
          <w:b/>
          <w:color w:val="auto"/>
          <w:lang w:val="en-US"/>
        </w:rPr>
        <w:t xml:space="preserve">                                1</w:t>
      </w:r>
      <w:r w:rsidR="00EE649C">
        <w:rPr>
          <w:b/>
          <w:color w:val="auto"/>
          <w:lang w:val="en-US"/>
        </w:rPr>
        <w:t>5</w:t>
      </w:r>
      <w:r>
        <w:rPr>
          <w:b/>
        </w:rPr>
        <w:tab/>
      </w:r>
      <w:r w:rsidR="00CF50BB">
        <w:rPr>
          <w:b/>
        </w:rPr>
        <w:t xml:space="preserve">         </w:t>
      </w:r>
      <w:r w:rsidR="001F7606">
        <w:rPr>
          <w:b/>
        </w:rPr>
        <w:tab/>
        <w:t xml:space="preserve">         </w:t>
      </w:r>
    </w:p>
    <w:p w:rsidR="00471504" w:rsidRPr="005A7222" w:rsidRDefault="00EE38BC" w:rsidP="00856C0F">
      <w:pPr>
        <w:spacing w:after="200" w:line="276" w:lineRule="auto"/>
        <w:rPr>
          <w:rFonts w:ascii="Arial" w:hAnsi="Arial" w:cs="Arial"/>
          <w:color w:val="000000"/>
          <w:sz w:val="24"/>
          <w:szCs w:val="24"/>
        </w:rPr>
      </w:pPr>
      <w:r>
        <w:rPr>
          <w:rFonts w:ascii="Arial" w:hAnsi="Arial" w:cs="Arial"/>
          <w:b/>
          <w:bCs/>
          <w:color w:val="365B92"/>
          <w:sz w:val="24"/>
          <w:szCs w:val="24"/>
        </w:rPr>
        <w:br w:type="page"/>
      </w:r>
      <w:r w:rsidR="00471504" w:rsidRPr="005A7222">
        <w:rPr>
          <w:rFonts w:ascii="Arial" w:hAnsi="Arial" w:cs="Arial"/>
          <w:b/>
          <w:bCs/>
          <w:color w:val="000000"/>
          <w:sz w:val="24"/>
          <w:szCs w:val="24"/>
        </w:rPr>
        <w:lastRenderedPageBreak/>
        <w:t xml:space="preserve">CHIEF EXECUTIVE’S FOREWORD </w:t>
      </w:r>
    </w:p>
    <w:p w:rsidR="0066768A" w:rsidRPr="00896026" w:rsidRDefault="0066768A" w:rsidP="0066768A">
      <w:pPr>
        <w:spacing w:before="100" w:beforeAutospacing="1" w:after="100" w:afterAutospacing="1" w:line="360" w:lineRule="auto"/>
        <w:jc w:val="both"/>
        <w:rPr>
          <w:rFonts w:ascii="Arial" w:hAnsi="Arial" w:cs="Arial"/>
          <w:sz w:val="24"/>
          <w:szCs w:val="24"/>
        </w:rPr>
      </w:pPr>
      <w:r w:rsidRPr="00896026">
        <w:rPr>
          <w:rFonts w:ascii="Arial" w:hAnsi="Arial" w:cs="Arial"/>
          <w:sz w:val="24"/>
          <w:szCs w:val="24"/>
        </w:rPr>
        <w:t>I am pleased to present the Northern Ireland Environment Agency’s (NIEA) Business Plan for 201</w:t>
      </w:r>
      <w:r>
        <w:rPr>
          <w:rFonts w:ascii="Arial" w:hAnsi="Arial" w:cs="Arial"/>
          <w:sz w:val="24"/>
          <w:szCs w:val="24"/>
        </w:rPr>
        <w:t>7</w:t>
      </w:r>
      <w:r w:rsidRPr="00896026">
        <w:rPr>
          <w:rFonts w:ascii="Arial" w:hAnsi="Arial" w:cs="Arial"/>
          <w:sz w:val="24"/>
          <w:szCs w:val="24"/>
        </w:rPr>
        <w:t>-1</w:t>
      </w:r>
      <w:r>
        <w:rPr>
          <w:rFonts w:ascii="Arial" w:hAnsi="Arial" w:cs="Arial"/>
          <w:sz w:val="24"/>
          <w:szCs w:val="24"/>
        </w:rPr>
        <w:t xml:space="preserve">8.  </w:t>
      </w:r>
    </w:p>
    <w:p w:rsidR="0066768A" w:rsidRDefault="0066768A" w:rsidP="0066768A">
      <w:pPr>
        <w:spacing w:before="100" w:beforeAutospacing="1" w:after="100" w:afterAutospacing="1" w:line="360" w:lineRule="auto"/>
        <w:jc w:val="both"/>
        <w:rPr>
          <w:rFonts w:ascii="Arial" w:hAnsi="Arial" w:cs="Arial"/>
          <w:sz w:val="24"/>
          <w:szCs w:val="24"/>
        </w:rPr>
      </w:pPr>
      <w:r>
        <w:rPr>
          <w:rFonts w:ascii="Arial" w:hAnsi="Arial" w:cs="Arial"/>
          <w:sz w:val="24"/>
          <w:szCs w:val="24"/>
        </w:rPr>
        <w:t>During the period of this plan, w</w:t>
      </w:r>
      <w:r w:rsidRPr="00896026">
        <w:rPr>
          <w:rFonts w:ascii="Arial" w:hAnsi="Arial" w:cs="Arial"/>
          <w:sz w:val="24"/>
          <w:szCs w:val="24"/>
        </w:rPr>
        <w:t xml:space="preserve">e </w:t>
      </w:r>
      <w:r>
        <w:rPr>
          <w:rFonts w:ascii="Arial" w:hAnsi="Arial" w:cs="Arial"/>
          <w:sz w:val="24"/>
          <w:szCs w:val="24"/>
        </w:rPr>
        <w:t xml:space="preserve">will continue to </w:t>
      </w:r>
      <w:r w:rsidRPr="00896026">
        <w:rPr>
          <w:rFonts w:ascii="Arial" w:hAnsi="Arial" w:cs="Arial"/>
          <w:sz w:val="24"/>
          <w:szCs w:val="24"/>
        </w:rPr>
        <w:t>engag</w:t>
      </w:r>
      <w:r>
        <w:rPr>
          <w:rFonts w:ascii="Arial" w:hAnsi="Arial" w:cs="Arial"/>
          <w:sz w:val="24"/>
          <w:szCs w:val="24"/>
        </w:rPr>
        <w:t>e</w:t>
      </w:r>
      <w:r w:rsidRPr="00896026">
        <w:rPr>
          <w:rFonts w:ascii="Arial" w:hAnsi="Arial" w:cs="Arial"/>
          <w:sz w:val="24"/>
          <w:szCs w:val="24"/>
        </w:rPr>
        <w:t xml:space="preserve"> with our customers and stakeholders who have a responsible and progressive approach to environment</w:t>
      </w:r>
      <w:r>
        <w:rPr>
          <w:rFonts w:ascii="Arial" w:hAnsi="Arial" w:cs="Arial"/>
          <w:sz w:val="24"/>
          <w:szCs w:val="24"/>
        </w:rPr>
        <w:t>al</w:t>
      </w:r>
      <w:r w:rsidRPr="00896026">
        <w:rPr>
          <w:rFonts w:ascii="Arial" w:hAnsi="Arial" w:cs="Arial"/>
          <w:sz w:val="24"/>
          <w:szCs w:val="24"/>
        </w:rPr>
        <w:t xml:space="preserve"> management and</w:t>
      </w:r>
      <w:r>
        <w:rPr>
          <w:rFonts w:ascii="Arial" w:hAnsi="Arial" w:cs="Arial"/>
          <w:sz w:val="24"/>
          <w:szCs w:val="24"/>
        </w:rPr>
        <w:t xml:space="preserve"> will </w:t>
      </w:r>
      <w:r w:rsidRPr="00896026">
        <w:rPr>
          <w:rFonts w:ascii="Arial" w:hAnsi="Arial" w:cs="Arial"/>
          <w:sz w:val="24"/>
          <w:szCs w:val="24"/>
        </w:rPr>
        <w:t xml:space="preserve">get tougher with those who want to take short cuts </w:t>
      </w:r>
      <w:r>
        <w:rPr>
          <w:rFonts w:ascii="Arial" w:hAnsi="Arial" w:cs="Arial"/>
          <w:sz w:val="24"/>
          <w:szCs w:val="24"/>
        </w:rPr>
        <w:t xml:space="preserve">or who </w:t>
      </w:r>
      <w:r w:rsidRPr="00896026">
        <w:rPr>
          <w:rFonts w:ascii="Arial" w:hAnsi="Arial" w:cs="Arial"/>
          <w:sz w:val="24"/>
          <w:szCs w:val="24"/>
        </w:rPr>
        <w:t>damage our environment and heritage.</w:t>
      </w:r>
    </w:p>
    <w:p w:rsidR="00E5716D" w:rsidRPr="00896026" w:rsidRDefault="0071770D" w:rsidP="0066768A">
      <w:pPr>
        <w:spacing w:before="100" w:beforeAutospacing="1" w:after="100" w:afterAutospacing="1" w:line="360" w:lineRule="auto"/>
        <w:jc w:val="both"/>
        <w:rPr>
          <w:rFonts w:ascii="Arial" w:hAnsi="Arial" w:cs="Arial"/>
          <w:sz w:val="24"/>
          <w:szCs w:val="24"/>
        </w:rPr>
      </w:pPr>
      <w:r>
        <w:rPr>
          <w:rFonts w:ascii="Arial" w:hAnsi="Arial" w:cs="Arial"/>
          <w:sz w:val="24"/>
          <w:szCs w:val="24"/>
        </w:rPr>
        <w:t>At the strategic level t</w:t>
      </w:r>
      <w:r w:rsidR="009619CE">
        <w:rPr>
          <w:rFonts w:ascii="Arial" w:hAnsi="Arial" w:cs="Arial"/>
          <w:sz w:val="24"/>
          <w:szCs w:val="24"/>
        </w:rPr>
        <w:t>he Agency, as part of the Department’s Environment, Marine and Fisheries Group, will provide significant support in the delivery of the Department’s Programme for Government (PfG) indicators which underpin the second strategic outcome in the draft PfG document (“</w:t>
      </w:r>
      <w:r w:rsidR="00982258" w:rsidRPr="00982258">
        <w:rPr>
          <w:rFonts w:ascii="Arial" w:hAnsi="Arial" w:cs="Arial"/>
          <w:i/>
          <w:sz w:val="24"/>
          <w:szCs w:val="24"/>
        </w:rPr>
        <w:t>We live and work sustainably – protecting the environment</w:t>
      </w:r>
      <w:r w:rsidR="009619CE">
        <w:rPr>
          <w:rFonts w:ascii="Arial" w:hAnsi="Arial" w:cs="Arial"/>
          <w:sz w:val="24"/>
          <w:szCs w:val="24"/>
        </w:rPr>
        <w:t xml:space="preserve">).  </w:t>
      </w:r>
      <w:r>
        <w:rPr>
          <w:rFonts w:ascii="Arial" w:hAnsi="Arial" w:cs="Arial"/>
          <w:sz w:val="24"/>
          <w:szCs w:val="24"/>
        </w:rPr>
        <w:t>Furthermore, d</w:t>
      </w:r>
      <w:r w:rsidR="00E5716D">
        <w:rPr>
          <w:rFonts w:ascii="Arial" w:hAnsi="Arial" w:cs="Arial"/>
          <w:sz w:val="24"/>
          <w:szCs w:val="24"/>
        </w:rPr>
        <w:t xml:space="preserve">uring the year the Department and Agency will be taking forward the programme of work necessary to ensure Northern Ireland specific implications and issues </w:t>
      </w:r>
      <w:r>
        <w:rPr>
          <w:rFonts w:ascii="Arial" w:hAnsi="Arial" w:cs="Arial"/>
          <w:sz w:val="24"/>
          <w:szCs w:val="24"/>
        </w:rPr>
        <w:t xml:space="preserve">associated with the significant issue of the exit from the EU </w:t>
      </w:r>
      <w:r w:rsidR="00E5716D">
        <w:rPr>
          <w:rFonts w:ascii="Arial" w:hAnsi="Arial" w:cs="Arial"/>
          <w:sz w:val="24"/>
          <w:szCs w:val="24"/>
        </w:rPr>
        <w:t xml:space="preserve">are highlighted and </w:t>
      </w:r>
      <w:r w:rsidR="0087772F">
        <w:rPr>
          <w:rFonts w:ascii="Arial" w:hAnsi="Arial" w:cs="Arial"/>
          <w:sz w:val="24"/>
          <w:szCs w:val="24"/>
        </w:rPr>
        <w:t>recognised</w:t>
      </w:r>
      <w:r w:rsidR="00E5716D">
        <w:rPr>
          <w:rFonts w:ascii="Arial" w:hAnsi="Arial" w:cs="Arial"/>
          <w:sz w:val="24"/>
          <w:szCs w:val="24"/>
        </w:rPr>
        <w:t>, engaging as appropriate with our key stakeholders.</w:t>
      </w:r>
    </w:p>
    <w:p w:rsidR="0066768A" w:rsidRDefault="00B24AB2" w:rsidP="0066768A">
      <w:pPr>
        <w:spacing w:before="100" w:beforeAutospacing="1" w:after="100" w:afterAutospacing="1" w:line="360" w:lineRule="auto"/>
        <w:jc w:val="both"/>
        <w:rPr>
          <w:rFonts w:ascii="Arial" w:hAnsi="Arial" w:cs="Arial"/>
          <w:sz w:val="24"/>
          <w:szCs w:val="24"/>
        </w:rPr>
      </w:pPr>
      <w:r>
        <w:rPr>
          <w:rFonts w:ascii="Arial" w:hAnsi="Arial" w:cs="Arial"/>
          <w:sz w:val="24"/>
          <w:szCs w:val="24"/>
        </w:rPr>
        <w:t>More specifically, r</w:t>
      </w:r>
      <w:r w:rsidR="0066768A">
        <w:rPr>
          <w:rFonts w:ascii="Arial" w:hAnsi="Arial" w:cs="Arial"/>
          <w:sz w:val="24"/>
          <w:szCs w:val="24"/>
        </w:rPr>
        <w:t>egulation of the waste sector continues to be a key challenge for the Agency and we have been continuing to w</w:t>
      </w:r>
      <w:r w:rsidR="0066768A" w:rsidRPr="00A9730E">
        <w:rPr>
          <w:rFonts w:ascii="Arial" w:hAnsi="Arial" w:cs="Arial"/>
          <w:sz w:val="24"/>
          <w:szCs w:val="24"/>
        </w:rPr>
        <w:t xml:space="preserve">ork with the waste industry, councils and other partners, to </w:t>
      </w:r>
      <w:r w:rsidR="0066768A">
        <w:rPr>
          <w:rFonts w:ascii="Arial" w:hAnsi="Arial" w:cs="Arial"/>
          <w:sz w:val="24"/>
          <w:szCs w:val="24"/>
        </w:rPr>
        <w:t>deliver</w:t>
      </w:r>
      <w:r w:rsidR="0066768A" w:rsidRPr="00A9730E">
        <w:rPr>
          <w:rFonts w:ascii="Arial" w:hAnsi="Arial" w:cs="Arial"/>
          <w:sz w:val="24"/>
          <w:szCs w:val="24"/>
        </w:rPr>
        <w:t xml:space="preserve"> a compliant and crime free waste industry.  We are also keen to support Council initiatives to promote resource efficiency in order to reduce the amount of waste created and we will play our role by strengthening our regulatory oversight of the residual waste that is created. We will continue to reform the way that we regulate and the way that we provide input to planning decisions.</w:t>
      </w:r>
      <w:r w:rsidR="0066768A">
        <w:rPr>
          <w:rFonts w:ascii="Arial" w:hAnsi="Arial" w:cs="Arial"/>
          <w:sz w:val="24"/>
          <w:szCs w:val="24"/>
        </w:rPr>
        <w:t xml:space="preserve">   </w:t>
      </w:r>
    </w:p>
    <w:p w:rsidR="0097412B" w:rsidRDefault="0066768A" w:rsidP="0066768A">
      <w:pPr>
        <w:spacing w:line="360" w:lineRule="auto"/>
        <w:ind w:right="26"/>
        <w:jc w:val="both"/>
        <w:rPr>
          <w:rFonts w:ascii="Arial" w:hAnsi="Arial" w:cs="Arial"/>
          <w:sz w:val="24"/>
          <w:szCs w:val="24"/>
        </w:rPr>
      </w:pPr>
      <w:r w:rsidRPr="00896026">
        <w:rPr>
          <w:rFonts w:ascii="Arial" w:hAnsi="Arial" w:cs="Arial"/>
          <w:sz w:val="24"/>
          <w:szCs w:val="24"/>
        </w:rPr>
        <w:t xml:space="preserve">We will </w:t>
      </w:r>
      <w:r>
        <w:rPr>
          <w:rFonts w:ascii="Arial" w:hAnsi="Arial" w:cs="Arial"/>
          <w:sz w:val="24"/>
          <w:szCs w:val="24"/>
        </w:rPr>
        <w:t xml:space="preserve">continue to </w:t>
      </w:r>
      <w:r w:rsidRPr="00896026">
        <w:rPr>
          <w:rFonts w:ascii="Arial" w:hAnsi="Arial" w:cs="Arial"/>
          <w:sz w:val="24"/>
          <w:szCs w:val="24"/>
        </w:rPr>
        <w:t>build stronger partnerships with our customers and stakeholders</w:t>
      </w:r>
      <w:r>
        <w:rPr>
          <w:rFonts w:ascii="Arial" w:hAnsi="Arial" w:cs="Arial"/>
          <w:sz w:val="24"/>
          <w:szCs w:val="24"/>
        </w:rPr>
        <w:t xml:space="preserve">.  </w:t>
      </w:r>
      <w:r w:rsidRPr="00896026">
        <w:rPr>
          <w:rFonts w:ascii="Arial" w:hAnsi="Arial" w:cs="Arial"/>
          <w:sz w:val="24"/>
          <w:szCs w:val="24"/>
        </w:rPr>
        <w:t xml:space="preserve">We will work with businesses </w:t>
      </w:r>
      <w:r>
        <w:rPr>
          <w:rFonts w:ascii="Arial" w:hAnsi="Arial" w:cs="Arial"/>
          <w:sz w:val="24"/>
          <w:szCs w:val="24"/>
        </w:rPr>
        <w:t xml:space="preserve">and other Government Departments </w:t>
      </w:r>
      <w:r w:rsidRPr="00896026">
        <w:rPr>
          <w:rFonts w:ascii="Arial" w:hAnsi="Arial" w:cs="Arial"/>
          <w:sz w:val="24"/>
          <w:szCs w:val="24"/>
        </w:rPr>
        <w:t>to</w:t>
      </w:r>
      <w:r w:rsidR="00D16226">
        <w:rPr>
          <w:rFonts w:ascii="Arial" w:hAnsi="Arial" w:cs="Arial"/>
          <w:sz w:val="24"/>
          <w:szCs w:val="24"/>
        </w:rPr>
        <w:t xml:space="preserve"> promote a more sustainable approach in managing both waste </w:t>
      </w:r>
      <w:r w:rsidR="008D7794">
        <w:rPr>
          <w:rFonts w:ascii="Arial" w:hAnsi="Arial" w:cs="Arial"/>
          <w:sz w:val="24"/>
          <w:szCs w:val="24"/>
        </w:rPr>
        <w:t xml:space="preserve">materials and natural resources </w:t>
      </w:r>
      <w:r w:rsidR="00D16226">
        <w:rPr>
          <w:rFonts w:ascii="Arial" w:hAnsi="Arial" w:cs="Arial"/>
          <w:sz w:val="24"/>
          <w:szCs w:val="24"/>
        </w:rPr>
        <w:t>in order to protect our environment and</w:t>
      </w:r>
      <w:r w:rsidRPr="00896026">
        <w:rPr>
          <w:rFonts w:ascii="Arial" w:hAnsi="Arial" w:cs="Arial"/>
          <w:sz w:val="24"/>
          <w:szCs w:val="24"/>
        </w:rPr>
        <w:t xml:space="preserve"> unlock the economic opportunities provided by the resource efficiency agenda</w:t>
      </w:r>
      <w:r>
        <w:rPr>
          <w:rFonts w:ascii="Arial" w:hAnsi="Arial" w:cs="Arial"/>
          <w:sz w:val="24"/>
          <w:szCs w:val="24"/>
        </w:rPr>
        <w:t xml:space="preserve">.  We will also </w:t>
      </w:r>
      <w:r w:rsidRPr="00972BA9">
        <w:rPr>
          <w:rFonts w:ascii="Arial" w:hAnsi="Arial" w:cs="Arial"/>
          <w:sz w:val="24"/>
          <w:szCs w:val="24"/>
        </w:rPr>
        <w:t xml:space="preserve">tackle the most acute environmental priorities facing us, such as safeguarding our most valuable </w:t>
      </w:r>
      <w:r w:rsidR="008D7794">
        <w:rPr>
          <w:rFonts w:ascii="Arial" w:hAnsi="Arial" w:cs="Arial"/>
          <w:sz w:val="24"/>
          <w:szCs w:val="24"/>
        </w:rPr>
        <w:t>habitats</w:t>
      </w:r>
      <w:r w:rsidR="008D7794" w:rsidRPr="00972BA9">
        <w:rPr>
          <w:rFonts w:ascii="Arial" w:hAnsi="Arial" w:cs="Arial"/>
          <w:sz w:val="24"/>
          <w:szCs w:val="24"/>
        </w:rPr>
        <w:t xml:space="preserve"> </w:t>
      </w:r>
      <w:r w:rsidRPr="00972BA9">
        <w:rPr>
          <w:rFonts w:ascii="Arial" w:hAnsi="Arial" w:cs="Arial"/>
          <w:sz w:val="24"/>
          <w:szCs w:val="24"/>
        </w:rPr>
        <w:t xml:space="preserve">and landscape, </w:t>
      </w:r>
      <w:r>
        <w:rPr>
          <w:rFonts w:ascii="Arial" w:hAnsi="Arial" w:cs="Arial"/>
          <w:sz w:val="24"/>
          <w:szCs w:val="24"/>
        </w:rPr>
        <w:t xml:space="preserve">improving water quality, </w:t>
      </w:r>
      <w:r w:rsidRPr="00972BA9">
        <w:rPr>
          <w:rFonts w:ascii="Arial" w:hAnsi="Arial" w:cs="Arial"/>
          <w:sz w:val="24"/>
          <w:szCs w:val="24"/>
        </w:rPr>
        <w:t>protecting our priority species</w:t>
      </w:r>
      <w:r w:rsidR="008D7794">
        <w:rPr>
          <w:rFonts w:ascii="Arial" w:hAnsi="Arial" w:cs="Arial"/>
          <w:sz w:val="24"/>
          <w:szCs w:val="24"/>
        </w:rPr>
        <w:t xml:space="preserve">, </w:t>
      </w:r>
      <w:r w:rsidRPr="00972BA9">
        <w:rPr>
          <w:rFonts w:ascii="Arial" w:hAnsi="Arial" w:cs="Arial"/>
          <w:sz w:val="24"/>
          <w:szCs w:val="24"/>
        </w:rPr>
        <w:t xml:space="preserve">encouraging access to the </w:t>
      </w:r>
      <w:r w:rsidRPr="00972BA9">
        <w:rPr>
          <w:rFonts w:ascii="Arial" w:hAnsi="Arial" w:cs="Arial"/>
          <w:sz w:val="24"/>
          <w:szCs w:val="24"/>
        </w:rPr>
        <w:lastRenderedPageBreak/>
        <w:t>countryside</w:t>
      </w:r>
      <w:r>
        <w:rPr>
          <w:rFonts w:ascii="Arial" w:hAnsi="Arial" w:cs="Arial"/>
          <w:sz w:val="24"/>
          <w:szCs w:val="24"/>
        </w:rPr>
        <w:t xml:space="preserve"> </w:t>
      </w:r>
      <w:r w:rsidRPr="002E7078">
        <w:rPr>
          <w:rFonts w:ascii="Arial" w:hAnsi="Arial" w:cs="Arial"/>
          <w:sz w:val="24"/>
          <w:szCs w:val="24"/>
        </w:rPr>
        <w:t>and promoting the natural environment through our Country Parks and Nature Reserves</w:t>
      </w:r>
      <w:r>
        <w:rPr>
          <w:rFonts w:ascii="Arial" w:hAnsi="Arial" w:cs="Arial"/>
          <w:sz w:val="24"/>
          <w:szCs w:val="24"/>
        </w:rPr>
        <w:t>.</w:t>
      </w:r>
      <w:r w:rsidRPr="00972BA9">
        <w:rPr>
          <w:rFonts w:ascii="Arial" w:hAnsi="Arial" w:cs="Arial"/>
          <w:sz w:val="24"/>
          <w:szCs w:val="24"/>
        </w:rPr>
        <w:t xml:space="preserve"> </w:t>
      </w:r>
      <w:r w:rsidR="008D7794">
        <w:rPr>
          <w:rFonts w:ascii="Arial" w:hAnsi="Arial" w:cs="Arial"/>
          <w:sz w:val="24"/>
          <w:szCs w:val="24"/>
        </w:rPr>
        <w:t xml:space="preserve"> </w:t>
      </w:r>
    </w:p>
    <w:p w:rsidR="0097412B" w:rsidRDefault="0097412B" w:rsidP="0066768A">
      <w:pPr>
        <w:spacing w:line="360" w:lineRule="auto"/>
        <w:ind w:right="26"/>
        <w:jc w:val="both"/>
        <w:rPr>
          <w:rFonts w:ascii="Arial" w:hAnsi="Arial" w:cs="Arial"/>
          <w:sz w:val="24"/>
          <w:szCs w:val="24"/>
        </w:rPr>
      </w:pPr>
    </w:p>
    <w:p w:rsidR="0097412B" w:rsidRDefault="00E14474" w:rsidP="0066768A">
      <w:pPr>
        <w:spacing w:line="360" w:lineRule="auto"/>
        <w:ind w:right="26"/>
        <w:jc w:val="both"/>
        <w:rPr>
          <w:rFonts w:ascii="Arial" w:hAnsi="Arial" w:cs="Arial"/>
          <w:sz w:val="24"/>
          <w:szCs w:val="24"/>
        </w:rPr>
      </w:pPr>
      <w:r>
        <w:rPr>
          <w:rFonts w:ascii="Arial" w:hAnsi="Arial" w:cs="Arial"/>
          <w:sz w:val="24"/>
          <w:szCs w:val="24"/>
        </w:rPr>
        <w:t xml:space="preserve">We </w:t>
      </w:r>
      <w:r w:rsidR="00FA4486">
        <w:rPr>
          <w:rFonts w:ascii="Arial" w:hAnsi="Arial" w:cs="Arial"/>
          <w:sz w:val="24"/>
          <w:szCs w:val="24"/>
        </w:rPr>
        <w:t>recognise that improved environmental outcomes could be achieved through a more proactive approa</w:t>
      </w:r>
      <w:r w:rsidR="00324032">
        <w:rPr>
          <w:rFonts w:ascii="Arial" w:hAnsi="Arial" w:cs="Arial"/>
          <w:sz w:val="24"/>
          <w:szCs w:val="24"/>
        </w:rPr>
        <w:t xml:space="preserve">ch to education and </w:t>
      </w:r>
      <w:r w:rsidR="0087772F">
        <w:rPr>
          <w:rFonts w:ascii="Arial" w:hAnsi="Arial" w:cs="Arial"/>
          <w:sz w:val="24"/>
          <w:szCs w:val="24"/>
        </w:rPr>
        <w:t xml:space="preserve">through </w:t>
      </w:r>
      <w:r w:rsidR="00324032">
        <w:rPr>
          <w:rFonts w:ascii="Arial" w:hAnsi="Arial" w:cs="Arial"/>
          <w:sz w:val="24"/>
          <w:szCs w:val="24"/>
        </w:rPr>
        <w:t>highlight</w:t>
      </w:r>
      <w:r w:rsidR="00FA4486">
        <w:rPr>
          <w:rFonts w:ascii="Arial" w:hAnsi="Arial" w:cs="Arial"/>
          <w:sz w:val="24"/>
          <w:szCs w:val="24"/>
        </w:rPr>
        <w:t xml:space="preserve">ing key </w:t>
      </w:r>
      <w:r w:rsidR="00324032">
        <w:rPr>
          <w:rFonts w:ascii="Arial" w:hAnsi="Arial" w:cs="Arial"/>
          <w:sz w:val="24"/>
          <w:szCs w:val="24"/>
        </w:rPr>
        <w:t xml:space="preserve">issues. We have therefore </w:t>
      </w:r>
      <w:r w:rsidR="00162388">
        <w:rPr>
          <w:rFonts w:ascii="Arial" w:hAnsi="Arial" w:cs="Arial"/>
          <w:sz w:val="24"/>
          <w:szCs w:val="24"/>
        </w:rPr>
        <w:t xml:space="preserve">placed a greater emphasis on ensuring </w:t>
      </w:r>
      <w:r w:rsidR="00324032">
        <w:rPr>
          <w:rFonts w:ascii="Arial" w:hAnsi="Arial" w:cs="Arial"/>
          <w:sz w:val="24"/>
          <w:szCs w:val="24"/>
        </w:rPr>
        <w:t xml:space="preserve">the provision of readily accessible, high quality and timely </w:t>
      </w:r>
      <w:r w:rsidR="00A107C8">
        <w:rPr>
          <w:rFonts w:ascii="Arial" w:hAnsi="Arial" w:cs="Arial"/>
          <w:sz w:val="24"/>
          <w:szCs w:val="24"/>
        </w:rPr>
        <w:t>information</w:t>
      </w:r>
      <w:r w:rsidR="00324032">
        <w:rPr>
          <w:rFonts w:ascii="Arial" w:hAnsi="Arial" w:cs="Arial"/>
          <w:sz w:val="24"/>
          <w:szCs w:val="24"/>
        </w:rPr>
        <w:t xml:space="preserve"> and guidance to the wide range of customers and sectors served by the Agency. </w:t>
      </w:r>
      <w:r w:rsidR="00162388">
        <w:rPr>
          <w:rFonts w:ascii="Arial" w:hAnsi="Arial" w:cs="Arial"/>
          <w:sz w:val="24"/>
          <w:szCs w:val="24"/>
        </w:rPr>
        <w:t xml:space="preserve">This will primarily be achieved through improved on-line guidance and information and working with the College of Agriculture, Food and Rural Enterprise (CAFRE) to ensure to ensure key environmental issues feature as part of their education and awareness programmes. </w:t>
      </w:r>
    </w:p>
    <w:p w:rsidR="0097412B" w:rsidRDefault="0097412B" w:rsidP="0066768A">
      <w:pPr>
        <w:spacing w:line="360" w:lineRule="auto"/>
        <w:ind w:right="26"/>
        <w:jc w:val="both"/>
        <w:rPr>
          <w:rFonts w:ascii="Arial" w:hAnsi="Arial" w:cs="Arial"/>
          <w:sz w:val="24"/>
          <w:szCs w:val="24"/>
        </w:rPr>
      </w:pPr>
    </w:p>
    <w:p w:rsidR="0066768A" w:rsidRDefault="0066768A" w:rsidP="0066768A">
      <w:pPr>
        <w:spacing w:line="360" w:lineRule="auto"/>
        <w:ind w:right="26"/>
        <w:jc w:val="both"/>
        <w:rPr>
          <w:rFonts w:ascii="Arial" w:hAnsi="Arial" w:cs="Arial"/>
          <w:sz w:val="24"/>
          <w:szCs w:val="24"/>
        </w:rPr>
      </w:pPr>
      <w:r w:rsidRPr="00896026">
        <w:rPr>
          <w:rFonts w:ascii="Arial" w:hAnsi="Arial" w:cs="Arial"/>
          <w:sz w:val="24"/>
          <w:szCs w:val="24"/>
        </w:rPr>
        <w:t xml:space="preserve">We will </w:t>
      </w:r>
      <w:r w:rsidR="00162388">
        <w:rPr>
          <w:rFonts w:ascii="Arial" w:hAnsi="Arial" w:cs="Arial"/>
          <w:sz w:val="24"/>
          <w:szCs w:val="24"/>
        </w:rPr>
        <w:t xml:space="preserve">also </w:t>
      </w:r>
      <w:r w:rsidR="008D7794">
        <w:rPr>
          <w:rFonts w:ascii="Arial" w:hAnsi="Arial" w:cs="Arial"/>
          <w:sz w:val="24"/>
          <w:szCs w:val="24"/>
        </w:rPr>
        <w:t>continue to work with eNGOs and other key partners to deliver positive environmental outcomes across our designated sites network and the wider countryside mainly through RDP and INTERREG and the Departments Environmental Forum.</w:t>
      </w:r>
      <w:r>
        <w:rPr>
          <w:rFonts w:ascii="Arial" w:hAnsi="Arial" w:cs="Arial"/>
          <w:sz w:val="24"/>
          <w:szCs w:val="24"/>
        </w:rPr>
        <w:t xml:space="preserve"> </w:t>
      </w:r>
      <w:r w:rsidR="008D7794">
        <w:rPr>
          <w:rFonts w:ascii="Arial" w:hAnsi="Arial" w:cs="Arial"/>
          <w:sz w:val="24"/>
          <w:szCs w:val="24"/>
        </w:rPr>
        <w:t xml:space="preserve"> </w:t>
      </w:r>
      <w:r w:rsidRPr="00896026">
        <w:rPr>
          <w:rFonts w:ascii="Arial" w:hAnsi="Arial" w:cs="Arial"/>
          <w:sz w:val="24"/>
          <w:szCs w:val="24"/>
        </w:rPr>
        <w:t xml:space="preserve">Our Business Plan sets out these and other priorities in clear detail so that our staff know what they have to deliver, our customers and stakeholders know what to expect from us and the public </w:t>
      </w:r>
      <w:r w:rsidR="0087772F">
        <w:rPr>
          <w:rFonts w:ascii="Arial" w:hAnsi="Arial" w:cs="Arial"/>
          <w:sz w:val="24"/>
          <w:szCs w:val="24"/>
        </w:rPr>
        <w:t>understands our key objectives</w:t>
      </w:r>
      <w:r w:rsidRPr="00896026">
        <w:rPr>
          <w:rFonts w:ascii="Arial" w:hAnsi="Arial" w:cs="Arial"/>
          <w:sz w:val="24"/>
          <w:szCs w:val="24"/>
        </w:rPr>
        <w:t xml:space="preserve"> </w:t>
      </w:r>
      <w:r w:rsidR="0087772F">
        <w:rPr>
          <w:rFonts w:ascii="Arial" w:hAnsi="Arial" w:cs="Arial"/>
          <w:sz w:val="24"/>
          <w:szCs w:val="24"/>
        </w:rPr>
        <w:t xml:space="preserve">and </w:t>
      </w:r>
      <w:r w:rsidRPr="00896026">
        <w:rPr>
          <w:rFonts w:ascii="Arial" w:hAnsi="Arial" w:cs="Arial"/>
          <w:sz w:val="24"/>
          <w:szCs w:val="24"/>
        </w:rPr>
        <w:t>targets.</w:t>
      </w:r>
      <w:r>
        <w:rPr>
          <w:rFonts w:ascii="Arial" w:hAnsi="Arial" w:cs="Arial"/>
          <w:sz w:val="24"/>
          <w:szCs w:val="24"/>
        </w:rPr>
        <w:t xml:space="preserve"> </w:t>
      </w:r>
      <w:r w:rsidRPr="00896026">
        <w:rPr>
          <w:rFonts w:ascii="Arial" w:hAnsi="Arial" w:cs="Arial"/>
          <w:sz w:val="24"/>
          <w:szCs w:val="24"/>
        </w:rPr>
        <w:t xml:space="preserve">Whilst the focus of restructuring and reform will be on </w:t>
      </w:r>
      <w:r>
        <w:rPr>
          <w:rFonts w:ascii="Arial" w:hAnsi="Arial" w:cs="Arial"/>
          <w:sz w:val="24"/>
          <w:szCs w:val="24"/>
        </w:rPr>
        <w:t xml:space="preserve">continuing to </w:t>
      </w:r>
      <w:r w:rsidRPr="00896026">
        <w:rPr>
          <w:rFonts w:ascii="Arial" w:hAnsi="Arial" w:cs="Arial"/>
          <w:sz w:val="24"/>
          <w:szCs w:val="24"/>
        </w:rPr>
        <w:t>reduc</w:t>
      </w:r>
      <w:r>
        <w:rPr>
          <w:rFonts w:ascii="Arial" w:hAnsi="Arial" w:cs="Arial"/>
          <w:sz w:val="24"/>
          <w:szCs w:val="24"/>
        </w:rPr>
        <w:t>e</w:t>
      </w:r>
      <w:r w:rsidRPr="00896026">
        <w:rPr>
          <w:rFonts w:ascii="Arial" w:hAnsi="Arial" w:cs="Arial"/>
          <w:sz w:val="24"/>
          <w:szCs w:val="24"/>
        </w:rPr>
        <w:t xml:space="preserve"> costs, it </w:t>
      </w:r>
      <w:r>
        <w:rPr>
          <w:rFonts w:ascii="Arial" w:hAnsi="Arial" w:cs="Arial"/>
          <w:sz w:val="24"/>
          <w:szCs w:val="24"/>
        </w:rPr>
        <w:t xml:space="preserve">will </w:t>
      </w:r>
      <w:r w:rsidRPr="00896026">
        <w:rPr>
          <w:rFonts w:ascii="Arial" w:hAnsi="Arial" w:cs="Arial"/>
          <w:sz w:val="24"/>
          <w:szCs w:val="24"/>
        </w:rPr>
        <w:t xml:space="preserve">remain important to deliver </w:t>
      </w:r>
      <w:r>
        <w:rPr>
          <w:rFonts w:ascii="Arial" w:hAnsi="Arial" w:cs="Arial"/>
          <w:sz w:val="24"/>
          <w:szCs w:val="24"/>
        </w:rPr>
        <w:t xml:space="preserve">against the new </w:t>
      </w:r>
      <w:r w:rsidR="0087772F">
        <w:rPr>
          <w:rFonts w:ascii="Arial" w:hAnsi="Arial" w:cs="Arial"/>
          <w:sz w:val="24"/>
          <w:szCs w:val="24"/>
        </w:rPr>
        <w:t xml:space="preserve">draft </w:t>
      </w:r>
      <w:r w:rsidRPr="00896026">
        <w:rPr>
          <w:rFonts w:ascii="Arial" w:hAnsi="Arial" w:cs="Arial"/>
          <w:sz w:val="24"/>
          <w:szCs w:val="24"/>
        </w:rPr>
        <w:t>P</w:t>
      </w:r>
      <w:r w:rsidR="00FC20AF">
        <w:rPr>
          <w:rFonts w:ascii="Arial" w:hAnsi="Arial" w:cs="Arial"/>
          <w:sz w:val="24"/>
          <w:szCs w:val="24"/>
        </w:rPr>
        <w:t>fG</w:t>
      </w:r>
      <w:r w:rsidRPr="00896026">
        <w:rPr>
          <w:rFonts w:ascii="Arial" w:hAnsi="Arial" w:cs="Arial"/>
          <w:sz w:val="24"/>
          <w:szCs w:val="24"/>
        </w:rPr>
        <w:t xml:space="preserve"> commitments, </w:t>
      </w:r>
      <w:r>
        <w:rPr>
          <w:rFonts w:ascii="Arial" w:hAnsi="Arial" w:cs="Arial"/>
          <w:sz w:val="24"/>
          <w:szCs w:val="24"/>
        </w:rPr>
        <w:t xml:space="preserve">focus on </w:t>
      </w:r>
      <w:r w:rsidRPr="00896026">
        <w:rPr>
          <w:rFonts w:ascii="Arial" w:hAnsi="Arial" w:cs="Arial"/>
          <w:sz w:val="24"/>
          <w:szCs w:val="24"/>
        </w:rPr>
        <w:t xml:space="preserve">Ministerial priorities and </w:t>
      </w:r>
      <w:r>
        <w:rPr>
          <w:rFonts w:ascii="Arial" w:hAnsi="Arial" w:cs="Arial"/>
          <w:sz w:val="24"/>
          <w:szCs w:val="24"/>
        </w:rPr>
        <w:t xml:space="preserve">maintain key </w:t>
      </w:r>
      <w:r w:rsidRPr="00896026">
        <w:rPr>
          <w:rFonts w:ascii="Arial" w:hAnsi="Arial" w:cs="Arial"/>
          <w:sz w:val="24"/>
          <w:szCs w:val="24"/>
        </w:rPr>
        <w:t>public services</w:t>
      </w:r>
      <w:r>
        <w:rPr>
          <w:rFonts w:ascii="Arial" w:hAnsi="Arial" w:cs="Arial"/>
          <w:sz w:val="24"/>
          <w:szCs w:val="24"/>
        </w:rPr>
        <w:t xml:space="preserve"> during the incoming year.</w:t>
      </w:r>
      <w:r w:rsidRPr="00896026">
        <w:rPr>
          <w:rFonts w:ascii="Arial" w:hAnsi="Arial" w:cs="Arial"/>
          <w:sz w:val="24"/>
          <w:szCs w:val="24"/>
        </w:rPr>
        <w:t xml:space="preserve"> This has been reflected in th</w:t>
      </w:r>
      <w:r>
        <w:rPr>
          <w:rFonts w:ascii="Arial" w:hAnsi="Arial" w:cs="Arial"/>
          <w:sz w:val="24"/>
          <w:szCs w:val="24"/>
        </w:rPr>
        <w:t>is</w:t>
      </w:r>
      <w:r w:rsidRPr="00896026">
        <w:rPr>
          <w:rFonts w:ascii="Arial" w:hAnsi="Arial" w:cs="Arial"/>
          <w:sz w:val="24"/>
          <w:szCs w:val="24"/>
        </w:rPr>
        <w:t xml:space="preserve"> Plan.</w:t>
      </w:r>
    </w:p>
    <w:p w:rsidR="0066768A" w:rsidRDefault="00927AD6" w:rsidP="0066768A">
      <w:pPr>
        <w:pStyle w:val="default"/>
        <w:spacing w:line="360" w:lineRule="auto"/>
      </w:pPr>
      <w:r>
        <w:t xml:space="preserve">With the construction of the new building at Ballykelly, some </w:t>
      </w:r>
      <w:r w:rsidR="004C6A4B">
        <w:t>35</w:t>
      </w:r>
      <w:r>
        <w:t xml:space="preserve"> NIEA staff will move to the new building by the end of March 2018</w:t>
      </w:r>
      <w:r w:rsidR="0087772F">
        <w:t>, joining other DAERA colleagues at the new site.</w:t>
      </w:r>
    </w:p>
    <w:p w:rsidR="0066768A" w:rsidRDefault="00CC208B" w:rsidP="0066768A">
      <w:pPr>
        <w:pStyle w:val="default"/>
        <w:spacing w:line="360" w:lineRule="auto"/>
      </w:pPr>
      <w:r>
        <w:t>Finally, w</w:t>
      </w:r>
      <w:r w:rsidR="0066768A" w:rsidRPr="00896026">
        <w:t>e look forward to working with all of our partners and meeting the expectations set out in this 201</w:t>
      </w:r>
      <w:r w:rsidR="0066768A">
        <w:t>7</w:t>
      </w:r>
      <w:r w:rsidR="0066768A" w:rsidRPr="00896026">
        <w:t>-1</w:t>
      </w:r>
      <w:r w:rsidR="0066768A">
        <w:t>8</w:t>
      </w:r>
      <w:r w:rsidR="0066768A" w:rsidRPr="00896026">
        <w:t xml:space="preserve"> Business Plan.</w:t>
      </w:r>
    </w:p>
    <w:p w:rsidR="0066768A" w:rsidRPr="00896026" w:rsidRDefault="0066768A" w:rsidP="0066768A">
      <w:pPr>
        <w:pStyle w:val="default"/>
        <w:spacing w:line="360" w:lineRule="auto"/>
        <w:rPr>
          <w:b/>
        </w:rPr>
      </w:pPr>
    </w:p>
    <w:p w:rsidR="0066768A" w:rsidRPr="00896026" w:rsidRDefault="0066768A" w:rsidP="0066768A">
      <w:pPr>
        <w:pStyle w:val="default"/>
        <w:spacing w:line="360" w:lineRule="auto"/>
        <w:rPr>
          <w:b/>
          <w:color w:val="365B92"/>
        </w:rPr>
      </w:pPr>
    </w:p>
    <w:p w:rsidR="00D17988" w:rsidRPr="00896026" w:rsidRDefault="00D17988" w:rsidP="00896026">
      <w:pPr>
        <w:pStyle w:val="default"/>
        <w:spacing w:line="360" w:lineRule="auto"/>
        <w:rPr>
          <w:color w:val="auto"/>
        </w:rPr>
      </w:pPr>
    </w:p>
    <w:p w:rsidR="00D17988" w:rsidRPr="00896026" w:rsidRDefault="00D17988" w:rsidP="00896026">
      <w:pPr>
        <w:pStyle w:val="default"/>
        <w:spacing w:line="360" w:lineRule="auto"/>
        <w:rPr>
          <w:color w:val="auto"/>
        </w:rPr>
      </w:pPr>
    </w:p>
    <w:p w:rsidR="004F4F1C" w:rsidRPr="00896026" w:rsidRDefault="00F31E1A" w:rsidP="00896026">
      <w:pPr>
        <w:pStyle w:val="default"/>
        <w:spacing w:line="360" w:lineRule="auto"/>
        <w:rPr>
          <w:color w:val="auto"/>
        </w:rPr>
      </w:pPr>
      <w:r>
        <w:rPr>
          <w:color w:val="auto"/>
        </w:rPr>
        <w:t>David Small</w:t>
      </w:r>
    </w:p>
    <w:p w:rsidR="0097417C" w:rsidRDefault="004F4F1C" w:rsidP="00896026">
      <w:pPr>
        <w:pStyle w:val="default"/>
        <w:spacing w:line="360" w:lineRule="auto"/>
        <w:rPr>
          <w:color w:val="auto"/>
        </w:rPr>
      </w:pPr>
      <w:r w:rsidRPr="00896026">
        <w:rPr>
          <w:color w:val="auto"/>
        </w:rPr>
        <w:t>Chief Executive</w:t>
      </w:r>
    </w:p>
    <w:p w:rsidR="006A57A5" w:rsidRPr="00896026" w:rsidRDefault="006A57A5" w:rsidP="00896026">
      <w:pPr>
        <w:pStyle w:val="default"/>
        <w:spacing w:line="360" w:lineRule="auto"/>
        <w:rPr>
          <w:color w:val="auto"/>
        </w:rPr>
      </w:pPr>
    </w:p>
    <w:p w:rsidR="006D0F34" w:rsidRPr="005A7222" w:rsidRDefault="00471504" w:rsidP="0072321B">
      <w:pPr>
        <w:spacing w:after="200" w:line="276" w:lineRule="auto"/>
        <w:rPr>
          <w:rFonts w:ascii="Arial" w:hAnsi="Arial" w:cs="Arial"/>
          <w:b/>
          <w:bCs/>
          <w:color w:val="000000"/>
          <w:sz w:val="24"/>
          <w:szCs w:val="24"/>
        </w:rPr>
      </w:pPr>
      <w:r w:rsidRPr="005A7222">
        <w:rPr>
          <w:rFonts w:ascii="Arial" w:hAnsi="Arial" w:cs="Arial"/>
          <w:b/>
          <w:bCs/>
          <w:color w:val="000000"/>
          <w:sz w:val="24"/>
          <w:szCs w:val="24"/>
        </w:rPr>
        <w:lastRenderedPageBreak/>
        <w:t>Introduction</w:t>
      </w:r>
    </w:p>
    <w:p w:rsidR="006731DD" w:rsidRDefault="006731DD" w:rsidP="006731DD">
      <w:pPr>
        <w:pStyle w:val="default"/>
        <w:numPr>
          <w:ilvl w:val="0"/>
          <w:numId w:val="21"/>
        </w:numPr>
        <w:spacing w:line="360" w:lineRule="auto"/>
        <w:ind w:left="709" w:hanging="643"/>
        <w:jc w:val="both"/>
      </w:pPr>
      <w:r w:rsidRPr="00896026">
        <w:t>This is the Business Plan for the Northern Ireland Environment Agency (NIEA) for the 201</w:t>
      </w:r>
      <w:r w:rsidR="00DC22F7">
        <w:t>7</w:t>
      </w:r>
      <w:r w:rsidRPr="00896026">
        <w:t>-1</w:t>
      </w:r>
      <w:r w:rsidR="00DC22F7">
        <w:t>8</w:t>
      </w:r>
      <w:r w:rsidRPr="00896026">
        <w:t xml:space="preserve"> year</w:t>
      </w:r>
      <w:r>
        <w:t xml:space="preserve">.  </w:t>
      </w:r>
      <w:r w:rsidRPr="00896026">
        <w:t>It describes the strategic context within which the NIEA operates, identifies the key priorities for the year and sets out the specific targets the Agency is seeking to achieve to meet its Programme for Government, Departmental and Agency commitments in 201</w:t>
      </w:r>
      <w:r w:rsidR="00E907DA">
        <w:t>7</w:t>
      </w:r>
      <w:r w:rsidRPr="00896026">
        <w:t>-1</w:t>
      </w:r>
      <w:r w:rsidR="00E907DA">
        <w:t>8</w:t>
      </w:r>
      <w:r w:rsidRPr="00896026">
        <w:t>.</w:t>
      </w:r>
    </w:p>
    <w:p w:rsidR="006731DD" w:rsidRPr="00896026" w:rsidRDefault="006731DD" w:rsidP="006731DD">
      <w:pPr>
        <w:pStyle w:val="default"/>
        <w:spacing w:line="360" w:lineRule="auto"/>
      </w:pPr>
    </w:p>
    <w:p w:rsidR="00B452EB" w:rsidRDefault="00B452EB" w:rsidP="00B452EB">
      <w:pPr>
        <w:pStyle w:val="default"/>
        <w:numPr>
          <w:ilvl w:val="0"/>
          <w:numId w:val="21"/>
        </w:numPr>
        <w:spacing w:line="360" w:lineRule="auto"/>
        <w:ind w:left="709" w:hanging="643"/>
        <w:rPr>
          <w:b/>
        </w:rPr>
      </w:pPr>
      <w:r w:rsidRPr="00896026">
        <w:t xml:space="preserve">The NIEA is an Executive Agency within the Department of </w:t>
      </w:r>
      <w:r>
        <w:t xml:space="preserve">Agriculture </w:t>
      </w:r>
      <w:r w:rsidRPr="00896026">
        <w:t>Environment</w:t>
      </w:r>
      <w:r>
        <w:t xml:space="preserve"> and Rural Affairs</w:t>
      </w:r>
      <w:r w:rsidRPr="00896026">
        <w:t xml:space="preserve"> (D</w:t>
      </w:r>
      <w:r>
        <w:t>AERA</w:t>
      </w:r>
      <w:r w:rsidRPr="00896026">
        <w:t>) in Northern Ireland operating within the context of the Department’s overall vision and strategic objectives</w:t>
      </w:r>
      <w:r w:rsidR="001E5F39">
        <w:t xml:space="preserve">.  The Agency’s </w:t>
      </w:r>
      <w:r>
        <w:t>primar</w:t>
      </w:r>
      <w:r w:rsidR="001E5F39">
        <w:t>y purpose is</w:t>
      </w:r>
      <w:r w:rsidRPr="00896026">
        <w:t xml:space="preserve"> to protect </w:t>
      </w:r>
      <w:r>
        <w:t xml:space="preserve">and enhance </w:t>
      </w:r>
      <w:r w:rsidRPr="00896026">
        <w:t>Northern Ireland’s environment</w:t>
      </w:r>
      <w:r>
        <w:t xml:space="preserve">.  </w:t>
      </w:r>
    </w:p>
    <w:p w:rsidR="00B452EB" w:rsidRDefault="00B452EB" w:rsidP="00B452EB">
      <w:pPr>
        <w:pStyle w:val="default"/>
        <w:spacing w:line="360" w:lineRule="auto"/>
        <w:rPr>
          <w:b/>
        </w:rPr>
      </w:pPr>
    </w:p>
    <w:p w:rsidR="00043941" w:rsidRDefault="001E5F39" w:rsidP="00043941">
      <w:pPr>
        <w:pStyle w:val="default"/>
        <w:numPr>
          <w:ilvl w:val="0"/>
          <w:numId w:val="21"/>
        </w:numPr>
        <w:spacing w:line="360" w:lineRule="auto"/>
        <w:ind w:hanging="786"/>
        <w:rPr>
          <w:b/>
        </w:rPr>
      </w:pPr>
      <w:r>
        <w:t xml:space="preserve">The </w:t>
      </w:r>
      <w:r w:rsidR="00043941" w:rsidRPr="00896026">
        <w:t>Agency’s Framework Document sets out</w:t>
      </w:r>
      <w:r w:rsidR="00043941">
        <w:t xml:space="preserve"> </w:t>
      </w:r>
      <w:r>
        <w:t>its</w:t>
      </w:r>
      <w:r w:rsidR="00043941">
        <w:t xml:space="preserve"> relationship with the Department, the approach to corporate g</w:t>
      </w:r>
      <w:r w:rsidR="00043941" w:rsidRPr="00896026">
        <w:t xml:space="preserve">overnance </w:t>
      </w:r>
      <w:r w:rsidR="00043941">
        <w:t xml:space="preserve">and </w:t>
      </w:r>
      <w:r w:rsidR="00043941" w:rsidRPr="00896026">
        <w:t>provid</w:t>
      </w:r>
      <w:r w:rsidR="00043941">
        <w:t>es</w:t>
      </w:r>
      <w:r w:rsidR="00043941" w:rsidRPr="00896026">
        <w:t xml:space="preserve"> information on the arrangements that have been put in place to ensure proper and effective management of the Agency’s</w:t>
      </w:r>
      <w:r w:rsidR="00E907DA">
        <w:t xml:space="preserve"> affairs.</w:t>
      </w:r>
    </w:p>
    <w:p w:rsidR="00043941" w:rsidRPr="00043941" w:rsidRDefault="00043941" w:rsidP="00043941">
      <w:pPr>
        <w:pStyle w:val="default"/>
        <w:spacing w:line="360" w:lineRule="auto"/>
        <w:ind w:left="709"/>
        <w:rPr>
          <w:color w:val="1F497D"/>
        </w:rPr>
      </w:pPr>
    </w:p>
    <w:p w:rsidR="00B452EB" w:rsidRDefault="00B452EB" w:rsidP="00B452EB">
      <w:pPr>
        <w:pStyle w:val="default"/>
        <w:numPr>
          <w:ilvl w:val="0"/>
          <w:numId w:val="21"/>
        </w:numPr>
        <w:spacing w:line="360" w:lineRule="auto"/>
        <w:ind w:left="709" w:hanging="643"/>
        <w:rPr>
          <w:color w:val="1F497D"/>
        </w:rPr>
      </w:pPr>
      <w:r w:rsidRPr="00896026">
        <w:t>We have a total staff</w:t>
      </w:r>
      <w:r>
        <w:t xml:space="preserve">ing level </w:t>
      </w:r>
      <w:r w:rsidRPr="00896026">
        <w:t xml:space="preserve">of </w:t>
      </w:r>
      <w:r w:rsidRPr="00F107DD">
        <w:t>c.</w:t>
      </w:r>
      <w:r>
        <w:t>4</w:t>
      </w:r>
      <w:r w:rsidR="004C6A4B">
        <w:t>6</w:t>
      </w:r>
      <w:r>
        <w:t>0</w:t>
      </w:r>
      <w:r w:rsidRPr="00896026">
        <w:t xml:space="preserve"> staff (Full Time Equivalents) who are located in offices and regional sites across Northern Ireland</w:t>
      </w:r>
      <w:r>
        <w:t xml:space="preserve">.  </w:t>
      </w:r>
      <w:r w:rsidRPr="00896026">
        <w:t xml:space="preserve">There are </w:t>
      </w:r>
      <w:r w:rsidRPr="009D7952">
        <w:t>two</w:t>
      </w:r>
      <w:r w:rsidRPr="00896026">
        <w:t xml:space="preserve"> major sites: </w:t>
      </w:r>
      <w:r>
        <w:t>one</w:t>
      </w:r>
      <w:r w:rsidRPr="00896026">
        <w:t xml:space="preserve"> in Belfast and one in Lisburn, with the Agency’s headquarters located in the Klondyke Building, Belfast</w:t>
      </w:r>
      <w:r>
        <w:t>.</w:t>
      </w:r>
      <w:r w:rsidR="004C6A4B">
        <w:t xml:space="preserve">  As mentioned in the CEO foreword, 35 Agency staff will be moving to the new </w:t>
      </w:r>
      <w:r w:rsidR="001E5F39">
        <w:t xml:space="preserve">DAERA </w:t>
      </w:r>
      <w:r w:rsidR="004C6A4B">
        <w:t>building at Ballykelly from January 2018.</w:t>
      </w:r>
    </w:p>
    <w:p w:rsidR="006731DD" w:rsidRDefault="006731DD" w:rsidP="006731DD">
      <w:pPr>
        <w:widowControl w:val="0"/>
        <w:suppressAutoHyphens/>
        <w:autoSpaceDE w:val="0"/>
        <w:autoSpaceDN w:val="0"/>
        <w:adjustRightInd w:val="0"/>
        <w:spacing w:line="360" w:lineRule="auto"/>
        <w:textAlignment w:val="center"/>
        <w:rPr>
          <w:rFonts w:ascii="Arial" w:hAnsi="Arial" w:cs="Arial"/>
          <w:sz w:val="24"/>
          <w:szCs w:val="24"/>
        </w:rPr>
      </w:pPr>
    </w:p>
    <w:p w:rsidR="00E5716D" w:rsidRDefault="00E5716D" w:rsidP="00E5716D">
      <w:pPr>
        <w:pStyle w:val="default"/>
        <w:spacing w:line="360" w:lineRule="auto"/>
        <w:rPr>
          <w:b/>
          <w:bCs/>
        </w:rPr>
      </w:pPr>
      <w:r w:rsidRPr="005946F5">
        <w:rPr>
          <w:b/>
          <w:bCs/>
        </w:rPr>
        <w:t>Structure</w:t>
      </w:r>
    </w:p>
    <w:p w:rsidR="00E5716D" w:rsidRPr="00896026" w:rsidRDefault="00E5716D" w:rsidP="00E5716D">
      <w:pPr>
        <w:autoSpaceDE w:val="0"/>
        <w:autoSpaceDN w:val="0"/>
        <w:adjustRightInd w:val="0"/>
        <w:spacing w:line="360" w:lineRule="auto"/>
        <w:rPr>
          <w:rFonts w:ascii="Arial" w:hAnsi="Arial" w:cs="Arial"/>
          <w:b/>
          <w:color w:val="333399"/>
          <w:sz w:val="24"/>
          <w:szCs w:val="24"/>
        </w:rPr>
      </w:pPr>
    </w:p>
    <w:p w:rsidR="00E5716D" w:rsidRDefault="00E5716D" w:rsidP="00E5716D">
      <w:pPr>
        <w:numPr>
          <w:ilvl w:val="0"/>
          <w:numId w:val="21"/>
        </w:numPr>
        <w:spacing w:line="360" w:lineRule="auto"/>
        <w:ind w:hanging="786"/>
        <w:jc w:val="both"/>
        <w:rPr>
          <w:rFonts w:ascii="Arial" w:hAnsi="Arial" w:cs="Arial"/>
          <w:color w:val="000000"/>
          <w:sz w:val="24"/>
          <w:szCs w:val="24"/>
          <w:lang w:eastAsia="en-GB"/>
        </w:rPr>
      </w:pPr>
      <w:r w:rsidRPr="00896026">
        <w:rPr>
          <w:rFonts w:ascii="Arial" w:hAnsi="Arial" w:cs="Arial"/>
          <w:sz w:val="24"/>
          <w:szCs w:val="24"/>
        </w:rPr>
        <w:t>The NIEA sits within the Environment</w:t>
      </w:r>
      <w:r>
        <w:rPr>
          <w:rFonts w:ascii="Arial" w:hAnsi="Arial" w:cs="Arial"/>
          <w:sz w:val="24"/>
          <w:szCs w:val="24"/>
        </w:rPr>
        <w:t>,</w:t>
      </w:r>
      <w:r w:rsidRPr="00896026">
        <w:rPr>
          <w:rFonts w:ascii="Arial" w:hAnsi="Arial" w:cs="Arial"/>
          <w:sz w:val="24"/>
          <w:szCs w:val="24"/>
        </w:rPr>
        <w:t xml:space="preserve"> </w:t>
      </w:r>
      <w:r>
        <w:rPr>
          <w:rFonts w:ascii="Arial" w:hAnsi="Arial" w:cs="Arial"/>
          <w:sz w:val="24"/>
          <w:szCs w:val="24"/>
        </w:rPr>
        <w:t>M</w:t>
      </w:r>
      <w:r w:rsidRPr="00896026">
        <w:rPr>
          <w:rFonts w:ascii="Arial" w:hAnsi="Arial" w:cs="Arial"/>
          <w:sz w:val="24"/>
          <w:szCs w:val="24"/>
        </w:rPr>
        <w:t>arine</w:t>
      </w:r>
      <w:r>
        <w:rPr>
          <w:rFonts w:ascii="Arial" w:hAnsi="Arial" w:cs="Arial"/>
          <w:sz w:val="24"/>
          <w:szCs w:val="24"/>
        </w:rPr>
        <w:t xml:space="preserve"> and Fisheries</w:t>
      </w:r>
      <w:r w:rsidRPr="00896026">
        <w:rPr>
          <w:rFonts w:ascii="Arial" w:hAnsi="Arial" w:cs="Arial"/>
          <w:sz w:val="24"/>
          <w:szCs w:val="24"/>
        </w:rPr>
        <w:t xml:space="preserve"> Group of the Department and is headed by a Chief Executive </w:t>
      </w:r>
      <w:r>
        <w:rPr>
          <w:rFonts w:ascii="Arial" w:hAnsi="Arial" w:cs="Arial"/>
          <w:sz w:val="24"/>
          <w:szCs w:val="24"/>
        </w:rPr>
        <w:t xml:space="preserve">supported by two Executive Directors with responsibility for the Agency’s two divisions, </w:t>
      </w:r>
      <w:r w:rsidRPr="00896026">
        <w:rPr>
          <w:rFonts w:ascii="Arial" w:hAnsi="Arial" w:cs="Arial"/>
          <w:sz w:val="24"/>
          <w:szCs w:val="24"/>
        </w:rPr>
        <w:t>Natural Environment and Resource Efficiency</w:t>
      </w:r>
      <w:r>
        <w:rPr>
          <w:rFonts w:ascii="Arial" w:hAnsi="Arial" w:cs="Arial"/>
          <w:sz w:val="24"/>
          <w:szCs w:val="24"/>
        </w:rPr>
        <w:t xml:space="preserve">.  </w:t>
      </w:r>
      <w:r w:rsidR="005766CD">
        <w:rPr>
          <w:rFonts w:ascii="Arial" w:hAnsi="Arial" w:cs="Arial"/>
          <w:sz w:val="24"/>
          <w:szCs w:val="24"/>
        </w:rPr>
        <w:t>A Business Support Team assists the Chief Executive and Directors in the delivery of key corporate functions such as strategic planning, governance and financial</w:t>
      </w:r>
      <w:r w:rsidR="001E5F39">
        <w:rPr>
          <w:rFonts w:ascii="Arial" w:hAnsi="Arial" w:cs="Arial"/>
          <w:sz w:val="24"/>
          <w:szCs w:val="24"/>
        </w:rPr>
        <w:t xml:space="preserve"> and budget</w:t>
      </w:r>
      <w:r w:rsidR="005766CD">
        <w:rPr>
          <w:rFonts w:ascii="Arial" w:hAnsi="Arial" w:cs="Arial"/>
          <w:sz w:val="24"/>
          <w:szCs w:val="24"/>
        </w:rPr>
        <w:t xml:space="preserve"> management.  </w:t>
      </w:r>
      <w:r w:rsidRPr="00896026">
        <w:rPr>
          <w:rFonts w:ascii="Arial" w:hAnsi="Arial" w:cs="Arial"/>
          <w:color w:val="000000"/>
          <w:sz w:val="24"/>
          <w:szCs w:val="24"/>
          <w:lang w:eastAsia="en-GB"/>
        </w:rPr>
        <w:t xml:space="preserve">An </w:t>
      </w:r>
      <w:r w:rsidRPr="00896026">
        <w:rPr>
          <w:rFonts w:ascii="Arial" w:hAnsi="Arial" w:cs="Arial"/>
          <w:color w:val="000000"/>
          <w:sz w:val="24"/>
          <w:szCs w:val="24"/>
          <w:lang w:eastAsia="en-GB"/>
        </w:rPr>
        <w:lastRenderedPageBreak/>
        <w:t xml:space="preserve">organisational chart showing the Divisions within the Agency </w:t>
      </w:r>
      <w:r>
        <w:rPr>
          <w:rFonts w:ascii="Arial" w:hAnsi="Arial" w:cs="Arial"/>
          <w:color w:val="000000"/>
          <w:sz w:val="24"/>
          <w:szCs w:val="24"/>
          <w:lang w:eastAsia="en-GB"/>
        </w:rPr>
        <w:t>is</w:t>
      </w:r>
      <w:r w:rsidRPr="00896026">
        <w:rPr>
          <w:rFonts w:ascii="Arial" w:hAnsi="Arial" w:cs="Arial"/>
          <w:color w:val="000000"/>
          <w:sz w:val="24"/>
          <w:szCs w:val="24"/>
          <w:lang w:eastAsia="en-GB"/>
        </w:rPr>
        <w:t xml:space="preserve"> at </w:t>
      </w:r>
      <w:r w:rsidRPr="00896026">
        <w:rPr>
          <w:rFonts w:ascii="Arial" w:hAnsi="Arial" w:cs="Arial"/>
          <w:b/>
          <w:color w:val="000000"/>
          <w:sz w:val="24"/>
          <w:szCs w:val="24"/>
          <w:lang w:eastAsia="en-GB"/>
        </w:rPr>
        <w:t>Annex A</w:t>
      </w:r>
      <w:r w:rsidRPr="00896026">
        <w:rPr>
          <w:rFonts w:ascii="Arial" w:hAnsi="Arial" w:cs="Arial"/>
          <w:color w:val="000000"/>
          <w:sz w:val="24"/>
          <w:szCs w:val="24"/>
          <w:lang w:eastAsia="en-GB"/>
        </w:rPr>
        <w:t xml:space="preserve"> (page </w:t>
      </w:r>
      <w:r w:rsidR="009B5AB5">
        <w:rPr>
          <w:rFonts w:ascii="Arial" w:hAnsi="Arial" w:cs="Arial"/>
          <w:color w:val="000000"/>
          <w:sz w:val="24"/>
          <w:szCs w:val="24"/>
          <w:lang w:eastAsia="en-GB"/>
        </w:rPr>
        <w:t>1</w:t>
      </w:r>
      <w:r w:rsidR="00705E86">
        <w:rPr>
          <w:rFonts w:ascii="Arial" w:hAnsi="Arial" w:cs="Arial"/>
          <w:color w:val="000000"/>
          <w:sz w:val="24"/>
          <w:szCs w:val="24"/>
          <w:lang w:eastAsia="en-GB"/>
        </w:rPr>
        <w:t>3</w:t>
      </w:r>
      <w:r w:rsidRPr="00896026">
        <w:rPr>
          <w:rFonts w:ascii="Arial" w:hAnsi="Arial" w:cs="Arial"/>
          <w:color w:val="000000"/>
          <w:sz w:val="24"/>
          <w:szCs w:val="24"/>
          <w:lang w:eastAsia="en-GB"/>
        </w:rPr>
        <w:t>).</w:t>
      </w:r>
    </w:p>
    <w:p w:rsidR="00E5716D" w:rsidRDefault="00E5716D" w:rsidP="00E5716D">
      <w:pPr>
        <w:spacing w:line="360" w:lineRule="auto"/>
        <w:rPr>
          <w:rFonts w:ascii="Arial" w:hAnsi="Arial" w:cs="Arial"/>
          <w:sz w:val="24"/>
          <w:szCs w:val="24"/>
        </w:rPr>
      </w:pPr>
    </w:p>
    <w:p w:rsidR="00431DA4" w:rsidRDefault="00431DA4" w:rsidP="00431DA4">
      <w:pPr>
        <w:numPr>
          <w:ilvl w:val="0"/>
          <w:numId w:val="21"/>
        </w:numPr>
        <w:spacing w:line="360" w:lineRule="auto"/>
        <w:ind w:hanging="786"/>
        <w:jc w:val="both"/>
        <w:rPr>
          <w:rFonts w:ascii="Arial" w:hAnsi="Arial" w:cs="Arial"/>
          <w:sz w:val="24"/>
          <w:szCs w:val="24"/>
        </w:rPr>
      </w:pPr>
      <w:r w:rsidRPr="00896026">
        <w:rPr>
          <w:rFonts w:ascii="Arial" w:hAnsi="Arial" w:cs="Arial"/>
          <w:sz w:val="24"/>
          <w:szCs w:val="24"/>
        </w:rPr>
        <w:t xml:space="preserve">The Chief Executive of the Agency is also the Agency Accounting Officer with the responsibilities and delegations outlined in Chapter 3 of the Department of Finance </w:t>
      </w:r>
      <w:r>
        <w:rPr>
          <w:rFonts w:ascii="Arial" w:hAnsi="Arial" w:cs="Arial"/>
          <w:sz w:val="24"/>
          <w:szCs w:val="24"/>
        </w:rPr>
        <w:t xml:space="preserve">(DoF) </w:t>
      </w:r>
      <w:r w:rsidRPr="00896026">
        <w:rPr>
          <w:rFonts w:ascii="Arial" w:hAnsi="Arial" w:cs="Arial"/>
          <w:sz w:val="24"/>
          <w:szCs w:val="24"/>
        </w:rPr>
        <w:t>Guide - Managing Public Money Northern Ireland</w:t>
      </w:r>
      <w:r>
        <w:rPr>
          <w:rFonts w:ascii="Arial" w:hAnsi="Arial" w:cs="Arial"/>
          <w:sz w:val="24"/>
          <w:szCs w:val="24"/>
        </w:rPr>
        <w:t xml:space="preserve"> (MPMNI)</w:t>
      </w:r>
      <w:r w:rsidRPr="00896026">
        <w:rPr>
          <w:rFonts w:ascii="Arial" w:hAnsi="Arial" w:cs="Arial"/>
          <w:sz w:val="24"/>
          <w:szCs w:val="24"/>
        </w:rPr>
        <w:t>.</w:t>
      </w:r>
    </w:p>
    <w:p w:rsidR="00431DA4" w:rsidRDefault="00431DA4" w:rsidP="00E5716D">
      <w:pPr>
        <w:spacing w:line="360" w:lineRule="auto"/>
        <w:rPr>
          <w:rFonts w:ascii="Arial" w:hAnsi="Arial" w:cs="Arial"/>
          <w:sz w:val="24"/>
          <w:szCs w:val="24"/>
        </w:rPr>
      </w:pPr>
    </w:p>
    <w:p w:rsidR="00E5716D" w:rsidRDefault="00E5716D" w:rsidP="00431DA4">
      <w:pPr>
        <w:numPr>
          <w:ilvl w:val="0"/>
          <w:numId w:val="21"/>
        </w:numPr>
        <w:spacing w:line="360" w:lineRule="auto"/>
        <w:ind w:left="709" w:hanging="643"/>
        <w:jc w:val="both"/>
        <w:rPr>
          <w:rFonts w:ascii="Arial" w:hAnsi="Arial" w:cs="Arial"/>
          <w:sz w:val="24"/>
          <w:szCs w:val="24"/>
        </w:rPr>
      </w:pPr>
      <w:r>
        <w:rPr>
          <w:rFonts w:ascii="Arial" w:hAnsi="Arial" w:cs="Arial"/>
          <w:sz w:val="24"/>
          <w:szCs w:val="24"/>
        </w:rPr>
        <w:t>A</w:t>
      </w:r>
      <w:r w:rsidRPr="00896026">
        <w:rPr>
          <w:rFonts w:ascii="Arial" w:hAnsi="Arial" w:cs="Arial"/>
          <w:sz w:val="24"/>
          <w:szCs w:val="24"/>
        </w:rPr>
        <w:t xml:space="preserve"> Statutory Advisory Council</w:t>
      </w:r>
      <w:r>
        <w:rPr>
          <w:rFonts w:ascii="Arial" w:hAnsi="Arial" w:cs="Arial"/>
          <w:sz w:val="24"/>
          <w:szCs w:val="24"/>
        </w:rPr>
        <w:t>, the Council for Nature Conservation and the Countryside (CNCC),</w:t>
      </w:r>
      <w:r w:rsidRPr="00896026">
        <w:rPr>
          <w:rFonts w:ascii="Arial" w:hAnsi="Arial" w:cs="Arial"/>
          <w:sz w:val="24"/>
          <w:szCs w:val="24"/>
        </w:rPr>
        <w:t xml:space="preserve"> provide</w:t>
      </w:r>
      <w:r>
        <w:rPr>
          <w:rFonts w:ascii="Arial" w:hAnsi="Arial" w:cs="Arial"/>
          <w:sz w:val="24"/>
          <w:szCs w:val="24"/>
        </w:rPr>
        <w:t>s</w:t>
      </w:r>
      <w:r w:rsidRPr="00896026">
        <w:rPr>
          <w:rFonts w:ascii="Arial" w:hAnsi="Arial" w:cs="Arial"/>
          <w:sz w:val="24"/>
          <w:szCs w:val="24"/>
        </w:rPr>
        <w:t xml:space="preserve"> the Agency with independent advice on environmental issues and activities</w:t>
      </w:r>
      <w:r>
        <w:rPr>
          <w:rFonts w:ascii="Arial" w:hAnsi="Arial" w:cs="Arial"/>
          <w:sz w:val="24"/>
          <w:szCs w:val="24"/>
        </w:rPr>
        <w:t xml:space="preserve">.  </w:t>
      </w:r>
    </w:p>
    <w:p w:rsidR="00A60806" w:rsidRDefault="00A60806" w:rsidP="00A60806">
      <w:pPr>
        <w:pStyle w:val="ListParagraph"/>
        <w:rPr>
          <w:rFonts w:ascii="Arial" w:hAnsi="Arial" w:cs="Arial"/>
          <w:sz w:val="24"/>
          <w:szCs w:val="24"/>
        </w:rPr>
      </w:pPr>
    </w:p>
    <w:p w:rsidR="00A60806" w:rsidRDefault="00705E86" w:rsidP="00431DA4">
      <w:pPr>
        <w:numPr>
          <w:ilvl w:val="0"/>
          <w:numId w:val="21"/>
        </w:numPr>
        <w:spacing w:line="360" w:lineRule="auto"/>
        <w:ind w:left="709" w:hanging="643"/>
        <w:jc w:val="both"/>
        <w:rPr>
          <w:rFonts w:ascii="Arial" w:hAnsi="Arial" w:cs="Arial"/>
          <w:sz w:val="24"/>
          <w:szCs w:val="24"/>
        </w:rPr>
      </w:pPr>
      <w:r>
        <w:rPr>
          <w:rFonts w:ascii="Arial" w:hAnsi="Arial" w:cs="Arial"/>
          <w:sz w:val="24"/>
          <w:szCs w:val="24"/>
        </w:rPr>
        <w:t xml:space="preserve">A formal Audit and Risk Assurance Committee, </w:t>
      </w:r>
      <w:r w:rsidR="000C3A86">
        <w:rPr>
          <w:rFonts w:ascii="Arial" w:hAnsi="Arial" w:cs="Arial"/>
          <w:sz w:val="24"/>
          <w:szCs w:val="24"/>
        </w:rPr>
        <w:t>which includes</w:t>
      </w:r>
      <w:r>
        <w:rPr>
          <w:rFonts w:ascii="Arial" w:hAnsi="Arial" w:cs="Arial"/>
          <w:sz w:val="24"/>
          <w:szCs w:val="24"/>
        </w:rPr>
        <w:t xml:space="preserve"> </w:t>
      </w:r>
      <w:r w:rsidR="000C3A86">
        <w:rPr>
          <w:rFonts w:ascii="Arial" w:hAnsi="Arial" w:cs="Arial"/>
          <w:sz w:val="24"/>
          <w:szCs w:val="24"/>
        </w:rPr>
        <w:t>a non-executive chair, two independent members and rep</w:t>
      </w:r>
      <w:r>
        <w:rPr>
          <w:rFonts w:ascii="Arial" w:hAnsi="Arial" w:cs="Arial"/>
          <w:sz w:val="24"/>
          <w:szCs w:val="24"/>
        </w:rPr>
        <w:t>resentatives from both internal and external audit, advises the Chief Executive on issues of risk, control, governance and assurance.</w:t>
      </w:r>
    </w:p>
    <w:p w:rsidR="00E5716D" w:rsidRDefault="00E5716D" w:rsidP="006731DD">
      <w:pPr>
        <w:widowControl w:val="0"/>
        <w:suppressAutoHyphens/>
        <w:autoSpaceDE w:val="0"/>
        <w:autoSpaceDN w:val="0"/>
        <w:adjustRightInd w:val="0"/>
        <w:spacing w:line="360" w:lineRule="auto"/>
        <w:textAlignment w:val="center"/>
        <w:rPr>
          <w:rFonts w:ascii="Arial" w:hAnsi="Arial" w:cs="Arial"/>
          <w:sz w:val="24"/>
          <w:szCs w:val="24"/>
        </w:rPr>
      </w:pPr>
    </w:p>
    <w:p w:rsidR="0072321B" w:rsidRPr="0072321B" w:rsidRDefault="0072321B" w:rsidP="006731DD">
      <w:pPr>
        <w:widowControl w:val="0"/>
        <w:suppressAutoHyphens/>
        <w:autoSpaceDE w:val="0"/>
        <w:autoSpaceDN w:val="0"/>
        <w:adjustRightInd w:val="0"/>
        <w:spacing w:line="360" w:lineRule="auto"/>
        <w:textAlignment w:val="center"/>
        <w:rPr>
          <w:rFonts w:ascii="Arial" w:hAnsi="Arial" w:cs="Arial"/>
          <w:b/>
          <w:sz w:val="24"/>
          <w:szCs w:val="24"/>
        </w:rPr>
      </w:pPr>
      <w:r w:rsidRPr="0072321B">
        <w:rPr>
          <w:rFonts w:ascii="Arial" w:hAnsi="Arial" w:cs="Arial"/>
          <w:b/>
          <w:sz w:val="24"/>
          <w:szCs w:val="24"/>
        </w:rPr>
        <w:t>Strategic context</w:t>
      </w:r>
    </w:p>
    <w:p w:rsidR="00B452EB" w:rsidRDefault="00B452EB" w:rsidP="006731DD">
      <w:pPr>
        <w:widowControl w:val="0"/>
        <w:suppressAutoHyphens/>
        <w:autoSpaceDE w:val="0"/>
        <w:autoSpaceDN w:val="0"/>
        <w:adjustRightInd w:val="0"/>
        <w:spacing w:line="360" w:lineRule="auto"/>
        <w:textAlignment w:val="center"/>
        <w:rPr>
          <w:rFonts w:ascii="Arial" w:hAnsi="Arial" w:cs="Arial"/>
          <w:sz w:val="24"/>
          <w:szCs w:val="24"/>
        </w:rPr>
      </w:pPr>
    </w:p>
    <w:p w:rsidR="006731DD" w:rsidRDefault="00927AD6" w:rsidP="00431DA4">
      <w:pPr>
        <w:widowControl w:val="0"/>
        <w:numPr>
          <w:ilvl w:val="0"/>
          <w:numId w:val="21"/>
        </w:numPr>
        <w:suppressAutoHyphens/>
        <w:autoSpaceDE w:val="0"/>
        <w:autoSpaceDN w:val="0"/>
        <w:adjustRightInd w:val="0"/>
        <w:spacing w:line="360" w:lineRule="auto"/>
        <w:ind w:left="709" w:hanging="643"/>
        <w:textAlignment w:val="center"/>
        <w:rPr>
          <w:rFonts w:ascii="Arial" w:hAnsi="Arial" w:cs="Arial"/>
          <w:sz w:val="24"/>
          <w:szCs w:val="24"/>
        </w:rPr>
      </w:pPr>
      <w:r>
        <w:rPr>
          <w:rFonts w:ascii="Arial" w:hAnsi="Arial" w:cs="Arial"/>
          <w:sz w:val="24"/>
          <w:szCs w:val="24"/>
        </w:rPr>
        <w:t xml:space="preserve">The Department’s </w:t>
      </w:r>
      <w:r w:rsidR="006731DD" w:rsidRPr="0077052E">
        <w:rPr>
          <w:rFonts w:ascii="Arial" w:hAnsi="Arial" w:cs="Arial"/>
          <w:sz w:val="24"/>
          <w:szCs w:val="24"/>
        </w:rPr>
        <w:t xml:space="preserve">Vision </w:t>
      </w:r>
      <w:r>
        <w:rPr>
          <w:rFonts w:ascii="Arial" w:hAnsi="Arial" w:cs="Arial"/>
          <w:sz w:val="24"/>
          <w:szCs w:val="24"/>
        </w:rPr>
        <w:t>and</w:t>
      </w:r>
      <w:r w:rsidR="006731DD" w:rsidRPr="0077052E">
        <w:rPr>
          <w:rFonts w:ascii="Arial" w:hAnsi="Arial" w:cs="Arial"/>
          <w:sz w:val="24"/>
          <w:szCs w:val="24"/>
        </w:rPr>
        <w:t xml:space="preserve"> Strategic Outcomes ha</w:t>
      </w:r>
      <w:r w:rsidR="00B452EB">
        <w:rPr>
          <w:rFonts w:ascii="Arial" w:hAnsi="Arial" w:cs="Arial"/>
          <w:sz w:val="24"/>
          <w:szCs w:val="24"/>
        </w:rPr>
        <w:t>ve</w:t>
      </w:r>
      <w:r w:rsidR="006731DD" w:rsidRPr="0077052E">
        <w:rPr>
          <w:rFonts w:ascii="Arial" w:hAnsi="Arial" w:cs="Arial"/>
          <w:sz w:val="24"/>
          <w:szCs w:val="24"/>
        </w:rPr>
        <w:t xml:space="preserve"> been </w:t>
      </w:r>
      <w:r>
        <w:rPr>
          <w:rFonts w:ascii="Arial" w:hAnsi="Arial" w:cs="Arial"/>
          <w:sz w:val="24"/>
          <w:szCs w:val="24"/>
        </w:rPr>
        <w:t xml:space="preserve">defined </w:t>
      </w:r>
      <w:r w:rsidR="006731DD" w:rsidRPr="0077052E">
        <w:rPr>
          <w:rFonts w:ascii="Arial" w:hAnsi="Arial" w:cs="Arial"/>
          <w:sz w:val="24"/>
          <w:szCs w:val="24"/>
        </w:rPr>
        <w:t>as follows:</w:t>
      </w:r>
    </w:p>
    <w:p w:rsidR="006731DD" w:rsidRDefault="006731DD" w:rsidP="006731DD">
      <w:pPr>
        <w:widowControl w:val="0"/>
        <w:suppressAutoHyphens/>
        <w:autoSpaceDE w:val="0"/>
        <w:autoSpaceDN w:val="0"/>
        <w:adjustRightInd w:val="0"/>
        <w:spacing w:line="360" w:lineRule="auto"/>
        <w:textAlignment w:val="center"/>
        <w:rPr>
          <w:rFonts w:ascii="Arial" w:hAnsi="Arial" w:cs="Arial"/>
          <w:sz w:val="24"/>
          <w:szCs w:val="24"/>
        </w:rPr>
      </w:pPr>
    </w:p>
    <w:p w:rsidR="006731DD" w:rsidRDefault="006731DD" w:rsidP="0072321B">
      <w:pPr>
        <w:pStyle w:val="Body"/>
        <w:spacing w:line="360" w:lineRule="auto"/>
        <w:jc w:val="both"/>
        <w:rPr>
          <w:rFonts w:ascii="Arial" w:hAnsi="Arial" w:cs="Arial"/>
          <w:b/>
          <w:sz w:val="24"/>
          <w:szCs w:val="24"/>
          <w:u w:val="single"/>
        </w:rPr>
      </w:pPr>
      <w:r w:rsidRPr="0072321B">
        <w:rPr>
          <w:rFonts w:ascii="Arial" w:hAnsi="Arial" w:cs="Arial"/>
          <w:sz w:val="24"/>
          <w:szCs w:val="24"/>
          <w:u w:val="single"/>
          <w:lang w:val="en-US"/>
        </w:rPr>
        <w:t>Vision:</w:t>
      </w:r>
      <w:r w:rsidRPr="00E36E5F">
        <w:rPr>
          <w:rFonts w:ascii="Arial" w:hAnsi="Arial" w:cs="Arial"/>
          <w:sz w:val="24"/>
          <w:szCs w:val="24"/>
        </w:rPr>
        <w:t xml:space="preserve"> </w:t>
      </w:r>
      <w:r w:rsidRPr="00E36E5F">
        <w:rPr>
          <w:rFonts w:ascii="Arial" w:hAnsi="Arial" w:cs="Arial"/>
          <w:sz w:val="24"/>
          <w:szCs w:val="24"/>
          <w:lang w:val="en-US"/>
        </w:rPr>
        <w:t>“A thriving and sustainable economy, environment and rural community”</w:t>
      </w:r>
    </w:p>
    <w:p w:rsidR="006731DD" w:rsidRDefault="006731DD" w:rsidP="006731DD">
      <w:pPr>
        <w:pStyle w:val="Body"/>
        <w:spacing w:line="360" w:lineRule="auto"/>
        <w:jc w:val="both"/>
        <w:rPr>
          <w:rFonts w:ascii="Arial" w:hAnsi="Arial" w:cs="Arial"/>
          <w:sz w:val="24"/>
          <w:szCs w:val="24"/>
        </w:rPr>
      </w:pPr>
    </w:p>
    <w:p w:rsidR="006731DD" w:rsidRPr="0072321B" w:rsidRDefault="006731DD" w:rsidP="0072321B">
      <w:pPr>
        <w:pStyle w:val="Body"/>
        <w:spacing w:line="360" w:lineRule="auto"/>
        <w:jc w:val="both"/>
        <w:rPr>
          <w:rFonts w:ascii="Arial" w:hAnsi="Arial" w:cs="Arial"/>
          <w:sz w:val="24"/>
          <w:szCs w:val="24"/>
          <w:u w:val="single"/>
        </w:rPr>
      </w:pPr>
      <w:r w:rsidRPr="0072321B">
        <w:rPr>
          <w:rFonts w:ascii="Arial" w:hAnsi="Arial" w:cs="Arial"/>
          <w:sz w:val="24"/>
          <w:szCs w:val="24"/>
          <w:u w:val="single"/>
          <w:lang w:val="en-US"/>
        </w:rPr>
        <w:t>Strategic Outcomes:</w:t>
      </w:r>
    </w:p>
    <w:p w:rsidR="006731DD" w:rsidRDefault="006731DD" w:rsidP="006731DD">
      <w:pPr>
        <w:pStyle w:val="Body"/>
        <w:spacing w:line="360" w:lineRule="auto"/>
        <w:jc w:val="both"/>
        <w:rPr>
          <w:rFonts w:ascii="Arial" w:hAnsi="Arial" w:cs="Arial"/>
          <w:sz w:val="24"/>
          <w:szCs w:val="24"/>
          <w:lang w:val="en-US"/>
        </w:rPr>
      </w:pPr>
    </w:p>
    <w:p w:rsidR="006731DD" w:rsidRDefault="006731DD" w:rsidP="006731DD">
      <w:pPr>
        <w:pStyle w:val="Body"/>
        <w:numPr>
          <w:ilvl w:val="0"/>
          <w:numId w:val="19"/>
        </w:numPr>
        <w:spacing w:line="360" w:lineRule="auto"/>
        <w:jc w:val="both"/>
        <w:rPr>
          <w:rFonts w:ascii="Arial" w:hAnsi="Arial" w:cs="Arial"/>
          <w:sz w:val="24"/>
          <w:szCs w:val="24"/>
          <w:lang w:val="en-US"/>
        </w:rPr>
      </w:pPr>
      <w:r>
        <w:rPr>
          <w:rFonts w:ascii="Arial" w:hAnsi="Arial" w:cs="Arial"/>
          <w:sz w:val="24"/>
          <w:szCs w:val="24"/>
          <w:lang w:val="en-US"/>
        </w:rPr>
        <w:t>Sustainable agri-food, fisheries, forestry and industrial sectors</w:t>
      </w:r>
      <w:r w:rsidR="00B452EB">
        <w:rPr>
          <w:rFonts w:ascii="Arial" w:hAnsi="Arial" w:cs="Arial"/>
          <w:sz w:val="24"/>
          <w:szCs w:val="24"/>
          <w:lang w:val="en-US"/>
        </w:rPr>
        <w:t>;</w:t>
      </w:r>
    </w:p>
    <w:p w:rsidR="006731DD" w:rsidRDefault="006731DD" w:rsidP="006731DD">
      <w:pPr>
        <w:pStyle w:val="Body"/>
        <w:numPr>
          <w:ilvl w:val="0"/>
          <w:numId w:val="19"/>
        </w:numPr>
        <w:spacing w:line="360" w:lineRule="auto"/>
        <w:jc w:val="both"/>
        <w:rPr>
          <w:rFonts w:ascii="Arial" w:hAnsi="Arial" w:cs="Arial"/>
          <w:sz w:val="24"/>
          <w:szCs w:val="24"/>
          <w:lang w:val="en-US"/>
        </w:rPr>
      </w:pPr>
      <w:r>
        <w:rPr>
          <w:rFonts w:ascii="Arial" w:hAnsi="Arial" w:cs="Arial"/>
          <w:sz w:val="24"/>
          <w:szCs w:val="24"/>
          <w:lang w:val="en-US"/>
        </w:rPr>
        <w:t>A clean, healthy environment, benefiting people, nature and the economy</w:t>
      </w:r>
      <w:r w:rsidR="00B452EB">
        <w:rPr>
          <w:rFonts w:ascii="Arial" w:hAnsi="Arial" w:cs="Arial"/>
          <w:sz w:val="24"/>
          <w:szCs w:val="24"/>
          <w:lang w:val="en-US"/>
        </w:rPr>
        <w:t>; and</w:t>
      </w:r>
    </w:p>
    <w:p w:rsidR="006731DD" w:rsidRDefault="006731DD" w:rsidP="006731DD">
      <w:pPr>
        <w:pStyle w:val="Body"/>
        <w:numPr>
          <w:ilvl w:val="0"/>
          <w:numId w:val="19"/>
        </w:numPr>
        <w:spacing w:line="360" w:lineRule="auto"/>
        <w:jc w:val="both"/>
        <w:rPr>
          <w:rFonts w:ascii="Arial" w:hAnsi="Arial" w:cs="Arial"/>
          <w:sz w:val="24"/>
          <w:szCs w:val="24"/>
          <w:lang w:val="en-US"/>
        </w:rPr>
      </w:pPr>
      <w:r>
        <w:rPr>
          <w:rFonts w:ascii="Arial" w:hAnsi="Arial" w:cs="Arial"/>
          <w:sz w:val="24"/>
          <w:szCs w:val="24"/>
          <w:lang w:val="en-US"/>
        </w:rPr>
        <w:t>A thriving rural economy, contributing to prosperity and wellbeing.</w:t>
      </w:r>
    </w:p>
    <w:p w:rsidR="006731DD" w:rsidRDefault="006731DD" w:rsidP="006731DD">
      <w:pPr>
        <w:pStyle w:val="Body"/>
        <w:spacing w:line="360" w:lineRule="auto"/>
        <w:jc w:val="both"/>
        <w:rPr>
          <w:rFonts w:ascii="Arial" w:hAnsi="Arial" w:cs="Arial"/>
          <w:sz w:val="24"/>
          <w:szCs w:val="24"/>
          <w:lang w:val="en-US"/>
        </w:rPr>
      </w:pPr>
    </w:p>
    <w:p w:rsidR="006731DD" w:rsidRDefault="006731DD" w:rsidP="00431DA4">
      <w:pPr>
        <w:numPr>
          <w:ilvl w:val="0"/>
          <w:numId w:val="21"/>
        </w:numPr>
        <w:spacing w:line="360" w:lineRule="auto"/>
        <w:ind w:left="709" w:hanging="643"/>
        <w:jc w:val="both"/>
        <w:rPr>
          <w:rFonts w:ascii="Arial" w:hAnsi="Arial" w:cs="Arial"/>
          <w:sz w:val="24"/>
          <w:szCs w:val="24"/>
        </w:rPr>
      </w:pPr>
      <w:r>
        <w:rPr>
          <w:rFonts w:ascii="Arial" w:hAnsi="Arial" w:cs="Arial"/>
          <w:sz w:val="24"/>
          <w:szCs w:val="24"/>
        </w:rPr>
        <w:t>Although the Agency will deliver outputs relating to all these outcomes, it will primarily deliver against the second outcome.</w:t>
      </w:r>
      <w:r w:rsidR="00927AD6">
        <w:rPr>
          <w:rFonts w:ascii="Arial" w:hAnsi="Arial" w:cs="Arial"/>
          <w:sz w:val="24"/>
          <w:szCs w:val="24"/>
        </w:rPr>
        <w:t xml:space="preserve">  In turn</w:t>
      </w:r>
      <w:r w:rsidR="00CE2646">
        <w:rPr>
          <w:rFonts w:ascii="Arial" w:hAnsi="Arial" w:cs="Arial"/>
          <w:sz w:val="24"/>
          <w:szCs w:val="24"/>
        </w:rPr>
        <w:t>,</w:t>
      </w:r>
      <w:r w:rsidR="00927AD6">
        <w:rPr>
          <w:rFonts w:ascii="Arial" w:hAnsi="Arial" w:cs="Arial"/>
          <w:sz w:val="24"/>
          <w:szCs w:val="24"/>
        </w:rPr>
        <w:t xml:space="preserve"> this departmental strategic outcome underpins and links to the following </w:t>
      </w:r>
      <w:r w:rsidR="00B452EB">
        <w:rPr>
          <w:rFonts w:ascii="Arial" w:hAnsi="Arial" w:cs="Arial"/>
          <w:sz w:val="24"/>
          <w:szCs w:val="24"/>
        </w:rPr>
        <w:t xml:space="preserve">three </w:t>
      </w:r>
      <w:r w:rsidR="00927AD6">
        <w:rPr>
          <w:rFonts w:ascii="Arial" w:hAnsi="Arial" w:cs="Arial"/>
          <w:sz w:val="24"/>
          <w:szCs w:val="24"/>
        </w:rPr>
        <w:t xml:space="preserve">Programme for Government (PfG) </w:t>
      </w:r>
      <w:r w:rsidR="00CE2646">
        <w:rPr>
          <w:rFonts w:ascii="Arial" w:hAnsi="Arial" w:cs="Arial"/>
          <w:sz w:val="24"/>
          <w:szCs w:val="24"/>
        </w:rPr>
        <w:t xml:space="preserve">proposed </w:t>
      </w:r>
      <w:r w:rsidR="00927AD6">
        <w:rPr>
          <w:rFonts w:ascii="Arial" w:hAnsi="Arial" w:cs="Arial"/>
          <w:sz w:val="24"/>
          <w:szCs w:val="24"/>
        </w:rPr>
        <w:t>outcomes:</w:t>
      </w:r>
    </w:p>
    <w:p w:rsidR="00927AD6" w:rsidRDefault="00927AD6" w:rsidP="00927AD6">
      <w:pPr>
        <w:spacing w:line="360" w:lineRule="auto"/>
        <w:ind w:left="709"/>
        <w:jc w:val="both"/>
        <w:rPr>
          <w:rFonts w:ascii="Arial" w:hAnsi="Arial" w:cs="Arial"/>
          <w:sz w:val="24"/>
          <w:szCs w:val="24"/>
        </w:rPr>
      </w:pPr>
    </w:p>
    <w:p w:rsidR="00927AD6" w:rsidRDefault="00927AD6" w:rsidP="00927AD6">
      <w:pPr>
        <w:numPr>
          <w:ilvl w:val="0"/>
          <w:numId w:val="24"/>
        </w:numPr>
        <w:spacing w:line="360" w:lineRule="auto"/>
        <w:jc w:val="both"/>
        <w:rPr>
          <w:rFonts w:ascii="Arial" w:hAnsi="Arial" w:cs="Arial"/>
          <w:sz w:val="24"/>
          <w:szCs w:val="24"/>
        </w:rPr>
      </w:pPr>
      <w:r>
        <w:rPr>
          <w:rFonts w:ascii="Arial" w:hAnsi="Arial" w:cs="Arial"/>
          <w:sz w:val="24"/>
          <w:szCs w:val="24"/>
        </w:rPr>
        <w:t>We live and work sustainably – protecting the environment.</w:t>
      </w:r>
    </w:p>
    <w:p w:rsidR="00927AD6" w:rsidRDefault="00927AD6" w:rsidP="00927AD6">
      <w:pPr>
        <w:numPr>
          <w:ilvl w:val="0"/>
          <w:numId w:val="24"/>
        </w:numPr>
        <w:spacing w:line="360" w:lineRule="auto"/>
        <w:jc w:val="both"/>
        <w:rPr>
          <w:rFonts w:ascii="Arial" w:hAnsi="Arial" w:cs="Arial"/>
          <w:sz w:val="24"/>
          <w:szCs w:val="24"/>
        </w:rPr>
      </w:pPr>
      <w:r>
        <w:rPr>
          <w:rFonts w:ascii="Arial" w:hAnsi="Arial" w:cs="Arial"/>
          <w:sz w:val="24"/>
          <w:szCs w:val="24"/>
        </w:rPr>
        <w:t>We have created a place where people want to l</w:t>
      </w:r>
      <w:r w:rsidR="00B83189">
        <w:rPr>
          <w:rFonts w:ascii="Arial" w:hAnsi="Arial" w:cs="Arial"/>
          <w:sz w:val="24"/>
          <w:szCs w:val="24"/>
        </w:rPr>
        <w:t>i</w:t>
      </w:r>
      <w:r>
        <w:rPr>
          <w:rFonts w:ascii="Arial" w:hAnsi="Arial" w:cs="Arial"/>
          <w:sz w:val="24"/>
          <w:szCs w:val="24"/>
        </w:rPr>
        <w:t>ve and work, to visit and invest.</w:t>
      </w:r>
    </w:p>
    <w:p w:rsidR="00927AD6" w:rsidRDefault="00927AD6" w:rsidP="00927AD6">
      <w:pPr>
        <w:numPr>
          <w:ilvl w:val="0"/>
          <w:numId w:val="24"/>
        </w:numPr>
        <w:spacing w:line="360" w:lineRule="auto"/>
        <w:jc w:val="both"/>
        <w:rPr>
          <w:rFonts w:ascii="Arial" w:hAnsi="Arial" w:cs="Arial"/>
          <w:sz w:val="24"/>
          <w:szCs w:val="24"/>
        </w:rPr>
      </w:pPr>
      <w:r>
        <w:rPr>
          <w:rFonts w:ascii="Arial" w:hAnsi="Arial" w:cs="Arial"/>
          <w:sz w:val="24"/>
          <w:szCs w:val="24"/>
        </w:rPr>
        <w:t>We enjoy long, health</w:t>
      </w:r>
      <w:r w:rsidR="00B83189">
        <w:rPr>
          <w:rFonts w:ascii="Arial" w:hAnsi="Arial" w:cs="Arial"/>
          <w:sz w:val="24"/>
          <w:szCs w:val="24"/>
        </w:rPr>
        <w:t>y</w:t>
      </w:r>
      <w:r>
        <w:rPr>
          <w:rFonts w:ascii="Arial" w:hAnsi="Arial" w:cs="Arial"/>
          <w:sz w:val="24"/>
          <w:szCs w:val="24"/>
        </w:rPr>
        <w:t>, active lives.</w:t>
      </w:r>
    </w:p>
    <w:p w:rsidR="0000320F" w:rsidRDefault="0000320F" w:rsidP="0072321B">
      <w:pPr>
        <w:pStyle w:val="default"/>
        <w:spacing w:line="360" w:lineRule="auto"/>
        <w:rPr>
          <w:b/>
          <w:bCs/>
        </w:rPr>
      </w:pPr>
    </w:p>
    <w:p w:rsidR="006731DD" w:rsidRPr="00896026" w:rsidRDefault="00431DA4" w:rsidP="00431DA4">
      <w:pPr>
        <w:pStyle w:val="default"/>
        <w:numPr>
          <w:ilvl w:val="0"/>
          <w:numId w:val="21"/>
        </w:numPr>
        <w:ind w:hanging="644"/>
      </w:pPr>
      <w:r w:rsidRPr="00431DA4">
        <w:rPr>
          <w:bCs/>
        </w:rPr>
        <w:t>To help deliver outputs relating to the Department’s outcome</w:t>
      </w:r>
      <w:r w:rsidR="00B83189">
        <w:rPr>
          <w:bCs/>
        </w:rPr>
        <w:t>s</w:t>
      </w:r>
      <w:r w:rsidRPr="00431DA4">
        <w:rPr>
          <w:bCs/>
        </w:rPr>
        <w:t>, specifically outcome two, the Agency will focus on the following key priorities:</w:t>
      </w:r>
    </w:p>
    <w:p w:rsidR="006731DD" w:rsidRPr="005A7222" w:rsidRDefault="006731DD" w:rsidP="006731DD">
      <w:pPr>
        <w:spacing w:line="360" w:lineRule="auto"/>
        <w:jc w:val="both"/>
        <w:rPr>
          <w:rFonts w:ascii="Arial" w:hAnsi="Arial" w:cs="Arial"/>
          <w:b/>
          <w:color w:val="FFFFFF"/>
          <w:sz w:val="24"/>
          <w:szCs w:val="24"/>
        </w:rPr>
      </w:pPr>
    </w:p>
    <w:p w:rsidR="006731DD" w:rsidRPr="00A9730E" w:rsidRDefault="006731DD" w:rsidP="006731DD">
      <w:pPr>
        <w:numPr>
          <w:ilvl w:val="0"/>
          <w:numId w:val="20"/>
        </w:numPr>
        <w:autoSpaceDE w:val="0"/>
        <w:autoSpaceDN w:val="0"/>
        <w:adjustRightInd w:val="0"/>
        <w:spacing w:line="360" w:lineRule="auto"/>
        <w:jc w:val="both"/>
        <w:rPr>
          <w:rFonts w:ascii="Arial" w:hAnsi="Arial" w:cs="Arial"/>
          <w:sz w:val="24"/>
          <w:szCs w:val="24"/>
        </w:rPr>
      </w:pPr>
      <w:r w:rsidRPr="00A9730E">
        <w:rPr>
          <w:rFonts w:ascii="Arial" w:hAnsi="Arial" w:cs="Arial"/>
          <w:sz w:val="24"/>
          <w:szCs w:val="24"/>
        </w:rPr>
        <w:t>A full</w:t>
      </w:r>
      <w:r>
        <w:rPr>
          <w:rFonts w:ascii="Arial" w:hAnsi="Arial" w:cs="Arial"/>
          <w:sz w:val="24"/>
          <w:szCs w:val="24"/>
        </w:rPr>
        <w:t>y</w:t>
      </w:r>
      <w:r w:rsidRPr="00A9730E">
        <w:rPr>
          <w:rFonts w:ascii="Arial" w:hAnsi="Arial" w:cs="Arial"/>
          <w:sz w:val="24"/>
          <w:szCs w:val="24"/>
        </w:rPr>
        <w:t xml:space="preserve"> compliant regulated industry;</w:t>
      </w:r>
    </w:p>
    <w:p w:rsidR="006731DD" w:rsidRPr="00A9730E" w:rsidRDefault="006731DD" w:rsidP="006731DD">
      <w:pPr>
        <w:numPr>
          <w:ilvl w:val="0"/>
          <w:numId w:val="20"/>
        </w:numPr>
        <w:autoSpaceDE w:val="0"/>
        <w:autoSpaceDN w:val="0"/>
        <w:adjustRightInd w:val="0"/>
        <w:spacing w:line="360" w:lineRule="auto"/>
        <w:jc w:val="both"/>
        <w:rPr>
          <w:rFonts w:ascii="Arial" w:hAnsi="Arial" w:cs="Arial"/>
          <w:sz w:val="24"/>
          <w:szCs w:val="24"/>
        </w:rPr>
      </w:pPr>
      <w:r w:rsidRPr="00A9730E">
        <w:rPr>
          <w:rFonts w:ascii="Arial" w:hAnsi="Arial" w:cs="Arial"/>
          <w:sz w:val="24"/>
          <w:szCs w:val="24"/>
        </w:rPr>
        <w:t>Freshwater and marine environment at “good status”;</w:t>
      </w:r>
    </w:p>
    <w:p w:rsidR="006731DD" w:rsidRPr="00A9730E" w:rsidRDefault="006731DD" w:rsidP="006731DD">
      <w:pPr>
        <w:numPr>
          <w:ilvl w:val="0"/>
          <w:numId w:val="20"/>
        </w:numPr>
        <w:autoSpaceDE w:val="0"/>
        <w:autoSpaceDN w:val="0"/>
        <w:adjustRightInd w:val="0"/>
        <w:spacing w:line="360" w:lineRule="auto"/>
        <w:jc w:val="both"/>
        <w:rPr>
          <w:rFonts w:ascii="Arial" w:hAnsi="Arial" w:cs="Arial"/>
          <w:sz w:val="24"/>
          <w:szCs w:val="24"/>
        </w:rPr>
      </w:pPr>
      <w:r w:rsidRPr="00A9730E">
        <w:rPr>
          <w:rFonts w:ascii="Arial" w:hAnsi="Arial" w:cs="Arial"/>
          <w:sz w:val="24"/>
          <w:szCs w:val="24"/>
        </w:rPr>
        <w:t>A compliant crime free waste sector;</w:t>
      </w:r>
    </w:p>
    <w:p w:rsidR="006731DD" w:rsidRDefault="006731DD" w:rsidP="006731DD">
      <w:pPr>
        <w:numPr>
          <w:ilvl w:val="0"/>
          <w:numId w:val="20"/>
        </w:numPr>
        <w:autoSpaceDE w:val="0"/>
        <w:autoSpaceDN w:val="0"/>
        <w:adjustRightInd w:val="0"/>
        <w:spacing w:line="360" w:lineRule="auto"/>
        <w:jc w:val="both"/>
        <w:rPr>
          <w:rFonts w:ascii="Arial" w:hAnsi="Arial" w:cs="Arial"/>
          <w:sz w:val="24"/>
          <w:szCs w:val="24"/>
        </w:rPr>
      </w:pPr>
      <w:r>
        <w:rPr>
          <w:rFonts w:ascii="Arial" w:hAnsi="Arial" w:cs="Arial"/>
          <w:sz w:val="24"/>
          <w:szCs w:val="24"/>
        </w:rPr>
        <w:t>Good habitat and landscape quality with species abundance and diversity; and</w:t>
      </w:r>
    </w:p>
    <w:p w:rsidR="006731DD" w:rsidRDefault="006731DD" w:rsidP="006731DD">
      <w:pPr>
        <w:numPr>
          <w:ilvl w:val="0"/>
          <w:numId w:val="20"/>
        </w:numPr>
        <w:autoSpaceDE w:val="0"/>
        <w:autoSpaceDN w:val="0"/>
        <w:adjustRightInd w:val="0"/>
        <w:spacing w:line="360" w:lineRule="auto"/>
        <w:jc w:val="both"/>
        <w:rPr>
          <w:rFonts w:ascii="Arial" w:hAnsi="Arial" w:cs="Arial"/>
          <w:sz w:val="24"/>
          <w:szCs w:val="24"/>
        </w:rPr>
      </w:pPr>
      <w:r>
        <w:rPr>
          <w:rFonts w:ascii="Arial" w:hAnsi="Arial" w:cs="Arial"/>
          <w:sz w:val="24"/>
          <w:szCs w:val="24"/>
        </w:rPr>
        <w:t>Promot</w:t>
      </w:r>
      <w:r w:rsidR="00431DA4">
        <w:rPr>
          <w:rFonts w:ascii="Arial" w:hAnsi="Arial" w:cs="Arial"/>
          <w:sz w:val="24"/>
          <w:szCs w:val="24"/>
        </w:rPr>
        <w:t xml:space="preserve">ion of </w:t>
      </w:r>
      <w:r>
        <w:rPr>
          <w:rFonts w:ascii="Arial" w:hAnsi="Arial" w:cs="Arial"/>
          <w:sz w:val="24"/>
          <w:szCs w:val="24"/>
        </w:rPr>
        <w:t>environmentally sustainable development and infrastructure.</w:t>
      </w:r>
    </w:p>
    <w:p w:rsidR="006731DD" w:rsidRDefault="006731DD" w:rsidP="006731DD">
      <w:pPr>
        <w:autoSpaceDE w:val="0"/>
        <w:autoSpaceDN w:val="0"/>
        <w:adjustRightInd w:val="0"/>
        <w:spacing w:line="360" w:lineRule="auto"/>
        <w:jc w:val="both"/>
        <w:rPr>
          <w:rFonts w:ascii="Arial" w:hAnsi="Arial" w:cs="Arial"/>
          <w:sz w:val="24"/>
          <w:szCs w:val="24"/>
        </w:rPr>
      </w:pPr>
    </w:p>
    <w:p w:rsidR="004D35C8" w:rsidRPr="004D35C8" w:rsidRDefault="00F32904" w:rsidP="00431DA4">
      <w:pPr>
        <w:numPr>
          <w:ilvl w:val="0"/>
          <w:numId w:val="21"/>
        </w:numPr>
        <w:autoSpaceDE w:val="0"/>
        <w:autoSpaceDN w:val="0"/>
        <w:adjustRightInd w:val="0"/>
        <w:spacing w:line="360" w:lineRule="auto"/>
        <w:ind w:left="709" w:hanging="709"/>
        <w:jc w:val="both"/>
        <w:rPr>
          <w:rFonts w:ascii="Arial" w:hAnsi="Arial" w:cs="Arial"/>
          <w:b/>
          <w:sz w:val="24"/>
          <w:szCs w:val="24"/>
        </w:rPr>
      </w:pPr>
      <w:r>
        <w:rPr>
          <w:rFonts w:ascii="Arial" w:hAnsi="Arial" w:cs="Arial"/>
          <w:sz w:val="24"/>
          <w:szCs w:val="24"/>
        </w:rPr>
        <w:t xml:space="preserve">The </w:t>
      </w:r>
      <w:r w:rsidR="00EA6317">
        <w:rPr>
          <w:rFonts w:ascii="Arial" w:hAnsi="Arial" w:cs="Arial"/>
          <w:sz w:val="24"/>
          <w:szCs w:val="24"/>
        </w:rPr>
        <w:t>t</w:t>
      </w:r>
      <w:r>
        <w:rPr>
          <w:rFonts w:ascii="Arial" w:hAnsi="Arial" w:cs="Arial"/>
          <w:sz w:val="24"/>
          <w:szCs w:val="24"/>
        </w:rPr>
        <w:t>argets through which these key priorities, and therefore the Department’s strategic outcomes, will be achieved, are shown on p</w:t>
      </w:r>
      <w:r w:rsidR="004D35C8">
        <w:rPr>
          <w:rFonts w:ascii="Arial" w:hAnsi="Arial" w:cs="Arial"/>
          <w:sz w:val="24"/>
          <w:szCs w:val="24"/>
        </w:rPr>
        <w:t xml:space="preserve">ages </w:t>
      </w:r>
      <w:r w:rsidR="009B5AB5">
        <w:rPr>
          <w:rFonts w:ascii="Arial" w:hAnsi="Arial" w:cs="Arial"/>
          <w:sz w:val="24"/>
          <w:szCs w:val="24"/>
        </w:rPr>
        <w:t>1</w:t>
      </w:r>
      <w:r w:rsidR="00C105C9">
        <w:rPr>
          <w:rFonts w:ascii="Arial" w:hAnsi="Arial" w:cs="Arial"/>
          <w:sz w:val="24"/>
          <w:szCs w:val="24"/>
        </w:rPr>
        <w:t>1</w:t>
      </w:r>
      <w:r w:rsidR="004D35C8" w:rsidRPr="004D35C8">
        <w:rPr>
          <w:rFonts w:ascii="Arial" w:hAnsi="Arial" w:cs="Arial"/>
          <w:b/>
          <w:sz w:val="24"/>
          <w:szCs w:val="24"/>
        </w:rPr>
        <w:t xml:space="preserve"> </w:t>
      </w:r>
      <w:r w:rsidR="009B5AB5" w:rsidRPr="009B5AB5">
        <w:rPr>
          <w:rFonts w:ascii="Arial" w:hAnsi="Arial" w:cs="Arial"/>
          <w:sz w:val="24"/>
          <w:szCs w:val="24"/>
        </w:rPr>
        <w:t>to 1</w:t>
      </w:r>
      <w:r w:rsidR="00C105C9">
        <w:rPr>
          <w:rFonts w:ascii="Arial" w:hAnsi="Arial" w:cs="Arial"/>
          <w:sz w:val="24"/>
          <w:szCs w:val="24"/>
        </w:rPr>
        <w:t>2</w:t>
      </w:r>
      <w:r w:rsidR="004D35C8">
        <w:rPr>
          <w:rFonts w:ascii="Arial" w:hAnsi="Arial" w:cs="Arial"/>
          <w:sz w:val="24"/>
          <w:szCs w:val="24"/>
        </w:rPr>
        <w:t xml:space="preserve">.  </w:t>
      </w:r>
      <w:r w:rsidR="00E907DA">
        <w:rPr>
          <w:rFonts w:ascii="Arial" w:hAnsi="Arial" w:cs="Arial"/>
          <w:sz w:val="24"/>
          <w:szCs w:val="24"/>
        </w:rPr>
        <w:t>T</w:t>
      </w:r>
      <w:r w:rsidR="00EA6317">
        <w:rPr>
          <w:rFonts w:ascii="Arial" w:hAnsi="Arial" w:cs="Arial"/>
          <w:sz w:val="24"/>
          <w:szCs w:val="24"/>
        </w:rPr>
        <w:t>he t</w:t>
      </w:r>
      <w:r w:rsidR="004D35C8">
        <w:rPr>
          <w:rFonts w:ascii="Arial" w:hAnsi="Arial" w:cs="Arial"/>
          <w:sz w:val="24"/>
          <w:szCs w:val="24"/>
        </w:rPr>
        <w:t>argets which are</w:t>
      </w:r>
      <w:r w:rsidR="00EA6317">
        <w:rPr>
          <w:rFonts w:ascii="Arial" w:hAnsi="Arial" w:cs="Arial"/>
          <w:sz w:val="24"/>
          <w:szCs w:val="24"/>
        </w:rPr>
        <w:t xml:space="preserve"> </w:t>
      </w:r>
      <w:r w:rsidR="004D35C8">
        <w:rPr>
          <w:rFonts w:ascii="Arial" w:hAnsi="Arial" w:cs="Arial"/>
          <w:sz w:val="24"/>
          <w:szCs w:val="24"/>
        </w:rPr>
        <w:t xml:space="preserve">included in the Department’s Annual Business Plan are </w:t>
      </w:r>
      <w:r w:rsidR="00E907DA">
        <w:rPr>
          <w:rFonts w:ascii="Arial" w:hAnsi="Arial" w:cs="Arial"/>
          <w:sz w:val="24"/>
          <w:szCs w:val="24"/>
        </w:rPr>
        <w:t xml:space="preserve">also </w:t>
      </w:r>
      <w:r w:rsidR="004D35C8">
        <w:rPr>
          <w:rFonts w:ascii="Arial" w:hAnsi="Arial" w:cs="Arial"/>
          <w:sz w:val="24"/>
          <w:szCs w:val="24"/>
        </w:rPr>
        <w:t>highlighted</w:t>
      </w:r>
      <w:r w:rsidR="00242C1B">
        <w:rPr>
          <w:rFonts w:ascii="Arial" w:hAnsi="Arial" w:cs="Arial"/>
          <w:sz w:val="24"/>
          <w:szCs w:val="24"/>
        </w:rPr>
        <w:t>.  Furthermore,</w:t>
      </w:r>
      <w:r w:rsidR="004D35C8">
        <w:rPr>
          <w:rFonts w:ascii="Arial" w:hAnsi="Arial" w:cs="Arial"/>
          <w:sz w:val="24"/>
          <w:szCs w:val="24"/>
        </w:rPr>
        <w:t xml:space="preserve"> in line with the NIEA Framework Document the </w:t>
      </w:r>
      <w:r w:rsidR="003B067E">
        <w:rPr>
          <w:rFonts w:ascii="Arial" w:hAnsi="Arial" w:cs="Arial"/>
          <w:sz w:val="24"/>
          <w:szCs w:val="24"/>
        </w:rPr>
        <w:t>7</w:t>
      </w:r>
      <w:r w:rsidR="00242C1B">
        <w:rPr>
          <w:rFonts w:ascii="Arial" w:hAnsi="Arial" w:cs="Arial"/>
          <w:sz w:val="24"/>
          <w:szCs w:val="24"/>
        </w:rPr>
        <w:t xml:space="preserve"> </w:t>
      </w:r>
      <w:r w:rsidR="004D35C8">
        <w:rPr>
          <w:rFonts w:ascii="Arial" w:hAnsi="Arial" w:cs="Arial"/>
          <w:sz w:val="24"/>
          <w:szCs w:val="24"/>
        </w:rPr>
        <w:t xml:space="preserve">targets agreed </w:t>
      </w:r>
      <w:r w:rsidR="00242C1B">
        <w:rPr>
          <w:rFonts w:ascii="Arial" w:hAnsi="Arial" w:cs="Arial"/>
          <w:sz w:val="24"/>
          <w:szCs w:val="24"/>
        </w:rPr>
        <w:t xml:space="preserve">by the Minister </w:t>
      </w:r>
      <w:r w:rsidR="004D35C8">
        <w:rPr>
          <w:rFonts w:ascii="Arial" w:hAnsi="Arial" w:cs="Arial"/>
          <w:sz w:val="24"/>
          <w:szCs w:val="24"/>
        </w:rPr>
        <w:t xml:space="preserve">as the Agency’s Key Performance Targets </w:t>
      </w:r>
      <w:r w:rsidR="00EE0533">
        <w:rPr>
          <w:rFonts w:ascii="Arial" w:hAnsi="Arial" w:cs="Arial"/>
          <w:sz w:val="24"/>
          <w:szCs w:val="24"/>
        </w:rPr>
        <w:t xml:space="preserve">(KPTs) </w:t>
      </w:r>
      <w:r w:rsidR="00242C1B">
        <w:rPr>
          <w:rFonts w:ascii="Arial" w:hAnsi="Arial" w:cs="Arial"/>
          <w:sz w:val="24"/>
          <w:szCs w:val="24"/>
        </w:rPr>
        <w:t xml:space="preserve">are </w:t>
      </w:r>
      <w:r w:rsidR="004305D9">
        <w:rPr>
          <w:rFonts w:ascii="Arial" w:hAnsi="Arial" w:cs="Arial"/>
          <w:sz w:val="24"/>
          <w:szCs w:val="24"/>
        </w:rPr>
        <w:t>highlighted</w:t>
      </w:r>
      <w:r w:rsidR="00242C1B">
        <w:rPr>
          <w:rFonts w:ascii="Arial" w:hAnsi="Arial" w:cs="Arial"/>
          <w:sz w:val="24"/>
          <w:szCs w:val="24"/>
        </w:rPr>
        <w:t xml:space="preserve"> and also listed separately at </w:t>
      </w:r>
      <w:r w:rsidR="00242C1B" w:rsidRPr="00242C1B">
        <w:rPr>
          <w:rFonts w:ascii="Arial" w:hAnsi="Arial" w:cs="Arial"/>
          <w:b/>
          <w:sz w:val="24"/>
          <w:szCs w:val="24"/>
        </w:rPr>
        <w:t>Annex B</w:t>
      </w:r>
      <w:r w:rsidR="00242C1B">
        <w:rPr>
          <w:rFonts w:ascii="Arial" w:hAnsi="Arial" w:cs="Arial"/>
          <w:sz w:val="24"/>
          <w:szCs w:val="24"/>
        </w:rPr>
        <w:t xml:space="preserve"> – page </w:t>
      </w:r>
      <w:r w:rsidR="009B5AB5">
        <w:rPr>
          <w:rFonts w:ascii="Arial" w:hAnsi="Arial" w:cs="Arial"/>
          <w:sz w:val="24"/>
          <w:szCs w:val="24"/>
        </w:rPr>
        <w:t>1</w:t>
      </w:r>
      <w:r w:rsidR="00705E86">
        <w:rPr>
          <w:rFonts w:ascii="Arial" w:hAnsi="Arial" w:cs="Arial"/>
          <w:sz w:val="24"/>
          <w:szCs w:val="24"/>
        </w:rPr>
        <w:t>4</w:t>
      </w:r>
      <w:r w:rsidR="00242C1B">
        <w:rPr>
          <w:rFonts w:ascii="Arial" w:hAnsi="Arial" w:cs="Arial"/>
          <w:sz w:val="24"/>
          <w:szCs w:val="24"/>
        </w:rPr>
        <w:t>.</w:t>
      </w:r>
    </w:p>
    <w:p w:rsidR="004D35C8" w:rsidRDefault="004D35C8" w:rsidP="004D35C8">
      <w:pPr>
        <w:autoSpaceDE w:val="0"/>
        <w:autoSpaceDN w:val="0"/>
        <w:adjustRightInd w:val="0"/>
        <w:spacing w:line="360" w:lineRule="auto"/>
        <w:ind w:left="709"/>
        <w:jc w:val="both"/>
        <w:rPr>
          <w:rFonts w:ascii="Arial" w:hAnsi="Arial" w:cs="Arial"/>
          <w:sz w:val="24"/>
          <w:szCs w:val="24"/>
        </w:rPr>
      </w:pPr>
    </w:p>
    <w:p w:rsidR="00A60806" w:rsidRPr="00A60806" w:rsidRDefault="00A60806" w:rsidP="00A60806">
      <w:pPr>
        <w:numPr>
          <w:ilvl w:val="0"/>
          <w:numId w:val="21"/>
        </w:numPr>
        <w:autoSpaceDE w:val="0"/>
        <w:autoSpaceDN w:val="0"/>
        <w:adjustRightInd w:val="0"/>
        <w:spacing w:line="360" w:lineRule="auto"/>
        <w:ind w:left="709" w:hanging="709"/>
        <w:jc w:val="both"/>
        <w:rPr>
          <w:rFonts w:ascii="Arial" w:hAnsi="Arial" w:cs="Arial"/>
          <w:sz w:val="24"/>
          <w:szCs w:val="24"/>
        </w:rPr>
      </w:pPr>
      <w:r w:rsidRPr="00A60806">
        <w:rPr>
          <w:rFonts w:ascii="Arial" w:hAnsi="Arial" w:cs="Arial"/>
          <w:sz w:val="24"/>
          <w:szCs w:val="24"/>
        </w:rPr>
        <w:t>The NIEA has statutory duties with regards to waste and water regulation (including drinking water), pollution control and the n</w:t>
      </w:r>
      <w:r>
        <w:rPr>
          <w:rFonts w:ascii="Arial" w:hAnsi="Arial" w:cs="Arial"/>
          <w:sz w:val="24"/>
          <w:szCs w:val="24"/>
        </w:rPr>
        <w:t xml:space="preserve">atural environment.  </w:t>
      </w:r>
    </w:p>
    <w:p w:rsidR="00A60806" w:rsidRDefault="00A60806" w:rsidP="00A60806">
      <w:pPr>
        <w:autoSpaceDE w:val="0"/>
        <w:autoSpaceDN w:val="0"/>
        <w:adjustRightInd w:val="0"/>
        <w:spacing w:line="360" w:lineRule="auto"/>
        <w:ind w:left="709"/>
        <w:jc w:val="both"/>
        <w:rPr>
          <w:rFonts w:ascii="Arial" w:hAnsi="Arial" w:cs="Arial"/>
          <w:sz w:val="24"/>
          <w:szCs w:val="24"/>
        </w:rPr>
      </w:pPr>
    </w:p>
    <w:p w:rsidR="006731DD" w:rsidRDefault="006731DD" w:rsidP="00431DA4">
      <w:pPr>
        <w:numPr>
          <w:ilvl w:val="0"/>
          <w:numId w:val="21"/>
        </w:numPr>
        <w:autoSpaceDE w:val="0"/>
        <w:autoSpaceDN w:val="0"/>
        <w:adjustRightInd w:val="0"/>
        <w:spacing w:line="360" w:lineRule="auto"/>
        <w:ind w:left="709" w:hanging="709"/>
        <w:jc w:val="both"/>
        <w:rPr>
          <w:rFonts w:ascii="Arial" w:hAnsi="Arial" w:cs="Arial"/>
          <w:sz w:val="24"/>
          <w:szCs w:val="24"/>
        </w:rPr>
      </w:pPr>
      <w:r w:rsidRPr="00896026">
        <w:rPr>
          <w:rFonts w:ascii="Arial" w:hAnsi="Arial" w:cs="Arial"/>
          <w:sz w:val="24"/>
          <w:szCs w:val="24"/>
        </w:rPr>
        <w:t xml:space="preserve">The main activities relating to these </w:t>
      </w:r>
      <w:r w:rsidR="00A60806">
        <w:rPr>
          <w:rFonts w:ascii="Arial" w:hAnsi="Arial" w:cs="Arial"/>
          <w:sz w:val="24"/>
          <w:szCs w:val="24"/>
        </w:rPr>
        <w:t xml:space="preserve">statutory duties and </w:t>
      </w:r>
      <w:r>
        <w:rPr>
          <w:rFonts w:ascii="Arial" w:hAnsi="Arial" w:cs="Arial"/>
          <w:sz w:val="24"/>
          <w:szCs w:val="24"/>
        </w:rPr>
        <w:t>outcomes</w:t>
      </w:r>
      <w:r w:rsidRPr="00896026">
        <w:rPr>
          <w:rFonts w:ascii="Arial" w:hAnsi="Arial" w:cs="Arial"/>
          <w:sz w:val="24"/>
          <w:szCs w:val="24"/>
        </w:rPr>
        <w:t xml:space="preserve"> are the protection of the environment through </w:t>
      </w:r>
      <w:r>
        <w:rPr>
          <w:rFonts w:ascii="Arial" w:hAnsi="Arial" w:cs="Arial"/>
          <w:sz w:val="24"/>
          <w:szCs w:val="24"/>
        </w:rPr>
        <w:t>provision of advice and guidance</w:t>
      </w:r>
      <w:r w:rsidR="00B83189">
        <w:rPr>
          <w:rFonts w:ascii="Arial" w:hAnsi="Arial" w:cs="Arial"/>
          <w:sz w:val="24"/>
          <w:szCs w:val="24"/>
        </w:rPr>
        <w:t>,</w:t>
      </w:r>
      <w:r>
        <w:rPr>
          <w:rFonts w:ascii="Arial" w:hAnsi="Arial" w:cs="Arial"/>
          <w:sz w:val="24"/>
          <w:szCs w:val="24"/>
        </w:rPr>
        <w:t xml:space="preserve"> alongside  the Agency’s ongoing </w:t>
      </w:r>
      <w:r w:rsidRPr="00896026">
        <w:rPr>
          <w:rFonts w:ascii="Arial" w:hAnsi="Arial" w:cs="Arial"/>
          <w:sz w:val="24"/>
          <w:szCs w:val="24"/>
        </w:rPr>
        <w:t>regulat</w:t>
      </w:r>
      <w:r>
        <w:rPr>
          <w:rFonts w:ascii="Arial" w:hAnsi="Arial" w:cs="Arial"/>
          <w:sz w:val="24"/>
          <w:szCs w:val="24"/>
        </w:rPr>
        <w:t>ory activities</w:t>
      </w:r>
      <w:r w:rsidRPr="00896026">
        <w:rPr>
          <w:rFonts w:ascii="Arial" w:hAnsi="Arial" w:cs="Arial"/>
          <w:sz w:val="24"/>
          <w:szCs w:val="24"/>
        </w:rPr>
        <w:t>; statutory designations; research and monitoring; raising public awareness of the environment and the</w:t>
      </w:r>
      <w:r w:rsidR="00B83189">
        <w:rPr>
          <w:rFonts w:ascii="Arial" w:hAnsi="Arial" w:cs="Arial"/>
          <w:sz w:val="24"/>
          <w:szCs w:val="24"/>
        </w:rPr>
        <w:t xml:space="preserve"> </w:t>
      </w:r>
      <w:r w:rsidRPr="00896026">
        <w:rPr>
          <w:rFonts w:ascii="Arial" w:hAnsi="Arial" w:cs="Arial"/>
          <w:sz w:val="24"/>
          <w:szCs w:val="24"/>
        </w:rPr>
        <w:t xml:space="preserve"> role </w:t>
      </w:r>
      <w:r w:rsidR="00B83189">
        <w:rPr>
          <w:rFonts w:ascii="Arial" w:hAnsi="Arial" w:cs="Arial"/>
          <w:sz w:val="24"/>
          <w:szCs w:val="24"/>
        </w:rPr>
        <w:t xml:space="preserve">of the public </w:t>
      </w:r>
      <w:r w:rsidRPr="00896026">
        <w:rPr>
          <w:rFonts w:ascii="Arial" w:hAnsi="Arial" w:cs="Arial"/>
          <w:sz w:val="24"/>
          <w:szCs w:val="24"/>
        </w:rPr>
        <w:t>in protecting it</w:t>
      </w:r>
      <w:r>
        <w:rPr>
          <w:rFonts w:ascii="Arial" w:hAnsi="Arial" w:cs="Arial"/>
          <w:sz w:val="24"/>
          <w:szCs w:val="24"/>
        </w:rPr>
        <w:t xml:space="preserve">.  </w:t>
      </w:r>
      <w:r w:rsidRPr="00896026">
        <w:rPr>
          <w:rFonts w:ascii="Arial" w:hAnsi="Arial" w:cs="Arial"/>
          <w:sz w:val="24"/>
          <w:szCs w:val="24"/>
        </w:rPr>
        <w:t xml:space="preserve">Using our professional and technical expertise, NIEA </w:t>
      </w:r>
      <w:r>
        <w:rPr>
          <w:rFonts w:ascii="Arial" w:hAnsi="Arial" w:cs="Arial"/>
          <w:sz w:val="24"/>
          <w:szCs w:val="24"/>
        </w:rPr>
        <w:t xml:space="preserve">also </w:t>
      </w:r>
      <w:r w:rsidRPr="00896026">
        <w:rPr>
          <w:rFonts w:ascii="Arial" w:hAnsi="Arial" w:cs="Arial"/>
          <w:sz w:val="24"/>
          <w:szCs w:val="24"/>
        </w:rPr>
        <w:t>contributes to environmental and</w:t>
      </w:r>
      <w:r>
        <w:rPr>
          <w:rFonts w:ascii="Arial" w:hAnsi="Arial" w:cs="Arial"/>
          <w:sz w:val="24"/>
          <w:szCs w:val="24"/>
        </w:rPr>
        <w:t xml:space="preserve"> natural</w:t>
      </w:r>
      <w:r w:rsidRPr="00896026">
        <w:rPr>
          <w:rFonts w:ascii="Arial" w:hAnsi="Arial" w:cs="Arial"/>
          <w:sz w:val="24"/>
          <w:szCs w:val="24"/>
        </w:rPr>
        <w:t xml:space="preserve"> heritage policy development</w:t>
      </w:r>
      <w:r>
        <w:rPr>
          <w:rFonts w:ascii="Arial" w:hAnsi="Arial" w:cs="Arial"/>
          <w:sz w:val="24"/>
          <w:szCs w:val="24"/>
        </w:rPr>
        <w:t>.</w:t>
      </w:r>
    </w:p>
    <w:p w:rsidR="006731DD" w:rsidRDefault="006731DD" w:rsidP="006731DD">
      <w:pPr>
        <w:autoSpaceDE w:val="0"/>
        <w:autoSpaceDN w:val="0"/>
        <w:adjustRightInd w:val="0"/>
        <w:spacing w:line="360" w:lineRule="auto"/>
        <w:ind w:left="786"/>
        <w:jc w:val="both"/>
        <w:rPr>
          <w:rFonts w:ascii="Arial" w:hAnsi="Arial" w:cs="Arial"/>
          <w:sz w:val="24"/>
          <w:szCs w:val="24"/>
        </w:rPr>
      </w:pPr>
    </w:p>
    <w:p w:rsidR="006731DD" w:rsidRDefault="006731DD" w:rsidP="00431DA4">
      <w:pPr>
        <w:numPr>
          <w:ilvl w:val="0"/>
          <w:numId w:val="21"/>
        </w:numPr>
        <w:autoSpaceDE w:val="0"/>
        <w:autoSpaceDN w:val="0"/>
        <w:adjustRightInd w:val="0"/>
        <w:spacing w:line="360" w:lineRule="auto"/>
        <w:ind w:left="709" w:hanging="709"/>
        <w:jc w:val="both"/>
        <w:rPr>
          <w:rFonts w:ascii="Arial" w:hAnsi="Arial" w:cs="Arial"/>
          <w:sz w:val="24"/>
          <w:szCs w:val="24"/>
        </w:rPr>
      </w:pPr>
      <w:r>
        <w:rPr>
          <w:rFonts w:ascii="Arial" w:hAnsi="Arial" w:cs="Arial"/>
          <w:sz w:val="24"/>
          <w:szCs w:val="24"/>
        </w:rPr>
        <w:lastRenderedPageBreak/>
        <w:t>We will continue to work with key stakeholders in our Regulated Industry which includes all businesses that require permits, licences, and consents which are issued by NIEA and that set the limits for permissible discharges to protect our natural and aquatic environments.</w:t>
      </w:r>
      <w:r w:rsidR="00F02BDC">
        <w:rPr>
          <w:rFonts w:ascii="Arial" w:hAnsi="Arial" w:cs="Arial"/>
          <w:sz w:val="24"/>
          <w:szCs w:val="24"/>
        </w:rPr>
        <w:t xml:space="preserve"> We </w:t>
      </w:r>
      <w:r w:rsidR="00633BC7">
        <w:rPr>
          <w:rFonts w:ascii="Arial" w:hAnsi="Arial" w:cs="Arial"/>
          <w:sz w:val="24"/>
          <w:szCs w:val="24"/>
        </w:rPr>
        <w:t xml:space="preserve">have </w:t>
      </w:r>
      <w:r w:rsidR="00F02BDC">
        <w:rPr>
          <w:rFonts w:ascii="Arial" w:hAnsi="Arial" w:cs="Arial"/>
          <w:sz w:val="24"/>
          <w:szCs w:val="24"/>
        </w:rPr>
        <w:t xml:space="preserve">developed a Compliance Assessment Model for a number of our regulatory regimes with </w:t>
      </w:r>
      <w:r w:rsidR="00633BC7">
        <w:rPr>
          <w:rFonts w:ascii="Arial" w:hAnsi="Arial" w:cs="Arial"/>
          <w:sz w:val="24"/>
          <w:szCs w:val="24"/>
        </w:rPr>
        <w:t xml:space="preserve">the </w:t>
      </w:r>
      <w:r w:rsidR="00F02BDC">
        <w:rPr>
          <w:rFonts w:ascii="Arial" w:hAnsi="Arial" w:cs="Arial"/>
          <w:sz w:val="24"/>
          <w:szCs w:val="24"/>
        </w:rPr>
        <w:t xml:space="preserve">resulting measurement of compliance levels in </w:t>
      </w:r>
      <w:r w:rsidR="00633BC7">
        <w:rPr>
          <w:rFonts w:ascii="Arial" w:hAnsi="Arial" w:cs="Arial"/>
          <w:sz w:val="24"/>
          <w:szCs w:val="24"/>
        </w:rPr>
        <w:t>ex</w:t>
      </w:r>
      <w:r w:rsidR="00F02BDC">
        <w:rPr>
          <w:rFonts w:ascii="Arial" w:hAnsi="Arial" w:cs="Arial"/>
          <w:sz w:val="24"/>
          <w:szCs w:val="24"/>
        </w:rPr>
        <w:t xml:space="preserve">cess of 90% across all regimes </w:t>
      </w:r>
      <w:r w:rsidR="00633BC7">
        <w:rPr>
          <w:rFonts w:ascii="Arial" w:hAnsi="Arial" w:cs="Arial"/>
          <w:sz w:val="24"/>
          <w:szCs w:val="24"/>
        </w:rPr>
        <w:t>demonst</w:t>
      </w:r>
      <w:r w:rsidR="00F56243">
        <w:rPr>
          <w:rFonts w:ascii="Arial" w:hAnsi="Arial" w:cs="Arial"/>
          <w:sz w:val="24"/>
          <w:szCs w:val="24"/>
        </w:rPr>
        <w:t>ra</w:t>
      </w:r>
      <w:r w:rsidR="00633BC7">
        <w:rPr>
          <w:rFonts w:ascii="Arial" w:hAnsi="Arial" w:cs="Arial"/>
          <w:sz w:val="24"/>
          <w:szCs w:val="24"/>
        </w:rPr>
        <w:t>ting</w:t>
      </w:r>
      <w:r w:rsidR="00F02BDC">
        <w:rPr>
          <w:rFonts w:ascii="Arial" w:hAnsi="Arial" w:cs="Arial"/>
          <w:sz w:val="24"/>
          <w:szCs w:val="24"/>
        </w:rPr>
        <w:t xml:space="preserve"> the effectiveness of our approach.</w:t>
      </w:r>
      <w:r>
        <w:rPr>
          <w:rFonts w:ascii="Arial" w:hAnsi="Arial" w:cs="Arial"/>
          <w:sz w:val="24"/>
          <w:szCs w:val="24"/>
        </w:rPr>
        <w:t xml:space="preserve">  </w:t>
      </w:r>
    </w:p>
    <w:p w:rsidR="006731DD" w:rsidRDefault="006731DD" w:rsidP="006731DD">
      <w:pPr>
        <w:pStyle w:val="ListParagraph"/>
        <w:rPr>
          <w:rFonts w:ascii="Arial" w:hAnsi="Arial" w:cs="Arial"/>
          <w:sz w:val="24"/>
          <w:szCs w:val="24"/>
        </w:rPr>
      </w:pPr>
    </w:p>
    <w:p w:rsidR="006731DD" w:rsidRDefault="006731DD" w:rsidP="00431DA4">
      <w:pPr>
        <w:numPr>
          <w:ilvl w:val="0"/>
          <w:numId w:val="21"/>
        </w:numPr>
        <w:autoSpaceDE w:val="0"/>
        <w:autoSpaceDN w:val="0"/>
        <w:adjustRightInd w:val="0"/>
        <w:spacing w:line="360" w:lineRule="auto"/>
        <w:ind w:left="709" w:hanging="709"/>
        <w:jc w:val="both"/>
        <w:rPr>
          <w:rFonts w:ascii="Arial" w:hAnsi="Arial" w:cs="Arial"/>
          <w:sz w:val="24"/>
          <w:szCs w:val="24"/>
        </w:rPr>
      </w:pPr>
      <w:r>
        <w:rPr>
          <w:rFonts w:ascii="Arial" w:hAnsi="Arial" w:cs="Arial"/>
          <w:sz w:val="24"/>
          <w:szCs w:val="24"/>
        </w:rPr>
        <w:t>We</w:t>
      </w:r>
      <w:r w:rsidRPr="003C7109">
        <w:rPr>
          <w:rFonts w:ascii="Arial" w:hAnsi="Arial" w:cs="Arial"/>
          <w:sz w:val="24"/>
          <w:szCs w:val="24"/>
        </w:rPr>
        <w:t xml:space="preserve"> also face numerous challenges </w:t>
      </w:r>
      <w:r>
        <w:rPr>
          <w:rFonts w:ascii="Arial" w:hAnsi="Arial" w:cs="Arial"/>
          <w:sz w:val="24"/>
          <w:szCs w:val="24"/>
        </w:rPr>
        <w:t>within the realm of biodiversity;</w:t>
      </w:r>
      <w:r w:rsidRPr="003C7109">
        <w:rPr>
          <w:rFonts w:ascii="Arial" w:hAnsi="Arial" w:cs="Arial"/>
          <w:sz w:val="24"/>
          <w:szCs w:val="24"/>
        </w:rPr>
        <w:t xml:space="preserve"> </w:t>
      </w:r>
      <w:r w:rsidR="008D7794">
        <w:rPr>
          <w:rFonts w:ascii="Arial" w:hAnsi="Arial" w:cs="Arial"/>
          <w:sz w:val="24"/>
          <w:szCs w:val="24"/>
        </w:rPr>
        <w:t xml:space="preserve">such as agricultural intensification or abandonment, and planning development.  We </w:t>
      </w:r>
      <w:r w:rsidR="002A3CB8">
        <w:rPr>
          <w:rFonts w:ascii="Arial" w:hAnsi="Arial" w:cs="Arial"/>
          <w:sz w:val="24"/>
          <w:szCs w:val="24"/>
        </w:rPr>
        <w:t>will seek</w:t>
      </w:r>
      <w:r w:rsidR="008D7794">
        <w:rPr>
          <w:rFonts w:ascii="Arial" w:hAnsi="Arial" w:cs="Arial"/>
          <w:sz w:val="24"/>
          <w:szCs w:val="24"/>
        </w:rPr>
        <w:t xml:space="preserve"> to address these</w:t>
      </w:r>
      <w:r w:rsidR="002A3CB8">
        <w:rPr>
          <w:rFonts w:ascii="Arial" w:hAnsi="Arial" w:cs="Arial"/>
          <w:sz w:val="24"/>
          <w:szCs w:val="24"/>
        </w:rPr>
        <w:t xml:space="preserve"> t</w:t>
      </w:r>
      <w:r w:rsidR="008D7794">
        <w:rPr>
          <w:rFonts w:ascii="Arial" w:hAnsi="Arial" w:cs="Arial"/>
          <w:sz w:val="24"/>
          <w:szCs w:val="24"/>
        </w:rPr>
        <w:t>hrough targeted actions on priority habitats and species and in partnership with eNGOs landowners and other third parties.</w:t>
      </w:r>
    </w:p>
    <w:p w:rsidR="006731DD" w:rsidRDefault="006731DD" w:rsidP="006731DD">
      <w:pPr>
        <w:autoSpaceDE w:val="0"/>
        <w:autoSpaceDN w:val="0"/>
        <w:adjustRightInd w:val="0"/>
        <w:spacing w:line="360" w:lineRule="auto"/>
        <w:ind w:left="786"/>
        <w:jc w:val="both"/>
        <w:rPr>
          <w:rFonts w:ascii="Arial" w:hAnsi="Arial" w:cs="Arial"/>
          <w:sz w:val="24"/>
          <w:szCs w:val="24"/>
        </w:rPr>
      </w:pPr>
    </w:p>
    <w:p w:rsidR="006731DD" w:rsidRDefault="006731DD" w:rsidP="00431DA4">
      <w:pPr>
        <w:numPr>
          <w:ilvl w:val="0"/>
          <w:numId w:val="21"/>
        </w:numPr>
        <w:autoSpaceDE w:val="0"/>
        <w:autoSpaceDN w:val="0"/>
        <w:adjustRightInd w:val="0"/>
        <w:spacing w:line="360" w:lineRule="auto"/>
        <w:ind w:left="709" w:hanging="709"/>
        <w:jc w:val="both"/>
        <w:rPr>
          <w:rFonts w:ascii="Arial" w:hAnsi="Arial" w:cs="Arial"/>
          <w:sz w:val="24"/>
          <w:szCs w:val="24"/>
        </w:rPr>
      </w:pPr>
      <w:r>
        <w:rPr>
          <w:rFonts w:ascii="Arial" w:hAnsi="Arial" w:cs="Arial"/>
          <w:sz w:val="24"/>
          <w:szCs w:val="24"/>
        </w:rPr>
        <w:t>The Agency is</w:t>
      </w:r>
      <w:r w:rsidRPr="0021604E">
        <w:rPr>
          <w:rFonts w:ascii="Arial" w:hAnsi="Arial" w:cs="Arial"/>
          <w:sz w:val="24"/>
          <w:szCs w:val="24"/>
        </w:rPr>
        <w:t xml:space="preserve"> exploring the most effective and efficient way to deliver environmental advice </w:t>
      </w:r>
      <w:r>
        <w:rPr>
          <w:rFonts w:ascii="Arial" w:hAnsi="Arial" w:cs="Arial"/>
          <w:sz w:val="24"/>
          <w:szCs w:val="24"/>
        </w:rPr>
        <w:t xml:space="preserve">and guidance </w:t>
      </w:r>
      <w:r w:rsidRPr="0021604E">
        <w:rPr>
          <w:rFonts w:ascii="Arial" w:hAnsi="Arial" w:cs="Arial"/>
          <w:sz w:val="24"/>
          <w:szCs w:val="24"/>
        </w:rPr>
        <w:t xml:space="preserve">to our customers to comply with legislative requirements; </w:t>
      </w:r>
      <w:r>
        <w:rPr>
          <w:rFonts w:ascii="Arial" w:hAnsi="Arial" w:cs="Arial"/>
          <w:sz w:val="24"/>
          <w:szCs w:val="24"/>
        </w:rPr>
        <w:t>to deliver environmental outcomes and enable businesses to be profitable and sustainable.</w:t>
      </w:r>
    </w:p>
    <w:p w:rsidR="006731DD" w:rsidRDefault="006731DD" w:rsidP="006731DD">
      <w:pPr>
        <w:pStyle w:val="ListParagraph"/>
        <w:rPr>
          <w:rFonts w:ascii="Arial" w:hAnsi="Arial" w:cs="Arial"/>
          <w:sz w:val="24"/>
          <w:szCs w:val="24"/>
        </w:rPr>
      </w:pPr>
    </w:p>
    <w:p w:rsidR="006731DD" w:rsidRPr="005375FA" w:rsidRDefault="006731DD" w:rsidP="00431DA4">
      <w:pPr>
        <w:pStyle w:val="default"/>
        <w:numPr>
          <w:ilvl w:val="0"/>
          <w:numId w:val="21"/>
        </w:numPr>
        <w:spacing w:line="360" w:lineRule="auto"/>
        <w:ind w:left="709" w:right="-46" w:hanging="709"/>
        <w:jc w:val="both"/>
        <w:rPr>
          <w:color w:val="auto"/>
        </w:rPr>
      </w:pPr>
      <w:r w:rsidRPr="005375FA">
        <w:rPr>
          <w:color w:val="auto"/>
        </w:rPr>
        <w:t>The Agency has develop</w:t>
      </w:r>
      <w:r>
        <w:rPr>
          <w:color w:val="auto"/>
        </w:rPr>
        <w:t>ed</w:t>
      </w:r>
      <w:r w:rsidRPr="005375FA">
        <w:rPr>
          <w:color w:val="auto"/>
        </w:rPr>
        <w:t xml:space="preserve"> a Memorandum of Understanding (MOU)</w:t>
      </w:r>
      <w:r>
        <w:rPr>
          <w:color w:val="auto"/>
        </w:rPr>
        <w:t xml:space="preserve"> with the Ulster Farmers Union. This partnership approach will facilitate a more effective collaboration between the Agency and the farming community</w:t>
      </w:r>
      <w:r w:rsidRPr="005375FA">
        <w:rPr>
          <w:color w:val="auto"/>
        </w:rPr>
        <w:t xml:space="preserve"> in order to deliver</w:t>
      </w:r>
      <w:r>
        <w:rPr>
          <w:color w:val="auto"/>
        </w:rPr>
        <w:t xml:space="preserve"> both</w:t>
      </w:r>
      <w:r w:rsidRPr="005375FA">
        <w:rPr>
          <w:color w:val="auto"/>
        </w:rPr>
        <w:t xml:space="preserve"> higher levels of environment</w:t>
      </w:r>
      <w:r w:rsidR="002A3CB8">
        <w:rPr>
          <w:color w:val="auto"/>
        </w:rPr>
        <w:t>al</w:t>
      </w:r>
      <w:r w:rsidRPr="005375FA">
        <w:rPr>
          <w:color w:val="auto"/>
        </w:rPr>
        <w:t xml:space="preserve"> compliance</w:t>
      </w:r>
      <w:r>
        <w:rPr>
          <w:color w:val="auto"/>
        </w:rPr>
        <w:t xml:space="preserve"> and increase</w:t>
      </w:r>
      <w:r w:rsidR="002A3CB8">
        <w:rPr>
          <w:color w:val="auto"/>
        </w:rPr>
        <w:t>d</w:t>
      </w:r>
      <w:r>
        <w:rPr>
          <w:color w:val="auto"/>
        </w:rPr>
        <w:t xml:space="preserve"> farm sustainability. This will be achieved</w:t>
      </w:r>
      <w:r w:rsidRPr="005375FA">
        <w:rPr>
          <w:color w:val="auto"/>
        </w:rPr>
        <w:t xml:space="preserve"> through</w:t>
      </w:r>
      <w:r>
        <w:rPr>
          <w:color w:val="auto"/>
        </w:rPr>
        <w:t xml:space="preserve"> an improved focus on</w:t>
      </w:r>
      <w:r w:rsidRPr="005375FA">
        <w:rPr>
          <w:color w:val="auto"/>
        </w:rPr>
        <w:t xml:space="preserve"> the provision of advice and guidance a</w:t>
      </w:r>
      <w:r>
        <w:rPr>
          <w:color w:val="auto"/>
        </w:rPr>
        <w:t xml:space="preserve">longside the Agency’s ongoing </w:t>
      </w:r>
      <w:r w:rsidRPr="005375FA">
        <w:rPr>
          <w:color w:val="auto"/>
        </w:rPr>
        <w:t>regulat</w:t>
      </w:r>
      <w:r>
        <w:rPr>
          <w:color w:val="auto"/>
        </w:rPr>
        <w:t>ory activities</w:t>
      </w:r>
      <w:r w:rsidRPr="005375FA">
        <w:rPr>
          <w:color w:val="auto"/>
        </w:rPr>
        <w:t>.</w:t>
      </w:r>
    </w:p>
    <w:p w:rsidR="0042455E" w:rsidRPr="005375FA" w:rsidRDefault="0042455E" w:rsidP="006731DD">
      <w:pPr>
        <w:pStyle w:val="ListParagraph"/>
      </w:pPr>
    </w:p>
    <w:p w:rsidR="006731DD" w:rsidRDefault="006731DD" w:rsidP="004D35C8">
      <w:pPr>
        <w:pStyle w:val="default"/>
        <w:spacing w:line="360" w:lineRule="auto"/>
        <w:ind w:right="-46"/>
        <w:jc w:val="both"/>
        <w:rPr>
          <w:b/>
          <w:color w:val="auto"/>
          <w:lang w:eastAsia="en-US"/>
        </w:rPr>
      </w:pPr>
      <w:r>
        <w:rPr>
          <w:b/>
          <w:color w:val="auto"/>
        </w:rPr>
        <w:t>Business Planning</w:t>
      </w:r>
      <w:r w:rsidR="001C7ACB">
        <w:rPr>
          <w:b/>
          <w:color w:val="auto"/>
        </w:rPr>
        <w:t>,</w:t>
      </w:r>
      <w:r w:rsidR="004D35C8">
        <w:rPr>
          <w:b/>
          <w:color w:val="auto"/>
        </w:rPr>
        <w:t xml:space="preserve"> Reporting</w:t>
      </w:r>
      <w:r w:rsidR="001C7ACB">
        <w:rPr>
          <w:b/>
          <w:color w:val="auto"/>
        </w:rPr>
        <w:t xml:space="preserve"> and Monitoring</w:t>
      </w:r>
    </w:p>
    <w:p w:rsidR="006731DD" w:rsidRPr="00896026" w:rsidRDefault="006731DD" w:rsidP="006731DD">
      <w:pPr>
        <w:pStyle w:val="default"/>
        <w:spacing w:line="360" w:lineRule="auto"/>
        <w:jc w:val="both"/>
      </w:pPr>
    </w:p>
    <w:p w:rsidR="006731DD" w:rsidRDefault="006731DD" w:rsidP="00431DA4">
      <w:pPr>
        <w:numPr>
          <w:ilvl w:val="0"/>
          <w:numId w:val="21"/>
        </w:numPr>
        <w:spacing w:line="360" w:lineRule="auto"/>
        <w:ind w:left="709" w:hanging="709"/>
        <w:jc w:val="both"/>
        <w:rPr>
          <w:rFonts w:ascii="Arial" w:hAnsi="Arial" w:cs="Arial"/>
          <w:sz w:val="24"/>
          <w:szCs w:val="24"/>
        </w:rPr>
      </w:pPr>
      <w:r w:rsidRPr="00896026">
        <w:rPr>
          <w:rFonts w:ascii="Arial" w:hAnsi="Arial" w:cs="Arial"/>
          <w:sz w:val="24"/>
          <w:szCs w:val="24"/>
        </w:rPr>
        <w:t>This NIEA Business Plan covers the year from 1</w:t>
      </w:r>
      <w:r w:rsidRPr="00D64362">
        <w:rPr>
          <w:rFonts w:ascii="Arial" w:hAnsi="Arial" w:cs="Arial"/>
          <w:sz w:val="24"/>
          <w:szCs w:val="24"/>
        </w:rPr>
        <w:t xml:space="preserve">st </w:t>
      </w:r>
      <w:r w:rsidRPr="00896026">
        <w:rPr>
          <w:rFonts w:ascii="Arial" w:hAnsi="Arial" w:cs="Arial"/>
          <w:sz w:val="24"/>
          <w:szCs w:val="24"/>
        </w:rPr>
        <w:t>April 201</w:t>
      </w:r>
      <w:r w:rsidR="004D35C8">
        <w:rPr>
          <w:rFonts w:ascii="Arial" w:hAnsi="Arial" w:cs="Arial"/>
          <w:sz w:val="24"/>
          <w:szCs w:val="24"/>
        </w:rPr>
        <w:t>7</w:t>
      </w:r>
      <w:r w:rsidRPr="00896026">
        <w:rPr>
          <w:rFonts w:ascii="Arial" w:hAnsi="Arial" w:cs="Arial"/>
          <w:sz w:val="24"/>
          <w:szCs w:val="24"/>
        </w:rPr>
        <w:t xml:space="preserve"> to 31</w:t>
      </w:r>
      <w:r w:rsidRPr="00D64362">
        <w:rPr>
          <w:rFonts w:ascii="Arial" w:hAnsi="Arial" w:cs="Arial"/>
          <w:sz w:val="24"/>
          <w:szCs w:val="24"/>
        </w:rPr>
        <w:t xml:space="preserve">st </w:t>
      </w:r>
      <w:r w:rsidRPr="00896026">
        <w:rPr>
          <w:rFonts w:ascii="Arial" w:hAnsi="Arial" w:cs="Arial"/>
          <w:sz w:val="24"/>
          <w:szCs w:val="24"/>
        </w:rPr>
        <w:t>March 201</w:t>
      </w:r>
      <w:r w:rsidR="004D35C8">
        <w:rPr>
          <w:rFonts w:ascii="Arial" w:hAnsi="Arial" w:cs="Arial"/>
          <w:sz w:val="24"/>
          <w:szCs w:val="24"/>
        </w:rPr>
        <w:t>8</w:t>
      </w:r>
      <w:r>
        <w:rPr>
          <w:rFonts w:ascii="Arial" w:hAnsi="Arial" w:cs="Arial"/>
          <w:sz w:val="24"/>
          <w:szCs w:val="24"/>
        </w:rPr>
        <w:t xml:space="preserve">.  </w:t>
      </w:r>
      <w:r w:rsidR="0042455E">
        <w:rPr>
          <w:rFonts w:ascii="Arial" w:hAnsi="Arial" w:cs="Arial"/>
          <w:sz w:val="24"/>
          <w:szCs w:val="24"/>
        </w:rPr>
        <w:t>In line with the Department’s Performance Management Framework, t</w:t>
      </w:r>
      <w:r>
        <w:rPr>
          <w:rFonts w:ascii="Arial" w:hAnsi="Arial" w:cs="Arial"/>
          <w:sz w:val="24"/>
          <w:szCs w:val="24"/>
        </w:rPr>
        <w:t>he Agency</w:t>
      </w:r>
      <w:r w:rsidRPr="00896026">
        <w:rPr>
          <w:rFonts w:ascii="Arial" w:hAnsi="Arial" w:cs="Arial"/>
          <w:sz w:val="24"/>
          <w:szCs w:val="24"/>
        </w:rPr>
        <w:t xml:space="preserve"> use</w:t>
      </w:r>
      <w:r>
        <w:rPr>
          <w:rFonts w:ascii="Arial" w:hAnsi="Arial" w:cs="Arial"/>
          <w:sz w:val="24"/>
          <w:szCs w:val="24"/>
        </w:rPr>
        <w:t>s</w:t>
      </w:r>
      <w:r w:rsidRPr="00896026">
        <w:rPr>
          <w:rFonts w:ascii="Arial" w:hAnsi="Arial" w:cs="Arial"/>
          <w:sz w:val="24"/>
          <w:szCs w:val="24"/>
        </w:rPr>
        <w:t xml:space="preserve"> the </w:t>
      </w:r>
      <w:r>
        <w:rPr>
          <w:rFonts w:ascii="Arial" w:hAnsi="Arial" w:cs="Arial"/>
          <w:sz w:val="24"/>
          <w:szCs w:val="24"/>
        </w:rPr>
        <w:t xml:space="preserve">Outcomes Framework </w:t>
      </w:r>
      <w:r w:rsidRPr="00896026">
        <w:rPr>
          <w:rFonts w:ascii="Arial" w:hAnsi="Arial" w:cs="Arial"/>
          <w:sz w:val="24"/>
          <w:szCs w:val="24"/>
        </w:rPr>
        <w:t xml:space="preserve">approach to business planning which enables staff to link </w:t>
      </w:r>
      <w:r w:rsidR="0042455E">
        <w:rPr>
          <w:rFonts w:ascii="Arial" w:hAnsi="Arial" w:cs="Arial"/>
          <w:sz w:val="24"/>
          <w:szCs w:val="24"/>
        </w:rPr>
        <w:t xml:space="preserve">their </w:t>
      </w:r>
      <w:r w:rsidRPr="00896026">
        <w:rPr>
          <w:rFonts w:ascii="Arial" w:hAnsi="Arial" w:cs="Arial"/>
          <w:sz w:val="24"/>
          <w:szCs w:val="24"/>
        </w:rPr>
        <w:t xml:space="preserve">work </w:t>
      </w:r>
      <w:r w:rsidR="0042455E">
        <w:rPr>
          <w:rFonts w:ascii="Arial" w:hAnsi="Arial" w:cs="Arial"/>
          <w:sz w:val="24"/>
          <w:szCs w:val="24"/>
        </w:rPr>
        <w:t xml:space="preserve">to the Agency’s targets through their forward looking annual </w:t>
      </w:r>
      <w:r w:rsidRPr="00896026">
        <w:rPr>
          <w:rFonts w:ascii="Arial" w:hAnsi="Arial" w:cs="Arial"/>
          <w:sz w:val="24"/>
          <w:szCs w:val="24"/>
        </w:rPr>
        <w:t>Personal Performance Agreements (PPAs).</w:t>
      </w:r>
    </w:p>
    <w:p w:rsidR="006731DD" w:rsidRDefault="006731DD" w:rsidP="006731DD">
      <w:pPr>
        <w:spacing w:line="360" w:lineRule="auto"/>
        <w:ind w:left="786"/>
        <w:jc w:val="both"/>
        <w:rPr>
          <w:rFonts w:ascii="Arial" w:hAnsi="Arial" w:cs="Arial"/>
          <w:sz w:val="24"/>
          <w:szCs w:val="24"/>
        </w:rPr>
      </w:pPr>
    </w:p>
    <w:p w:rsidR="006731DD" w:rsidRDefault="006731DD" w:rsidP="00431DA4">
      <w:pPr>
        <w:widowControl w:val="0"/>
        <w:numPr>
          <w:ilvl w:val="0"/>
          <w:numId w:val="21"/>
        </w:numPr>
        <w:suppressAutoHyphens/>
        <w:autoSpaceDE w:val="0"/>
        <w:autoSpaceDN w:val="0"/>
        <w:adjustRightInd w:val="0"/>
        <w:spacing w:line="360" w:lineRule="auto"/>
        <w:ind w:left="709" w:hanging="709"/>
        <w:jc w:val="both"/>
        <w:textAlignment w:val="center"/>
        <w:rPr>
          <w:rFonts w:ascii="Arial" w:hAnsi="Arial" w:cs="Arial"/>
          <w:color w:val="000000"/>
          <w:sz w:val="24"/>
          <w:szCs w:val="24"/>
        </w:rPr>
      </w:pPr>
      <w:r w:rsidRPr="0077052E">
        <w:rPr>
          <w:rFonts w:ascii="Arial" w:hAnsi="Arial" w:cs="Arial"/>
          <w:color w:val="000000"/>
          <w:sz w:val="24"/>
          <w:szCs w:val="24"/>
        </w:rPr>
        <w:t xml:space="preserve">The </w:t>
      </w:r>
      <w:r>
        <w:rPr>
          <w:rFonts w:ascii="Arial" w:hAnsi="Arial" w:cs="Arial"/>
          <w:color w:val="000000"/>
          <w:sz w:val="24"/>
          <w:szCs w:val="24"/>
        </w:rPr>
        <w:t>Agency</w:t>
      </w:r>
      <w:r w:rsidRPr="0077052E">
        <w:rPr>
          <w:rFonts w:ascii="Arial" w:hAnsi="Arial" w:cs="Arial"/>
          <w:color w:val="000000"/>
          <w:sz w:val="24"/>
          <w:szCs w:val="24"/>
        </w:rPr>
        <w:t xml:space="preserve"> has established monitoring and reporting arrangements in </w:t>
      </w:r>
      <w:r w:rsidRPr="0077052E">
        <w:rPr>
          <w:rFonts w:ascii="Arial" w:hAnsi="Arial" w:cs="Arial"/>
          <w:color w:val="000000"/>
          <w:sz w:val="24"/>
          <w:szCs w:val="24"/>
        </w:rPr>
        <w:lastRenderedPageBreak/>
        <w:t>relation to its Business Plan targets. In the first instance, each target is assigned to a</w:t>
      </w:r>
      <w:r w:rsidR="00354A14">
        <w:rPr>
          <w:rFonts w:ascii="Arial" w:hAnsi="Arial" w:cs="Arial"/>
          <w:color w:val="000000"/>
          <w:sz w:val="24"/>
          <w:szCs w:val="24"/>
        </w:rPr>
        <w:t>n Assistant Director/Head of Branch</w:t>
      </w:r>
      <w:r w:rsidRPr="0077052E">
        <w:rPr>
          <w:rFonts w:ascii="Arial" w:hAnsi="Arial" w:cs="Arial"/>
          <w:color w:val="000000"/>
          <w:sz w:val="24"/>
          <w:szCs w:val="24"/>
        </w:rPr>
        <w:t xml:space="preserve"> who will have responsibility for </w:t>
      </w:r>
      <w:r w:rsidR="00354A14">
        <w:rPr>
          <w:rFonts w:ascii="Arial" w:hAnsi="Arial" w:cs="Arial"/>
          <w:color w:val="000000"/>
          <w:sz w:val="24"/>
          <w:szCs w:val="24"/>
        </w:rPr>
        <w:t xml:space="preserve">delivery and </w:t>
      </w:r>
      <w:r w:rsidRPr="0077052E">
        <w:rPr>
          <w:rFonts w:ascii="Arial" w:hAnsi="Arial" w:cs="Arial"/>
          <w:color w:val="000000"/>
          <w:sz w:val="24"/>
          <w:szCs w:val="24"/>
        </w:rPr>
        <w:t xml:space="preserve">monitoring progress. </w:t>
      </w:r>
    </w:p>
    <w:p w:rsidR="006731DD" w:rsidRDefault="006731DD" w:rsidP="006731DD">
      <w:pPr>
        <w:widowControl w:val="0"/>
        <w:suppressAutoHyphens/>
        <w:autoSpaceDE w:val="0"/>
        <w:autoSpaceDN w:val="0"/>
        <w:adjustRightInd w:val="0"/>
        <w:spacing w:line="360" w:lineRule="auto"/>
        <w:jc w:val="both"/>
        <w:textAlignment w:val="center"/>
        <w:rPr>
          <w:rFonts w:ascii="Arial" w:hAnsi="Arial" w:cs="Arial"/>
          <w:color w:val="000000"/>
          <w:sz w:val="24"/>
          <w:szCs w:val="24"/>
        </w:rPr>
      </w:pPr>
    </w:p>
    <w:p w:rsidR="006731DD" w:rsidRDefault="006731DD" w:rsidP="00431DA4">
      <w:pPr>
        <w:widowControl w:val="0"/>
        <w:numPr>
          <w:ilvl w:val="0"/>
          <w:numId w:val="21"/>
        </w:numPr>
        <w:suppressAutoHyphens/>
        <w:autoSpaceDE w:val="0"/>
        <w:autoSpaceDN w:val="0"/>
        <w:adjustRightInd w:val="0"/>
        <w:spacing w:line="360" w:lineRule="auto"/>
        <w:ind w:left="709" w:hanging="709"/>
        <w:jc w:val="both"/>
        <w:textAlignment w:val="center"/>
        <w:rPr>
          <w:rFonts w:ascii="Arial" w:hAnsi="Arial" w:cs="Arial"/>
          <w:color w:val="000000"/>
          <w:sz w:val="24"/>
          <w:szCs w:val="24"/>
        </w:rPr>
      </w:pPr>
      <w:r w:rsidRPr="0077052E">
        <w:rPr>
          <w:rFonts w:ascii="Arial" w:hAnsi="Arial" w:cs="Arial"/>
          <w:color w:val="000000"/>
          <w:sz w:val="24"/>
          <w:szCs w:val="24"/>
        </w:rPr>
        <w:t xml:space="preserve">During the course of the financial year, detailed progress against each Business Plan target will be reported to the </w:t>
      </w:r>
      <w:r>
        <w:rPr>
          <w:rFonts w:ascii="Arial" w:hAnsi="Arial" w:cs="Arial"/>
          <w:color w:val="000000"/>
          <w:sz w:val="24"/>
          <w:szCs w:val="24"/>
        </w:rPr>
        <w:t xml:space="preserve">NIEA </w:t>
      </w:r>
      <w:r w:rsidRPr="0077052E">
        <w:rPr>
          <w:rFonts w:ascii="Arial" w:hAnsi="Arial" w:cs="Arial"/>
          <w:color w:val="000000"/>
          <w:sz w:val="24"/>
          <w:szCs w:val="24"/>
        </w:rPr>
        <w:t>Board</w:t>
      </w:r>
      <w:r>
        <w:rPr>
          <w:rFonts w:ascii="Arial" w:hAnsi="Arial" w:cs="Arial"/>
          <w:color w:val="000000"/>
          <w:sz w:val="24"/>
          <w:szCs w:val="24"/>
        </w:rPr>
        <w:t xml:space="preserve">.  At the highest level, </w:t>
      </w:r>
      <w:r w:rsidRPr="0077052E">
        <w:rPr>
          <w:rFonts w:ascii="Arial" w:hAnsi="Arial" w:cs="Arial"/>
          <w:color w:val="000000"/>
          <w:sz w:val="24"/>
          <w:szCs w:val="24"/>
        </w:rPr>
        <w:t>reports</w:t>
      </w:r>
      <w:r>
        <w:rPr>
          <w:rFonts w:ascii="Arial" w:hAnsi="Arial" w:cs="Arial"/>
          <w:color w:val="000000"/>
          <w:sz w:val="24"/>
          <w:szCs w:val="24"/>
        </w:rPr>
        <w:t xml:space="preserve"> setting out the achievement of the </w:t>
      </w:r>
      <w:r w:rsidR="00692933">
        <w:rPr>
          <w:rFonts w:ascii="Arial" w:hAnsi="Arial" w:cs="Arial"/>
          <w:color w:val="000000"/>
          <w:sz w:val="24"/>
          <w:szCs w:val="24"/>
        </w:rPr>
        <w:t xml:space="preserve">NIEA targets </w:t>
      </w:r>
      <w:r w:rsidR="00CE08C0">
        <w:rPr>
          <w:rFonts w:ascii="Arial" w:hAnsi="Arial" w:cs="Arial"/>
          <w:color w:val="000000"/>
          <w:sz w:val="24"/>
          <w:szCs w:val="24"/>
        </w:rPr>
        <w:t>with</w:t>
      </w:r>
      <w:r w:rsidR="00692933">
        <w:rPr>
          <w:rFonts w:ascii="Arial" w:hAnsi="Arial" w:cs="Arial"/>
          <w:color w:val="000000"/>
          <w:sz w:val="24"/>
          <w:szCs w:val="24"/>
        </w:rPr>
        <w:t xml:space="preserve">in the </w:t>
      </w:r>
      <w:r>
        <w:rPr>
          <w:rFonts w:ascii="Arial" w:hAnsi="Arial" w:cs="Arial"/>
          <w:color w:val="000000"/>
          <w:sz w:val="24"/>
          <w:szCs w:val="24"/>
        </w:rPr>
        <w:t xml:space="preserve">DAERA </w:t>
      </w:r>
      <w:r w:rsidR="00692933">
        <w:rPr>
          <w:rFonts w:ascii="Arial" w:hAnsi="Arial" w:cs="Arial"/>
          <w:color w:val="000000"/>
          <w:sz w:val="24"/>
          <w:szCs w:val="24"/>
        </w:rPr>
        <w:t>Annual Business Plan will be reported to the Departmental Board for the periods</w:t>
      </w:r>
      <w:r>
        <w:rPr>
          <w:rFonts w:ascii="Arial" w:hAnsi="Arial" w:cs="Arial"/>
          <w:color w:val="000000"/>
          <w:sz w:val="24"/>
          <w:szCs w:val="24"/>
        </w:rPr>
        <w:t xml:space="preserve"> to 30 September</w:t>
      </w:r>
      <w:r w:rsidR="00692933">
        <w:rPr>
          <w:rFonts w:ascii="Arial" w:hAnsi="Arial" w:cs="Arial"/>
          <w:color w:val="000000"/>
          <w:sz w:val="24"/>
          <w:szCs w:val="24"/>
        </w:rPr>
        <w:t>, 31 December</w:t>
      </w:r>
      <w:r>
        <w:rPr>
          <w:rFonts w:ascii="Arial" w:hAnsi="Arial" w:cs="Arial"/>
          <w:color w:val="000000"/>
          <w:sz w:val="24"/>
          <w:szCs w:val="24"/>
        </w:rPr>
        <w:t xml:space="preserve"> and 31 March, </w:t>
      </w:r>
      <w:r w:rsidR="00692933">
        <w:rPr>
          <w:rFonts w:ascii="Arial" w:hAnsi="Arial" w:cs="Arial"/>
          <w:color w:val="000000"/>
          <w:sz w:val="24"/>
          <w:szCs w:val="24"/>
        </w:rPr>
        <w:t xml:space="preserve">with the reports to 30 September and 31 March also being submitted to </w:t>
      </w:r>
      <w:r w:rsidRPr="0077052E">
        <w:rPr>
          <w:rFonts w:ascii="Arial" w:hAnsi="Arial" w:cs="Arial"/>
          <w:color w:val="000000"/>
          <w:sz w:val="24"/>
          <w:szCs w:val="24"/>
        </w:rPr>
        <w:t xml:space="preserve">the Minister and </w:t>
      </w:r>
      <w:r>
        <w:rPr>
          <w:rFonts w:ascii="Arial" w:hAnsi="Arial" w:cs="Arial"/>
          <w:color w:val="000000"/>
          <w:sz w:val="24"/>
          <w:szCs w:val="24"/>
        </w:rPr>
        <w:t xml:space="preserve">the </w:t>
      </w:r>
      <w:r w:rsidRPr="0077052E">
        <w:rPr>
          <w:rFonts w:ascii="Arial" w:hAnsi="Arial" w:cs="Arial"/>
          <w:color w:val="000000"/>
          <w:sz w:val="24"/>
          <w:szCs w:val="24"/>
        </w:rPr>
        <w:t>AERA Committee.</w:t>
      </w:r>
    </w:p>
    <w:p w:rsidR="006731DD" w:rsidRDefault="006731DD" w:rsidP="006731DD">
      <w:pPr>
        <w:widowControl w:val="0"/>
        <w:suppressAutoHyphens/>
        <w:autoSpaceDE w:val="0"/>
        <w:autoSpaceDN w:val="0"/>
        <w:adjustRightInd w:val="0"/>
        <w:spacing w:line="360" w:lineRule="auto"/>
        <w:jc w:val="both"/>
        <w:textAlignment w:val="center"/>
        <w:rPr>
          <w:rFonts w:ascii="Arial" w:hAnsi="Arial" w:cs="Arial"/>
          <w:color w:val="000000"/>
          <w:sz w:val="24"/>
          <w:szCs w:val="24"/>
        </w:rPr>
      </w:pPr>
    </w:p>
    <w:p w:rsidR="006731DD" w:rsidRDefault="006731DD" w:rsidP="00431DA4">
      <w:pPr>
        <w:widowControl w:val="0"/>
        <w:numPr>
          <w:ilvl w:val="0"/>
          <w:numId w:val="21"/>
        </w:numPr>
        <w:suppressAutoHyphens/>
        <w:autoSpaceDE w:val="0"/>
        <w:autoSpaceDN w:val="0"/>
        <w:adjustRightInd w:val="0"/>
        <w:spacing w:line="360" w:lineRule="auto"/>
        <w:ind w:left="709" w:hanging="709"/>
        <w:jc w:val="both"/>
        <w:textAlignment w:val="center"/>
        <w:rPr>
          <w:rFonts w:ascii="Arial" w:hAnsi="Arial" w:cs="Arial"/>
          <w:color w:val="000000"/>
          <w:sz w:val="24"/>
          <w:szCs w:val="24"/>
        </w:rPr>
      </w:pPr>
      <w:r w:rsidRPr="0077052E">
        <w:rPr>
          <w:rFonts w:ascii="Arial" w:hAnsi="Arial" w:cs="Arial"/>
          <w:color w:val="000000"/>
          <w:sz w:val="24"/>
          <w:szCs w:val="24"/>
        </w:rPr>
        <w:t>Progress will be reported on a Red/Amber/Green (RAG) basis as follows:</w:t>
      </w:r>
    </w:p>
    <w:p w:rsidR="006731DD" w:rsidRDefault="006731DD" w:rsidP="006731DD">
      <w:pPr>
        <w:widowControl w:val="0"/>
        <w:suppressAutoHyphens/>
        <w:autoSpaceDE w:val="0"/>
        <w:autoSpaceDN w:val="0"/>
        <w:adjustRightInd w:val="0"/>
        <w:spacing w:line="360" w:lineRule="auto"/>
        <w:jc w:val="both"/>
        <w:textAlignment w:val="center"/>
        <w:rPr>
          <w:rFonts w:ascii="Arial" w:hAnsi="Arial" w:cs="Arial"/>
          <w:color w:val="000000"/>
          <w:sz w:val="24"/>
          <w:szCs w:val="24"/>
        </w:rPr>
      </w:pPr>
    </w:p>
    <w:p w:rsidR="006731DD" w:rsidRDefault="006731DD" w:rsidP="006731DD">
      <w:pPr>
        <w:widowControl w:val="0"/>
        <w:suppressAutoHyphens/>
        <w:autoSpaceDE w:val="0"/>
        <w:autoSpaceDN w:val="0"/>
        <w:adjustRightInd w:val="0"/>
        <w:spacing w:line="360" w:lineRule="auto"/>
        <w:ind w:firstLine="709"/>
        <w:jc w:val="both"/>
        <w:textAlignment w:val="center"/>
        <w:outlineLvl w:val="0"/>
        <w:rPr>
          <w:rFonts w:ascii="Arial" w:hAnsi="Arial" w:cs="Arial"/>
          <w:color w:val="000000"/>
          <w:sz w:val="24"/>
          <w:szCs w:val="24"/>
        </w:rPr>
      </w:pPr>
      <w:r w:rsidRPr="0077052E">
        <w:rPr>
          <w:rFonts w:ascii="Arial" w:hAnsi="Arial" w:cs="Arial"/>
          <w:b/>
          <w:color w:val="00FF00"/>
          <w:sz w:val="24"/>
          <w:szCs w:val="24"/>
        </w:rPr>
        <w:t>Green</w:t>
      </w:r>
      <w:r w:rsidRPr="0077052E">
        <w:rPr>
          <w:rFonts w:ascii="Arial" w:hAnsi="Arial" w:cs="Arial"/>
          <w:color w:val="000000"/>
          <w:sz w:val="24"/>
          <w:szCs w:val="24"/>
        </w:rPr>
        <w:t xml:space="preserve"> - achieved or on track for delivery; </w:t>
      </w:r>
    </w:p>
    <w:p w:rsidR="006731DD" w:rsidRDefault="006731DD" w:rsidP="006731DD">
      <w:pPr>
        <w:widowControl w:val="0"/>
        <w:suppressAutoHyphens/>
        <w:autoSpaceDE w:val="0"/>
        <w:autoSpaceDN w:val="0"/>
        <w:adjustRightInd w:val="0"/>
        <w:spacing w:line="360" w:lineRule="auto"/>
        <w:ind w:left="709"/>
        <w:jc w:val="both"/>
        <w:textAlignment w:val="center"/>
        <w:rPr>
          <w:rFonts w:ascii="Arial" w:hAnsi="Arial" w:cs="Arial"/>
          <w:color w:val="000000"/>
          <w:sz w:val="24"/>
          <w:szCs w:val="24"/>
        </w:rPr>
      </w:pPr>
      <w:r w:rsidRPr="0077052E">
        <w:rPr>
          <w:rFonts w:ascii="Arial" w:hAnsi="Arial" w:cs="Arial"/>
          <w:b/>
          <w:color w:val="AFAF00"/>
          <w:sz w:val="24"/>
          <w:szCs w:val="24"/>
        </w:rPr>
        <w:t>Green</w:t>
      </w:r>
      <w:r w:rsidRPr="0077052E">
        <w:rPr>
          <w:rFonts w:ascii="Arial" w:hAnsi="Arial" w:cs="Arial"/>
          <w:color w:val="AFAF00"/>
          <w:sz w:val="24"/>
          <w:szCs w:val="24"/>
        </w:rPr>
        <w:t>/</w:t>
      </w:r>
      <w:r w:rsidRPr="0077052E">
        <w:rPr>
          <w:rFonts w:ascii="Arial" w:hAnsi="Arial" w:cs="Arial"/>
          <w:b/>
          <w:color w:val="AFAF00"/>
          <w:sz w:val="24"/>
          <w:szCs w:val="24"/>
        </w:rPr>
        <w:t>Amber</w:t>
      </w:r>
      <w:r w:rsidRPr="0077052E">
        <w:rPr>
          <w:rFonts w:ascii="Arial" w:hAnsi="Arial" w:cs="Arial"/>
          <w:color w:val="000000"/>
          <w:sz w:val="24"/>
          <w:szCs w:val="24"/>
        </w:rPr>
        <w:t xml:space="preserve"> - level of progress is broadly on track with easily redeemable deviations from plans; </w:t>
      </w:r>
    </w:p>
    <w:p w:rsidR="006731DD" w:rsidRDefault="006731DD" w:rsidP="006731DD">
      <w:pPr>
        <w:widowControl w:val="0"/>
        <w:suppressAutoHyphens/>
        <w:autoSpaceDE w:val="0"/>
        <w:autoSpaceDN w:val="0"/>
        <w:adjustRightInd w:val="0"/>
        <w:spacing w:line="360" w:lineRule="auto"/>
        <w:ind w:firstLine="709"/>
        <w:jc w:val="both"/>
        <w:textAlignment w:val="center"/>
        <w:outlineLvl w:val="0"/>
        <w:rPr>
          <w:rFonts w:ascii="Arial" w:hAnsi="Arial" w:cs="Arial"/>
          <w:color w:val="000000"/>
          <w:sz w:val="24"/>
          <w:szCs w:val="24"/>
        </w:rPr>
      </w:pPr>
      <w:r w:rsidRPr="0077052E">
        <w:rPr>
          <w:rFonts w:ascii="Arial" w:hAnsi="Arial" w:cs="Arial"/>
          <w:b/>
          <w:color w:val="FFC000"/>
          <w:sz w:val="24"/>
          <w:szCs w:val="24"/>
        </w:rPr>
        <w:t>Amber</w:t>
      </w:r>
      <w:r w:rsidRPr="0077052E">
        <w:rPr>
          <w:rFonts w:ascii="Arial" w:hAnsi="Arial" w:cs="Arial"/>
          <w:color w:val="000000"/>
          <w:sz w:val="24"/>
          <w:szCs w:val="24"/>
        </w:rPr>
        <w:t xml:space="preserve"> - rate of progress is less than planned; and </w:t>
      </w:r>
    </w:p>
    <w:p w:rsidR="006731DD" w:rsidRDefault="006731DD" w:rsidP="006731DD">
      <w:pPr>
        <w:widowControl w:val="0"/>
        <w:suppressAutoHyphens/>
        <w:autoSpaceDE w:val="0"/>
        <w:autoSpaceDN w:val="0"/>
        <w:adjustRightInd w:val="0"/>
        <w:spacing w:line="360" w:lineRule="auto"/>
        <w:ind w:firstLine="709"/>
        <w:jc w:val="both"/>
        <w:textAlignment w:val="center"/>
        <w:outlineLvl w:val="0"/>
        <w:rPr>
          <w:rFonts w:ascii="Arial" w:hAnsi="Arial" w:cs="Arial"/>
          <w:color w:val="000000"/>
          <w:sz w:val="24"/>
          <w:szCs w:val="24"/>
        </w:rPr>
      </w:pPr>
      <w:r w:rsidRPr="0077052E">
        <w:rPr>
          <w:rFonts w:ascii="Arial" w:hAnsi="Arial" w:cs="Arial"/>
          <w:b/>
          <w:color w:val="FF0000"/>
          <w:sz w:val="24"/>
          <w:szCs w:val="24"/>
        </w:rPr>
        <w:t xml:space="preserve">Red </w:t>
      </w:r>
      <w:r w:rsidRPr="0077052E">
        <w:rPr>
          <w:rFonts w:ascii="Arial" w:hAnsi="Arial" w:cs="Arial"/>
          <w:color w:val="000000"/>
          <w:sz w:val="24"/>
          <w:szCs w:val="24"/>
        </w:rPr>
        <w:t xml:space="preserve">- not achieved or not expected to be achieved.  </w:t>
      </w:r>
    </w:p>
    <w:p w:rsidR="006731DD" w:rsidRDefault="006731DD" w:rsidP="006731DD">
      <w:pPr>
        <w:widowControl w:val="0"/>
        <w:suppressAutoHyphens/>
        <w:autoSpaceDE w:val="0"/>
        <w:autoSpaceDN w:val="0"/>
        <w:adjustRightInd w:val="0"/>
        <w:spacing w:line="360" w:lineRule="auto"/>
        <w:jc w:val="both"/>
        <w:textAlignment w:val="center"/>
        <w:rPr>
          <w:rFonts w:ascii="Arial" w:hAnsi="Arial" w:cs="Arial"/>
          <w:color w:val="000000"/>
          <w:sz w:val="24"/>
          <w:szCs w:val="24"/>
        </w:rPr>
      </w:pPr>
    </w:p>
    <w:p w:rsidR="006731DD" w:rsidRDefault="006731DD" w:rsidP="00431DA4">
      <w:pPr>
        <w:widowControl w:val="0"/>
        <w:numPr>
          <w:ilvl w:val="0"/>
          <w:numId w:val="21"/>
        </w:numPr>
        <w:suppressAutoHyphens/>
        <w:autoSpaceDE w:val="0"/>
        <w:autoSpaceDN w:val="0"/>
        <w:adjustRightInd w:val="0"/>
        <w:spacing w:line="360" w:lineRule="auto"/>
        <w:ind w:left="709" w:hanging="709"/>
        <w:jc w:val="both"/>
        <w:textAlignment w:val="center"/>
        <w:rPr>
          <w:rFonts w:ascii="Arial" w:hAnsi="Arial" w:cs="Arial"/>
          <w:color w:val="000000"/>
          <w:sz w:val="24"/>
          <w:szCs w:val="24"/>
        </w:rPr>
      </w:pPr>
      <w:r w:rsidRPr="0077052E">
        <w:rPr>
          <w:rFonts w:ascii="Arial" w:hAnsi="Arial" w:cs="Arial"/>
          <w:color w:val="000000"/>
          <w:sz w:val="24"/>
          <w:szCs w:val="24"/>
        </w:rPr>
        <w:t xml:space="preserve">The </w:t>
      </w:r>
      <w:r w:rsidR="002956D6">
        <w:rPr>
          <w:rFonts w:ascii="Arial" w:hAnsi="Arial" w:cs="Arial"/>
          <w:color w:val="000000"/>
          <w:sz w:val="24"/>
          <w:szCs w:val="24"/>
        </w:rPr>
        <w:t>NIEA</w:t>
      </w:r>
      <w:r>
        <w:rPr>
          <w:rFonts w:ascii="Arial" w:hAnsi="Arial" w:cs="Arial"/>
          <w:color w:val="000000"/>
          <w:sz w:val="24"/>
          <w:szCs w:val="24"/>
        </w:rPr>
        <w:t xml:space="preserve"> Board and Corporate Governance sub-committee</w:t>
      </w:r>
      <w:r w:rsidRPr="0077052E">
        <w:rPr>
          <w:rFonts w:ascii="Arial" w:hAnsi="Arial" w:cs="Arial"/>
          <w:color w:val="000000"/>
          <w:sz w:val="24"/>
          <w:szCs w:val="24"/>
        </w:rPr>
        <w:t xml:space="preserve"> will oversee the level of progress being made towards the milestones and targets set and will approve corrective actions required, as appropriate, during the course of the year. </w:t>
      </w:r>
    </w:p>
    <w:p w:rsidR="006731DD" w:rsidRDefault="006731DD" w:rsidP="006731DD">
      <w:pPr>
        <w:widowControl w:val="0"/>
        <w:suppressAutoHyphens/>
        <w:autoSpaceDE w:val="0"/>
        <w:autoSpaceDN w:val="0"/>
        <w:adjustRightInd w:val="0"/>
        <w:spacing w:line="360" w:lineRule="auto"/>
        <w:jc w:val="both"/>
        <w:textAlignment w:val="center"/>
        <w:rPr>
          <w:rFonts w:ascii="Arial" w:hAnsi="Arial" w:cs="Arial"/>
          <w:color w:val="000000"/>
          <w:sz w:val="24"/>
          <w:szCs w:val="24"/>
        </w:rPr>
      </w:pPr>
    </w:p>
    <w:p w:rsidR="006731DD" w:rsidRPr="00D064BA" w:rsidRDefault="006731DD" w:rsidP="006731DD">
      <w:pPr>
        <w:numPr>
          <w:ilvl w:val="0"/>
          <w:numId w:val="21"/>
        </w:numPr>
        <w:spacing w:line="360" w:lineRule="auto"/>
        <w:ind w:left="709" w:hanging="709"/>
        <w:jc w:val="both"/>
        <w:rPr>
          <w:rFonts w:ascii="Arial" w:hAnsi="Arial" w:cs="Arial"/>
          <w:sz w:val="24"/>
          <w:szCs w:val="24"/>
        </w:rPr>
      </w:pPr>
      <w:r w:rsidRPr="00D064BA">
        <w:rPr>
          <w:rFonts w:ascii="Arial" w:hAnsi="Arial" w:cs="Arial"/>
          <w:color w:val="000000"/>
          <w:sz w:val="24"/>
          <w:szCs w:val="24"/>
        </w:rPr>
        <w:t>The Agency’s Annual Report and Accounts, published in the summer, will provide a summary of the achievement of the Agency’s Key Performance Targets, as agreed by the Minister.</w:t>
      </w:r>
    </w:p>
    <w:p w:rsidR="006731DD" w:rsidRDefault="006731DD" w:rsidP="006731DD">
      <w:pPr>
        <w:spacing w:line="360" w:lineRule="auto"/>
        <w:jc w:val="both"/>
        <w:rPr>
          <w:rFonts w:ascii="Arial" w:hAnsi="Arial" w:cs="Arial"/>
          <w:b/>
          <w:color w:val="365B92"/>
          <w:sz w:val="24"/>
          <w:szCs w:val="24"/>
        </w:rPr>
      </w:pPr>
    </w:p>
    <w:p w:rsidR="006731DD" w:rsidRPr="005A7222" w:rsidRDefault="006731DD" w:rsidP="008E7E7A">
      <w:pPr>
        <w:spacing w:line="360" w:lineRule="auto"/>
        <w:jc w:val="both"/>
        <w:rPr>
          <w:rFonts w:ascii="Arial" w:hAnsi="Arial" w:cs="Arial"/>
          <w:b/>
          <w:color w:val="000000"/>
          <w:sz w:val="24"/>
          <w:szCs w:val="24"/>
        </w:rPr>
      </w:pPr>
      <w:r w:rsidRPr="005A7222">
        <w:rPr>
          <w:rFonts w:ascii="Arial" w:hAnsi="Arial" w:cs="Arial"/>
          <w:b/>
          <w:color w:val="000000"/>
          <w:sz w:val="24"/>
          <w:szCs w:val="24"/>
        </w:rPr>
        <w:t>Funding for 201</w:t>
      </w:r>
      <w:r w:rsidR="008E7E7A" w:rsidRPr="005A7222">
        <w:rPr>
          <w:rFonts w:ascii="Arial" w:hAnsi="Arial" w:cs="Arial"/>
          <w:b/>
          <w:color w:val="000000"/>
          <w:sz w:val="24"/>
          <w:szCs w:val="24"/>
        </w:rPr>
        <w:t>7</w:t>
      </w:r>
      <w:r w:rsidRPr="005A7222">
        <w:rPr>
          <w:rFonts w:ascii="Arial" w:hAnsi="Arial" w:cs="Arial"/>
          <w:b/>
          <w:color w:val="000000"/>
          <w:sz w:val="24"/>
          <w:szCs w:val="24"/>
        </w:rPr>
        <w:t>/1</w:t>
      </w:r>
      <w:r w:rsidR="008E7E7A" w:rsidRPr="005A7222">
        <w:rPr>
          <w:rFonts w:ascii="Arial" w:hAnsi="Arial" w:cs="Arial"/>
          <w:b/>
          <w:color w:val="000000"/>
          <w:sz w:val="24"/>
          <w:szCs w:val="24"/>
        </w:rPr>
        <w:t>8</w:t>
      </w:r>
    </w:p>
    <w:p w:rsidR="006731DD" w:rsidRPr="005A7222" w:rsidRDefault="006731DD" w:rsidP="006731DD">
      <w:pPr>
        <w:spacing w:line="360" w:lineRule="auto"/>
        <w:jc w:val="both"/>
        <w:rPr>
          <w:rFonts w:ascii="Arial" w:hAnsi="Arial" w:cs="Arial"/>
          <w:b/>
          <w:color w:val="000000"/>
          <w:sz w:val="24"/>
          <w:szCs w:val="24"/>
        </w:rPr>
      </w:pPr>
    </w:p>
    <w:p w:rsidR="000F4D4B" w:rsidRDefault="006731DD" w:rsidP="006731DD">
      <w:pPr>
        <w:spacing w:line="360" w:lineRule="auto"/>
        <w:ind w:left="709" w:hanging="709"/>
        <w:jc w:val="both"/>
        <w:rPr>
          <w:rFonts w:ascii="Arial" w:hAnsi="Arial" w:cs="Arial"/>
          <w:sz w:val="24"/>
          <w:szCs w:val="24"/>
        </w:rPr>
      </w:pPr>
      <w:r>
        <w:rPr>
          <w:rFonts w:ascii="Arial" w:hAnsi="Arial" w:cs="Arial"/>
          <w:sz w:val="24"/>
          <w:szCs w:val="24"/>
        </w:rPr>
        <w:t>29.</w:t>
      </w:r>
      <w:r>
        <w:rPr>
          <w:rFonts w:ascii="Arial" w:hAnsi="Arial" w:cs="Arial"/>
          <w:sz w:val="24"/>
          <w:szCs w:val="24"/>
        </w:rPr>
        <w:tab/>
        <w:t>T</w:t>
      </w:r>
      <w:r w:rsidRPr="00896026">
        <w:rPr>
          <w:rFonts w:ascii="Arial" w:hAnsi="Arial" w:cs="Arial"/>
          <w:sz w:val="24"/>
          <w:szCs w:val="24"/>
        </w:rPr>
        <w:t xml:space="preserve">he Agency’s primary source of funding in terms of Departmental Resource and Capital </w:t>
      </w:r>
      <w:r w:rsidR="000D2BBE">
        <w:rPr>
          <w:rFonts w:ascii="Arial" w:hAnsi="Arial" w:cs="Arial"/>
          <w:sz w:val="24"/>
          <w:szCs w:val="24"/>
        </w:rPr>
        <w:t>e</w:t>
      </w:r>
      <w:r w:rsidRPr="00896026">
        <w:rPr>
          <w:rFonts w:ascii="Arial" w:hAnsi="Arial" w:cs="Arial"/>
          <w:sz w:val="24"/>
          <w:szCs w:val="24"/>
        </w:rPr>
        <w:t xml:space="preserve">xpenditure comes from </w:t>
      </w:r>
      <w:r>
        <w:rPr>
          <w:rFonts w:ascii="Arial" w:hAnsi="Arial" w:cs="Arial"/>
          <w:sz w:val="24"/>
          <w:szCs w:val="24"/>
        </w:rPr>
        <w:t xml:space="preserve">within the DAERA overall </w:t>
      </w:r>
      <w:r w:rsidR="000D2BBE">
        <w:rPr>
          <w:rFonts w:ascii="Arial" w:hAnsi="Arial" w:cs="Arial"/>
          <w:sz w:val="24"/>
          <w:szCs w:val="24"/>
        </w:rPr>
        <w:t>b</w:t>
      </w:r>
      <w:r>
        <w:rPr>
          <w:rFonts w:ascii="Arial" w:hAnsi="Arial" w:cs="Arial"/>
          <w:sz w:val="24"/>
          <w:szCs w:val="24"/>
        </w:rPr>
        <w:t xml:space="preserve">udget allocation as agreed by the Executive and approved by the Assembly.  </w:t>
      </w:r>
      <w:r w:rsidRPr="00896026">
        <w:rPr>
          <w:rFonts w:ascii="Arial" w:hAnsi="Arial" w:cs="Arial"/>
          <w:sz w:val="24"/>
          <w:szCs w:val="24"/>
        </w:rPr>
        <w:t xml:space="preserve">For the </w:t>
      </w:r>
      <w:r w:rsidRPr="00896026">
        <w:rPr>
          <w:rFonts w:ascii="Arial" w:hAnsi="Arial" w:cs="Arial"/>
          <w:sz w:val="24"/>
          <w:szCs w:val="24"/>
        </w:rPr>
        <w:lastRenderedPageBreak/>
        <w:t>201</w:t>
      </w:r>
      <w:r w:rsidR="008E7E7A">
        <w:rPr>
          <w:rFonts w:ascii="Arial" w:hAnsi="Arial" w:cs="Arial"/>
          <w:sz w:val="24"/>
          <w:szCs w:val="24"/>
        </w:rPr>
        <w:t>7</w:t>
      </w:r>
      <w:r w:rsidRPr="00896026">
        <w:rPr>
          <w:rFonts w:ascii="Arial" w:hAnsi="Arial" w:cs="Arial"/>
          <w:sz w:val="24"/>
          <w:szCs w:val="24"/>
        </w:rPr>
        <w:t>/1</w:t>
      </w:r>
      <w:r w:rsidR="008E7E7A">
        <w:rPr>
          <w:rFonts w:ascii="Arial" w:hAnsi="Arial" w:cs="Arial"/>
          <w:sz w:val="24"/>
          <w:szCs w:val="24"/>
        </w:rPr>
        <w:t>8</w:t>
      </w:r>
      <w:r w:rsidRPr="00896026">
        <w:rPr>
          <w:rFonts w:ascii="Arial" w:hAnsi="Arial" w:cs="Arial"/>
          <w:sz w:val="24"/>
          <w:szCs w:val="24"/>
        </w:rPr>
        <w:t xml:space="preserve"> financial year, the Agency has been allocated</w:t>
      </w:r>
      <w:r>
        <w:rPr>
          <w:rFonts w:ascii="Arial" w:hAnsi="Arial" w:cs="Arial"/>
          <w:sz w:val="24"/>
          <w:szCs w:val="24"/>
        </w:rPr>
        <w:t xml:space="preserve"> an opening </w:t>
      </w:r>
      <w:r w:rsidR="00A81BBA">
        <w:rPr>
          <w:rFonts w:ascii="Arial" w:hAnsi="Arial" w:cs="Arial"/>
          <w:sz w:val="24"/>
          <w:szCs w:val="24"/>
        </w:rPr>
        <w:t xml:space="preserve">indicative </w:t>
      </w:r>
      <w:r>
        <w:rPr>
          <w:rFonts w:ascii="Arial" w:hAnsi="Arial" w:cs="Arial"/>
          <w:sz w:val="24"/>
          <w:szCs w:val="24"/>
        </w:rPr>
        <w:t>net Resource budget of</w:t>
      </w:r>
      <w:r w:rsidRPr="00896026">
        <w:rPr>
          <w:rFonts w:ascii="Arial" w:hAnsi="Arial" w:cs="Arial"/>
          <w:sz w:val="24"/>
          <w:szCs w:val="24"/>
        </w:rPr>
        <w:t xml:space="preserve"> </w:t>
      </w:r>
      <w:r w:rsidR="0088037E" w:rsidRPr="0088037E">
        <w:rPr>
          <w:rFonts w:ascii="Arial" w:hAnsi="Arial" w:cs="Arial"/>
          <w:sz w:val="24"/>
          <w:szCs w:val="24"/>
        </w:rPr>
        <w:t>£19.8</w:t>
      </w:r>
      <w:r w:rsidRPr="00896026">
        <w:rPr>
          <w:rFonts w:ascii="Arial" w:hAnsi="Arial" w:cs="Arial"/>
          <w:sz w:val="24"/>
          <w:szCs w:val="24"/>
        </w:rPr>
        <w:t xml:space="preserve"> million</w:t>
      </w:r>
      <w:r w:rsidR="00A81BBA">
        <w:rPr>
          <w:rFonts w:ascii="Arial" w:hAnsi="Arial" w:cs="Arial"/>
          <w:sz w:val="24"/>
          <w:szCs w:val="24"/>
        </w:rPr>
        <w:t xml:space="preserve">.  The </w:t>
      </w:r>
      <w:r w:rsidR="00123821">
        <w:rPr>
          <w:rFonts w:ascii="Arial" w:hAnsi="Arial" w:cs="Arial"/>
          <w:sz w:val="24"/>
          <w:szCs w:val="24"/>
        </w:rPr>
        <w:t xml:space="preserve">level of capital funding will be established </w:t>
      </w:r>
      <w:r w:rsidR="00A81BBA">
        <w:rPr>
          <w:rFonts w:ascii="Arial" w:hAnsi="Arial" w:cs="Arial"/>
          <w:sz w:val="24"/>
          <w:szCs w:val="24"/>
        </w:rPr>
        <w:t>following the first in-year monitoring round</w:t>
      </w:r>
      <w:r>
        <w:rPr>
          <w:rFonts w:ascii="Arial" w:hAnsi="Arial" w:cs="Arial"/>
          <w:sz w:val="24"/>
          <w:szCs w:val="24"/>
        </w:rPr>
        <w:t xml:space="preserve">.  </w:t>
      </w:r>
      <w:r w:rsidRPr="00896026">
        <w:rPr>
          <w:rFonts w:ascii="Arial" w:hAnsi="Arial" w:cs="Arial"/>
          <w:sz w:val="24"/>
          <w:szCs w:val="24"/>
        </w:rPr>
        <w:t>The Agency also funds additional expenditure on programmes through income from services</w:t>
      </w:r>
      <w:r w:rsidRPr="00EA6980">
        <w:rPr>
          <w:rFonts w:ascii="Arial" w:hAnsi="Arial" w:cs="Arial"/>
          <w:sz w:val="24"/>
          <w:szCs w:val="24"/>
        </w:rPr>
        <w:t xml:space="preserve"> and the carrier bag levy</w:t>
      </w:r>
      <w:r>
        <w:rPr>
          <w:rFonts w:ascii="Arial" w:hAnsi="Arial" w:cs="Arial"/>
          <w:sz w:val="24"/>
          <w:szCs w:val="24"/>
        </w:rPr>
        <w:t xml:space="preserve">.  </w:t>
      </w:r>
      <w:r w:rsidRPr="00896026">
        <w:rPr>
          <w:rFonts w:ascii="Arial" w:hAnsi="Arial" w:cs="Arial"/>
          <w:sz w:val="24"/>
          <w:szCs w:val="24"/>
        </w:rPr>
        <w:t>Income for 201</w:t>
      </w:r>
      <w:r w:rsidR="008E7E7A">
        <w:rPr>
          <w:rFonts w:ascii="Arial" w:hAnsi="Arial" w:cs="Arial"/>
          <w:sz w:val="24"/>
          <w:szCs w:val="24"/>
        </w:rPr>
        <w:t>7</w:t>
      </w:r>
      <w:r w:rsidRPr="00896026">
        <w:rPr>
          <w:rFonts w:ascii="Arial" w:hAnsi="Arial" w:cs="Arial"/>
          <w:sz w:val="24"/>
          <w:szCs w:val="24"/>
        </w:rPr>
        <w:t>-1</w:t>
      </w:r>
      <w:r w:rsidR="008E7E7A">
        <w:rPr>
          <w:rFonts w:ascii="Arial" w:hAnsi="Arial" w:cs="Arial"/>
          <w:sz w:val="24"/>
          <w:szCs w:val="24"/>
        </w:rPr>
        <w:t>8</w:t>
      </w:r>
      <w:r w:rsidRPr="00896026">
        <w:rPr>
          <w:rFonts w:ascii="Arial" w:hAnsi="Arial" w:cs="Arial"/>
          <w:sz w:val="24"/>
          <w:szCs w:val="24"/>
        </w:rPr>
        <w:t xml:space="preserve"> is estimated to be </w:t>
      </w:r>
      <w:r w:rsidR="00667152">
        <w:rPr>
          <w:rFonts w:ascii="Arial" w:hAnsi="Arial" w:cs="Arial"/>
          <w:sz w:val="24"/>
          <w:szCs w:val="24"/>
        </w:rPr>
        <w:t xml:space="preserve">nearly </w:t>
      </w:r>
      <w:r w:rsidR="0088037E" w:rsidRPr="0088037E">
        <w:rPr>
          <w:rFonts w:ascii="Arial" w:hAnsi="Arial" w:cs="Arial"/>
          <w:sz w:val="24"/>
          <w:szCs w:val="24"/>
        </w:rPr>
        <w:t>£11</w:t>
      </w:r>
      <w:r w:rsidRPr="00896026">
        <w:rPr>
          <w:rFonts w:ascii="Arial" w:hAnsi="Arial" w:cs="Arial"/>
          <w:sz w:val="24"/>
          <w:szCs w:val="24"/>
        </w:rPr>
        <w:t xml:space="preserve"> million</w:t>
      </w:r>
      <w:r>
        <w:rPr>
          <w:rFonts w:ascii="Arial" w:hAnsi="Arial" w:cs="Arial"/>
          <w:sz w:val="24"/>
          <w:szCs w:val="24"/>
        </w:rPr>
        <w:t xml:space="preserve">.  </w:t>
      </w:r>
      <w:r w:rsidRPr="00896026">
        <w:rPr>
          <w:rFonts w:ascii="Arial" w:hAnsi="Arial" w:cs="Arial"/>
          <w:b/>
          <w:sz w:val="24"/>
          <w:szCs w:val="24"/>
        </w:rPr>
        <w:t xml:space="preserve">Annex </w:t>
      </w:r>
      <w:r>
        <w:rPr>
          <w:rFonts w:ascii="Arial" w:hAnsi="Arial" w:cs="Arial"/>
          <w:b/>
          <w:sz w:val="24"/>
          <w:szCs w:val="24"/>
        </w:rPr>
        <w:t>C</w:t>
      </w:r>
      <w:r w:rsidRPr="00896026">
        <w:rPr>
          <w:rFonts w:ascii="Arial" w:hAnsi="Arial" w:cs="Arial"/>
          <w:sz w:val="24"/>
          <w:szCs w:val="24"/>
        </w:rPr>
        <w:t xml:space="preserve"> (page </w:t>
      </w:r>
      <w:r w:rsidR="00993E98">
        <w:rPr>
          <w:rFonts w:ascii="Arial" w:hAnsi="Arial" w:cs="Arial"/>
          <w:sz w:val="24"/>
          <w:szCs w:val="24"/>
        </w:rPr>
        <w:t>1</w:t>
      </w:r>
      <w:r w:rsidR="00705E86">
        <w:rPr>
          <w:rFonts w:ascii="Arial" w:hAnsi="Arial" w:cs="Arial"/>
          <w:sz w:val="24"/>
          <w:szCs w:val="24"/>
        </w:rPr>
        <w:t>5</w:t>
      </w:r>
      <w:r w:rsidRPr="00896026">
        <w:rPr>
          <w:rFonts w:ascii="Arial" w:hAnsi="Arial" w:cs="Arial"/>
          <w:sz w:val="24"/>
          <w:szCs w:val="24"/>
        </w:rPr>
        <w:t xml:space="preserve">) provides a breakdown of the </w:t>
      </w:r>
      <w:r>
        <w:rPr>
          <w:rFonts w:ascii="Arial" w:hAnsi="Arial" w:cs="Arial"/>
          <w:sz w:val="24"/>
          <w:szCs w:val="24"/>
        </w:rPr>
        <w:t xml:space="preserve">resource </w:t>
      </w:r>
      <w:r w:rsidRPr="00896026">
        <w:rPr>
          <w:rFonts w:ascii="Arial" w:hAnsi="Arial" w:cs="Arial"/>
          <w:sz w:val="24"/>
          <w:szCs w:val="24"/>
        </w:rPr>
        <w:t>funding</w:t>
      </w:r>
      <w:r w:rsidR="003B067E">
        <w:rPr>
          <w:rFonts w:ascii="Arial" w:hAnsi="Arial" w:cs="Arial"/>
          <w:sz w:val="24"/>
          <w:szCs w:val="24"/>
        </w:rPr>
        <w:t>, including income</w:t>
      </w:r>
      <w:r w:rsidRPr="00896026">
        <w:rPr>
          <w:rFonts w:ascii="Arial" w:hAnsi="Arial" w:cs="Arial"/>
          <w:sz w:val="24"/>
          <w:szCs w:val="24"/>
        </w:rPr>
        <w:t>.</w:t>
      </w:r>
      <w:r w:rsidR="000D2BBE">
        <w:rPr>
          <w:rFonts w:ascii="Arial" w:hAnsi="Arial" w:cs="Arial"/>
          <w:sz w:val="24"/>
          <w:szCs w:val="24"/>
        </w:rPr>
        <w:t xml:space="preserve">  </w:t>
      </w:r>
    </w:p>
    <w:p w:rsidR="004C3099" w:rsidRDefault="000F4D4B">
      <w:pPr>
        <w:spacing w:line="360" w:lineRule="auto"/>
        <w:ind w:left="709"/>
        <w:jc w:val="both"/>
        <w:rPr>
          <w:rFonts w:ascii="Arial" w:hAnsi="Arial" w:cs="Arial"/>
          <w:b/>
          <w:color w:val="365B92"/>
          <w:sz w:val="24"/>
          <w:szCs w:val="24"/>
        </w:rPr>
      </w:pPr>
      <w:r>
        <w:rPr>
          <w:rFonts w:ascii="Arial" w:hAnsi="Arial" w:cs="Arial"/>
          <w:sz w:val="24"/>
          <w:szCs w:val="24"/>
        </w:rPr>
        <w:t>T</w:t>
      </w:r>
      <w:r w:rsidR="000D2BBE">
        <w:rPr>
          <w:rFonts w:ascii="Arial" w:hAnsi="Arial" w:cs="Arial"/>
          <w:sz w:val="24"/>
          <w:szCs w:val="24"/>
        </w:rPr>
        <w:t xml:space="preserve">he successful delivery of all the targets in this Plan will </w:t>
      </w:r>
      <w:r>
        <w:rPr>
          <w:rFonts w:ascii="Arial" w:hAnsi="Arial" w:cs="Arial"/>
          <w:sz w:val="24"/>
          <w:szCs w:val="24"/>
        </w:rPr>
        <w:t xml:space="preserve">of course </w:t>
      </w:r>
      <w:r w:rsidR="000D2BBE">
        <w:rPr>
          <w:rFonts w:ascii="Arial" w:hAnsi="Arial" w:cs="Arial"/>
          <w:sz w:val="24"/>
          <w:szCs w:val="24"/>
        </w:rPr>
        <w:t>be dependent on securing additional resource and capital funding through the in year monitoring rounds.</w:t>
      </w:r>
    </w:p>
    <w:p w:rsidR="006731DD" w:rsidRDefault="006731DD" w:rsidP="00896026">
      <w:pPr>
        <w:pStyle w:val="default"/>
        <w:spacing w:line="360" w:lineRule="auto"/>
        <w:rPr>
          <w:b/>
        </w:rPr>
      </w:pPr>
    </w:p>
    <w:p w:rsidR="00126D69" w:rsidRDefault="00126D69" w:rsidP="00896026">
      <w:pPr>
        <w:pStyle w:val="default"/>
        <w:spacing w:line="360" w:lineRule="auto"/>
        <w:rPr>
          <w:b/>
        </w:rPr>
      </w:pPr>
    </w:p>
    <w:p w:rsidR="006731DD" w:rsidRDefault="006731DD" w:rsidP="00896026">
      <w:pPr>
        <w:pStyle w:val="default"/>
        <w:spacing w:line="360" w:lineRule="auto"/>
        <w:rPr>
          <w:b/>
        </w:rPr>
      </w:pPr>
    </w:p>
    <w:p w:rsidR="004F4103" w:rsidRDefault="004F4103" w:rsidP="00896026">
      <w:pPr>
        <w:pStyle w:val="default"/>
        <w:spacing w:line="360" w:lineRule="auto"/>
        <w:rPr>
          <w:b/>
        </w:rPr>
      </w:pPr>
    </w:p>
    <w:p w:rsidR="004F4103" w:rsidRDefault="004F4103" w:rsidP="00896026">
      <w:pPr>
        <w:pStyle w:val="default"/>
        <w:spacing w:line="360" w:lineRule="auto"/>
        <w:rPr>
          <w:b/>
        </w:rPr>
      </w:pPr>
    </w:p>
    <w:p w:rsidR="004F4103" w:rsidRDefault="004F4103" w:rsidP="00896026">
      <w:pPr>
        <w:pStyle w:val="default"/>
        <w:spacing w:line="360" w:lineRule="auto"/>
        <w:rPr>
          <w:b/>
        </w:rPr>
      </w:pPr>
    </w:p>
    <w:p w:rsidR="00043941" w:rsidRDefault="00043941" w:rsidP="00896026">
      <w:pPr>
        <w:pStyle w:val="default"/>
        <w:spacing w:line="360" w:lineRule="auto"/>
        <w:rPr>
          <w:b/>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4E6B85" w:rsidRPr="005A7222" w:rsidRDefault="004E6B85" w:rsidP="00896026">
      <w:pPr>
        <w:spacing w:line="360" w:lineRule="auto"/>
        <w:jc w:val="both"/>
        <w:rPr>
          <w:rFonts w:ascii="Arial" w:hAnsi="Arial" w:cs="Arial"/>
          <w:b/>
          <w:color w:val="000000"/>
          <w:sz w:val="24"/>
          <w:szCs w:val="24"/>
        </w:rPr>
      </w:pPr>
    </w:p>
    <w:p w:rsidR="00DC24A2" w:rsidRPr="005A7222" w:rsidRDefault="00075FBC" w:rsidP="00896026">
      <w:pPr>
        <w:spacing w:line="360" w:lineRule="auto"/>
        <w:jc w:val="both"/>
        <w:rPr>
          <w:rFonts w:ascii="Arial" w:hAnsi="Arial" w:cs="Arial"/>
          <w:b/>
          <w:color w:val="000000"/>
          <w:sz w:val="24"/>
          <w:szCs w:val="24"/>
        </w:rPr>
      </w:pPr>
      <w:r w:rsidRPr="005A7222">
        <w:rPr>
          <w:rFonts w:ascii="Arial" w:hAnsi="Arial" w:cs="Arial"/>
          <w:b/>
          <w:color w:val="000000"/>
          <w:sz w:val="24"/>
          <w:szCs w:val="24"/>
        </w:rPr>
        <w:t>N</w:t>
      </w:r>
      <w:r w:rsidR="008E7E7A" w:rsidRPr="005A7222">
        <w:rPr>
          <w:rFonts w:ascii="Arial" w:hAnsi="Arial" w:cs="Arial"/>
          <w:b/>
          <w:color w:val="000000"/>
          <w:sz w:val="24"/>
          <w:szCs w:val="24"/>
        </w:rPr>
        <w:t>IEA TARGETS (2017-18)</w:t>
      </w:r>
    </w:p>
    <w:tbl>
      <w:tblPr>
        <w:tblpPr w:leftFromText="180" w:rightFromText="180" w:horzAnchor="page" w:tblpX="1183" w:tblpY="9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5342"/>
        <w:gridCol w:w="1701"/>
      </w:tblGrid>
      <w:tr w:rsidR="00A77712" w:rsidRPr="00011CB1" w:rsidTr="008E7E7A">
        <w:tc>
          <w:tcPr>
            <w:tcW w:w="578" w:type="dxa"/>
          </w:tcPr>
          <w:p w:rsidR="00A77712" w:rsidRPr="00011CB1" w:rsidRDefault="00A77712" w:rsidP="00011CB1">
            <w:pPr>
              <w:pStyle w:val="ListParagraph"/>
              <w:autoSpaceDE w:val="0"/>
              <w:autoSpaceDN w:val="0"/>
              <w:adjustRightInd w:val="0"/>
              <w:spacing w:line="241" w:lineRule="atLeast"/>
              <w:ind w:left="0"/>
              <w:jc w:val="center"/>
              <w:rPr>
                <w:rFonts w:ascii="Arial" w:hAnsi="Arial" w:cs="Arial"/>
                <w:b/>
                <w:sz w:val="22"/>
                <w:szCs w:val="22"/>
                <w:lang w:val="en-US"/>
              </w:rPr>
            </w:pPr>
            <w:r w:rsidRPr="00011CB1">
              <w:rPr>
                <w:rFonts w:ascii="Arial" w:hAnsi="Arial" w:cs="Arial"/>
                <w:b/>
                <w:sz w:val="22"/>
                <w:szCs w:val="22"/>
                <w:lang w:val="en-US"/>
              </w:rPr>
              <w:t>No.</w:t>
            </w:r>
          </w:p>
        </w:tc>
        <w:tc>
          <w:tcPr>
            <w:tcW w:w="5342" w:type="dxa"/>
          </w:tcPr>
          <w:p w:rsidR="00A77712" w:rsidRPr="00011CB1" w:rsidRDefault="00A77712" w:rsidP="00011CB1">
            <w:pPr>
              <w:pStyle w:val="ListParagraph"/>
              <w:autoSpaceDE w:val="0"/>
              <w:autoSpaceDN w:val="0"/>
              <w:adjustRightInd w:val="0"/>
              <w:spacing w:line="241" w:lineRule="atLeast"/>
              <w:ind w:left="0"/>
              <w:jc w:val="center"/>
              <w:rPr>
                <w:rFonts w:ascii="Arial" w:hAnsi="Arial" w:cs="Arial"/>
                <w:b/>
                <w:sz w:val="22"/>
                <w:szCs w:val="22"/>
                <w:lang w:val="en-US"/>
              </w:rPr>
            </w:pPr>
            <w:r w:rsidRPr="00011CB1">
              <w:rPr>
                <w:rFonts w:ascii="Arial" w:hAnsi="Arial" w:cs="Arial"/>
                <w:b/>
                <w:sz w:val="22"/>
                <w:szCs w:val="22"/>
                <w:lang w:val="en-US"/>
              </w:rPr>
              <w:t>2017/18 Targets</w:t>
            </w:r>
          </w:p>
        </w:tc>
        <w:tc>
          <w:tcPr>
            <w:tcW w:w="1701" w:type="dxa"/>
          </w:tcPr>
          <w:p w:rsidR="00A77712" w:rsidRPr="00011CB1" w:rsidRDefault="00A77712" w:rsidP="00011CB1">
            <w:pPr>
              <w:pStyle w:val="ListParagraph"/>
              <w:autoSpaceDE w:val="0"/>
              <w:autoSpaceDN w:val="0"/>
              <w:adjustRightInd w:val="0"/>
              <w:spacing w:line="241" w:lineRule="atLeast"/>
              <w:ind w:left="0"/>
              <w:jc w:val="center"/>
              <w:rPr>
                <w:rFonts w:ascii="Arial" w:hAnsi="Arial" w:cs="Arial"/>
                <w:b/>
                <w:sz w:val="22"/>
                <w:szCs w:val="22"/>
                <w:lang w:val="en-US"/>
              </w:rPr>
            </w:pPr>
            <w:r w:rsidRPr="00011CB1">
              <w:rPr>
                <w:rFonts w:ascii="Arial" w:hAnsi="Arial" w:cs="Arial"/>
                <w:b/>
                <w:sz w:val="22"/>
                <w:szCs w:val="22"/>
                <w:lang w:val="en-US"/>
              </w:rPr>
              <w:t>By When</w:t>
            </w:r>
          </w:p>
        </w:tc>
      </w:tr>
      <w:tr w:rsidR="00A77712" w:rsidRPr="00011CB1" w:rsidTr="008E7E7A">
        <w:tc>
          <w:tcPr>
            <w:tcW w:w="578" w:type="dxa"/>
          </w:tcPr>
          <w:p w:rsidR="00A77712" w:rsidRPr="00011CB1" w:rsidRDefault="00A77712" w:rsidP="00011CB1">
            <w:pPr>
              <w:pStyle w:val="ListParagraph"/>
              <w:autoSpaceDE w:val="0"/>
              <w:autoSpaceDN w:val="0"/>
              <w:adjustRightInd w:val="0"/>
              <w:spacing w:line="241" w:lineRule="atLeast"/>
              <w:ind w:left="0"/>
              <w:rPr>
                <w:rFonts w:ascii="Arial" w:hAnsi="Arial" w:cs="Arial"/>
                <w:sz w:val="22"/>
                <w:szCs w:val="22"/>
                <w:lang w:val="en-US"/>
              </w:rPr>
            </w:pPr>
            <w:r w:rsidRPr="00011CB1">
              <w:rPr>
                <w:rFonts w:ascii="Arial" w:hAnsi="Arial" w:cs="Arial"/>
                <w:sz w:val="22"/>
                <w:szCs w:val="22"/>
                <w:lang w:val="en-US"/>
              </w:rPr>
              <w:t>1</w:t>
            </w:r>
          </w:p>
        </w:tc>
        <w:tc>
          <w:tcPr>
            <w:tcW w:w="5342" w:type="dxa"/>
          </w:tcPr>
          <w:p w:rsidR="00A77712" w:rsidRPr="00E65889" w:rsidRDefault="00A77712" w:rsidP="00011CB1">
            <w:pPr>
              <w:autoSpaceDE w:val="0"/>
              <w:autoSpaceDN w:val="0"/>
              <w:adjustRightInd w:val="0"/>
              <w:spacing w:line="241" w:lineRule="atLeast"/>
              <w:rPr>
                <w:rFonts w:ascii="Arial" w:hAnsi="Arial" w:cs="Arial"/>
                <w:b/>
                <w:bCs/>
                <w:color w:val="FF0000"/>
                <w:sz w:val="22"/>
                <w:szCs w:val="22"/>
                <w:lang w:val="en-US"/>
              </w:rPr>
            </w:pPr>
            <w:r w:rsidRPr="00011CB1">
              <w:rPr>
                <w:rFonts w:ascii="Arial" w:hAnsi="Arial" w:cs="Arial"/>
                <w:color w:val="000000"/>
                <w:sz w:val="22"/>
                <w:szCs w:val="22"/>
                <w:lang w:val="en-US"/>
              </w:rPr>
              <w:t>I</w:t>
            </w:r>
            <w:r>
              <w:rPr>
                <w:rFonts w:ascii="Arial" w:hAnsi="Arial" w:cs="Arial"/>
                <w:color w:val="000000"/>
                <w:sz w:val="22"/>
                <w:szCs w:val="22"/>
                <w:lang w:val="en-US"/>
              </w:rPr>
              <w:t>nitiate Conservation Management</w:t>
            </w:r>
            <w:r w:rsidRPr="00011CB1">
              <w:rPr>
                <w:rFonts w:ascii="Arial" w:hAnsi="Arial" w:cs="Arial"/>
                <w:color w:val="000000"/>
                <w:sz w:val="22"/>
                <w:szCs w:val="22"/>
                <w:lang w:val="en-US"/>
              </w:rPr>
              <w:t xml:space="preserve"> pla</w:t>
            </w:r>
            <w:r w:rsidRPr="00011CB1">
              <w:rPr>
                <w:rFonts w:ascii="Arial" w:hAnsi="Arial" w:cs="Arial"/>
                <w:sz w:val="22"/>
                <w:szCs w:val="22"/>
                <w:lang w:val="en-US"/>
              </w:rPr>
              <w:t xml:space="preserve">ns for 40 terrestrial designated sites.  </w:t>
            </w:r>
            <w:r w:rsidRPr="00011CB1">
              <w:rPr>
                <w:rFonts w:ascii="Arial" w:hAnsi="Arial" w:cs="Arial"/>
                <w:color w:val="000000"/>
                <w:sz w:val="22"/>
                <w:szCs w:val="22"/>
                <w:lang w:val="en-US"/>
              </w:rPr>
              <w:t xml:space="preserve">                                                                         </w:t>
            </w:r>
            <w:r>
              <w:rPr>
                <w:rFonts w:ascii="Arial" w:hAnsi="Arial" w:cs="Arial"/>
                <w:b/>
                <w:bCs/>
                <w:color w:val="FF0000"/>
                <w:sz w:val="22"/>
                <w:szCs w:val="22"/>
                <w:lang w:val="en-US"/>
              </w:rPr>
              <w:t>KPT &amp;</w:t>
            </w:r>
            <w:r w:rsidRPr="00011CB1">
              <w:rPr>
                <w:rFonts w:ascii="Arial" w:hAnsi="Arial" w:cs="Arial"/>
                <w:b/>
                <w:bCs/>
                <w:color w:val="FF0000"/>
                <w:sz w:val="22"/>
                <w:szCs w:val="22"/>
                <w:lang w:val="en-US"/>
              </w:rPr>
              <w:t xml:space="preserve"> DAERA TARGET</w:t>
            </w: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w:t>
            </w:r>
            <w:r w:rsidRPr="00011CB1">
              <w:rPr>
                <w:rFonts w:ascii="Arial" w:hAnsi="Arial" w:cs="Arial"/>
                <w:color w:val="000000"/>
                <w:sz w:val="22"/>
                <w:szCs w:val="22"/>
                <w:lang w:val="en-US"/>
              </w:rPr>
              <w:t>18</w:t>
            </w:r>
          </w:p>
        </w:tc>
      </w:tr>
      <w:tr w:rsidR="00A77712" w:rsidRPr="00011CB1" w:rsidTr="008E7E7A">
        <w:tc>
          <w:tcPr>
            <w:tcW w:w="578" w:type="dxa"/>
          </w:tcPr>
          <w:p w:rsidR="00A77712" w:rsidRPr="00011CB1" w:rsidRDefault="00A77712" w:rsidP="00011CB1">
            <w:pPr>
              <w:pStyle w:val="ListParagraph"/>
              <w:autoSpaceDE w:val="0"/>
              <w:autoSpaceDN w:val="0"/>
              <w:adjustRightInd w:val="0"/>
              <w:spacing w:line="241" w:lineRule="atLeast"/>
              <w:ind w:left="0"/>
              <w:rPr>
                <w:rFonts w:ascii="Arial" w:hAnsi="Arial" w:cs="Arial"/>
                <w:sz w:val="22"/>
                <w:szCs w:val="22"/>
                <w:lang w:val="en-US"/>
              </w:rPr>
            </w:pPr>
            <w:r w:rsidRPr="00011CB1">
              <w:rPr>
                <w:rFonts w:ascii="Arial" w:hAnsi="Arial" w:cs="Arial"/>
                <w:sz w:val="22"/>
                <w:szCs w:val="22"/>
                <w:lang w:val="en-US"/>
              </w:rPr>
              <w:t>2</w:t>
            </w:r>
          </w:p>
        </w:tc>
        <w:tc>
          <w:tcPr>
            <w:tcW w:w="5342"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sidRPr="00011CB1">
              <w:rPr>
                <w:rFonts w:ascii="Arial" w:hAnsi="Arial" w:cs="Arial"/>
                <w:color w:val="000000"/>
                <w:sz w:val="22"/>
                <w:szCs w:val="22"/>
                <w:lang w:val="en-US"/>
              </w:rPr>
              <w:t>Issue the 2018</w:t>
            </w:r>
            <w:r w:rsidRPr="00011CB1">
              <w:rPr>
                <w:rFonts w:ascii="Arial" w:hAnsi="Arial" w:cs="Arial"/>
                <w:sz w:val="22"/>
                <w:szCs w:val="22"/>
                <w:lang w:val="en-US"/>
              </w:rPr>
              <w:t>/19 E</w:t>
            </w:r>
            <w:r w:rsidRPr="00011CB1">
              <w:rPr>
                <w:rFonts w:ascii="Arial" w:hAnsi="Arial" w:cs="Arial"/>
                <w:color w:val="000000"/>
                <w:sz w:val="22"/>
                <w:szCs w:val="22"/>
                <w:lang w:val="en-US"/>
              </w:rPr>
              <w:t xml:space="preserve">nvironment Fund offers.  </w:t>
            </w: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sidRPr="00011CB1">
              <w:rPr>
                <w:rFonts w:ascii="Arial" w:hAnsi="Arial" w:cs="Arial"/>
                <w:b/>
                <w:bCs/>
                <w:color w:val="FF0000"/>
                <w:sz w:val="22"/>
                <w:szCs w:val="22"/>
                <w:lang w:val="en-US"/>
              </w:rPr>
              <w:t>KPT</w:t>
            </w:r>
          </w:p>
        </w:tc>
        <w:tc>
          <w:tcPr>
            <w:tcW w:w="1701" w:type="dxa"/>
          </w:tcPr>
          <w:p w:rsidR="00A77712"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November</w:t>
            </w: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20</w:t>
            </w:r>
            <w:r w:rsidRPr="00011CB1">
              <w:rPr>
                <w:rFonts w:ascii="Arial" w:hAnsi="Arial" w:cs="Arial"/>
                <w:color w:val="000000"/>
                <w:sz w:val="22"/>
                <w:szCs w:val="22"/>
                <w:lang w:val="en-US"/>
              </w:rPr>
              <w:t>17</w:t>
            </w:r>
          </w:p>
        </w:tc>
      </w:tr>
      <w:tr w:rsidR="00A77712" w:rsidRPr="00011CB1" w:rsidTr="008E7E7A">
        <w:tc>
          <w:tcPr>
            <w:tcW w:w="578" w:type="dxa"/>
          </w:tcPr>
          <w:p w:rsidR="00A77712" w:rsidRPr="00011CB1" w:rsidRDefault="00A77712" w:rsidP="00011CB1">
            <w:pPr>
              <w:pStyle w:val="ListParagraph"/>
              <w:autoSpaceDE w:val="0"/>
              <w:autoSpaceDN w:val="0"/>
              <w:adjustRightInd w:val="0"/>
              <w:spacing w:line="241" w:lineRule="atLeast"/>
              <w:ind w:left="0"/>
              <w:rPr>
                <w:rFonts w:ascii="Arial" w:hAnsi="Arial" w:cs="Arial"/>
                <w:sz w:val="22"/>
                <w:szCs w:val="22"/>
                <w:lang w:val="en-US"/>
              </w:rPr>
            </w:pPr>
            <w:r w:rsidRPr="00011CB1">
              <w:rPr>
                <w:rFonts w:ascii="Arial" w:hAnsi="Arial" w:cs="Arial"/>
                <w:sz w:val="22"/>
                <w:szCs w:val="22"/>
                <w:lang w:val="en-US"/>
              </w:rPr>
              <w:t>3</w:t>
            </w:r>
          </w:p>
        </w:tc>
        <w:tc>
          <w:tcPr>
            <w:tcW w:w="5342"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sidRPr="00011CB1">
              <w:rPr>
                <w:rFonts w:ascii="Arial" w:hAnsi="Arial" w:cs="Arial"/>
                <w:color w:val="000000"/>
                <w:sz w:val="22"/>
                <w:szCs w:val="22"/>
                <w:lang w:val="en-US"/>
              </w:rPr>
              <w:t>Respond to 90%</w:t>
            </w:r>
            <w:r w:rsidRPr="00011CB1">
              <w:rPr>
                <w:rFonts w:ascii="Arial" w:hAnsi="Arial" w:cs="Arial"/>
                <w:sz w:val="22"/>
                <w:szCs w:val="22"/>
                <w:lang w:val="en-US"/>
              </w:rPr>
              <w:t xml:space="preserve"> of statutory </w:t>
            </w:r>
            <w:r w:rsidRPr="00011CB1">
              <w:rPr>
                <w:rFonts w:ascii="Arial" w:hAnsi="Arial" w:cs="Arial"/>
                <w:color w:val="000000"/>
                <w:sz w:val="22"/>
                <w:szCs w:val="22"/>
                <w:lang w:val="en-US"/>
              </w:rPr>
              <w:t xml:space="preserve">planning consultation requests within 21 days or agreed timescales.                                         </w:t>
            </w: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sidRPr="00011CB1">
              <w:rPr>
                <w:rFonts w:ascii="Arial" w:hAnsi="Arial" w:cs="Arial"/>
                <w:b/>
                <w:bCs/>
                <w:color w:val="FF0000"/>
                <w:sz w:val="22"/>
                <w:szCs w:val="22"/>
                <w:lang w:val="en-US"/>
              </w:rPr>
              <w:t xml:space="preserve">KPT </w:t>
            </w: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w:t>
            </w:r>
            <w:r w:rsidRPr="00011CB1">
              <w:rPr>
                <w:rFonts w:ascii="Arial" w:hAnsi="Arial" w:cs="Arial"/>
                <w:color w:val="000000"/>
                <w:sz w:val="22"/>
                <w:szCs w:val="22"/>
                <w:lang w:val="en-US"/>
              </w:rPr>
              <w:t>18</w:t>
            </w:r>
          </w:p>
        </w:tc>
      </w:tr>
      <w:tr w:rsidR="00A77712" w:rsidRPr="00011CB1" w:rsidTr="008E7E7A">
        <w:tc>
          <w:tcPr>
            <w:tcW w:w="578" w:type="dxa"/>
          </w:tcPr>
          <w:p w:rsidR="00A77712" w:rsidRPr="00011CB1" w:rsidRDefault="00A77712" w:rsidP="00011CB1">
            <w:pPr>
              <w:pStyle w:val="ListParagraph"/>
              <w:autoSpaceDE w:val="0"/>
              <w:autoSpaceDN w:val="0"/>
              <w:adjustRightInd w:val="0"/>
              <w:spacing w:line="241" w:lineRule="atLeast"/>
              <w:ind w:left="0"/>
              <w:rPr>
                <w:rFonts w:ascii="Arial" w:hAnsi="Arial" w:cs="Arial"/>
                <w:sz w:val="22"/>
                <w:szCs w:val="22"/>
                <w:lang w:val="en-US"/>
              </w:rPr>
            </w:pPr>
            <w:r w:rsidRPr="00011CB1">
              <w:rPr>
                <w:rFonts w:ascii="Arial" w:hAnsi="Arial" w:cs="Arial"/>
                <w:sz w:val="22"/>
                <w:szCs w:val="22"/>
                <w:lang w:val="en-US"/>
              </w:rPr>
              <w:t>4</w:t>
            </w:r>
          </w:p>
        </w:tc>
        <w:tc>
          <w:tcPr>
            <w:tcW w:w="5342" w:type="dxa"/>
          </w:tcPr>
          <w:p w:rsidR="00A77712" w:rsidRDefault="00A77712" w:rsidP="00011CB1">
            <w:pPr>
              <w:autoSpaceDE w:val="0"/>
              <w:autoSpaceDN w:val="0"/>
              <w:adjustRightInd w:val="0"/>
              <w:spacing w:line="241" w:lineRule="atLeast"/>
              <w:rPr>
                <w:rFonts w:ascii="Arial" w:hAnsi="Arial" w:cs="Arial"/>
                <w:sz w:val="22"/>
                <w:szCs w:val="22"/>
                <w:lang w:val="en-US"/>
              </w:rPr>
            </w:pPr>
            <w:r w:rsidRPr="00011CB1">
              <w:rPr>
                <w:rFonts w:ascii="Arial" w:hAnsi="Arial" w:cs="Arial"/>
                <w:sz w:val="22"/>
                <w:szCs w:val="22"/>
                <w:lang w:val="en-US"/>
              </w:rPr>
              <w:t>Establish an outdoor recreation strategic group to oversee and monitor the implementation of the Outdoor Recreation Action Plan</w:t>
            </w:r>
            <w:r>
              <w:rPr>
                <w:rFonts w:ascii="Arial" w:hAnsi="Arial" w:cs="Arial"/>
                <w:sz w:val="22"/>
                <w:szCs w:val="22"/>
                <w:lang w:val="en-US"/>
              </w:rPr>
              <w:t>.</w:t>
            </w:r>
          </w:p>
          <w:p w:rsidR="00A77712" w:rsidRPr="00011CB1" w:rsidRDefault="00A77712" w:rsidP="00011CB1">
            <w:pPr>
              <w:autoSpaceDE w:val="0"/>
              <w:autoSpaceDN w:val="0"/>
              <w:adjustRightInd w:val="0"/>
              <w:spacing w:line="241" w:lineRule="atLeast"/>
              <w:rPr>
                <w:rFonts w:ascii="Arial" w:hAnsi="Arial" w:cs="Arial"/>
                <w:sz w:val="22"/>
                <w:szCs w:val="22"/>
                <w:lang w:val="en-US"/>
              </w:rPr>
            </w:pP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201</w:t>
            </w:r>
            <w:r w:rsidRPr="00011CB1">
              <w:rPr>
                <w:rFonts w:ascii="Arial" w:hAnsi="Arial" w:cs="Arial"/>
                <w:color w:val="000000"/>
                <w:sz w:val="22"/>
                <w:szCs w:val="22"/>
                <w:lang w:val="en-US"/>
              </w:rPr>
              <w:t>8</w:t>
            </w:r>
          </w:p>
        </w:tc>
      </w:tr>
      <w:tr w:rsidR="00A77712" w:rsidRPr="00011CB1" w:rsidTr="008E7E7A">
        <w:tc>
          <w:tcPr>
            <w:tcW w:w="578" w:type="dxa"/>
          </w:tcPr>
          <w:p w:rsidR="00A77712" w:rsidRPr="00011CB1" w:rsidRDefault="00A77712" w:rsidP="00011CB1">
            <w:pPr>
              <w:pStyle w:val="ListParagraph"/>
              <w:autoSpaceDE w:val="0"/>
              <w:autoSpaceDN w:val="0"/>
              <w:adjustRightInd w:val="0"/>
              <w:spacing w:line="241" w:lineRule="atLeast"/>
              <w:ind w:left="0"/>
              <w:rPr>
                <w:rFonts w:ascii="Arial" w:hAnsi="Arial" w:cs="Arial"/>
                <w:sz w:val="22"/>
                <w:szCs w:val="22"/>
                <w:lang w:val="en-US"/>
              </w:rPr>
            </w:pPr>
            <w:r w:rsidRPr="00011CB1">
              <w:rPr>
                <w:rFonts w:ascii="Arial" w:hAnsi="Arial" w:cs="Arial"/>
                <w:sz w:val="22"/>
                <w:szCs w:val="22"/>
                <w:lang w:val="en-US"/>
              </w:rPr>
              <w:t>5</w:t>
            </w:r>
          </w:p>
        </w:tc>
        <w:tc>
          <w:tcPr>
            <w:tcW w:w="5342"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sidRPr="00011CB1">
              <w:rPr>
                <w:rFonts w:ascii="Arial" w:hAnsi="Arial" w:cs="Arial"/>
                <w:color w:val="000000"/>
                <w:sz w:val="22"/>
                <w:szCs w:val="22"/>
                <w:lang w:val="en-US"/>
              </w:rPr>
              <w:t>Ensure that five NIEA country parks are rated at least ‘good’ by Tourism NI.</w:t>
            </w: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w:t>
            </w:r>
            <w:r w:rsidRPr="00011CB1">
              <w:rPr>
                <w:rFonts w:ascii="Arial" w:hAnsi="Arial" w:cs="Arial"/>
                <w:color w:val="000000"/>
                <w:sz w:val="22"/>
                <w:szCs w:val="22"/>
                <w:lang w:val="en-US"/>
              </w:rPr>
              <w:t>18</w:t>
            </w:r>
          </w:p>
        </w:tc>
      </w:tr>
      <w:tr w:rsidR="00A77712" w:rsidRPr="00011CB1" w:rsidTr="008E7E7A">
        <w:tc>
          <w:tcPr>
            <w:tcW w:w="578" w:type="dxa"/>
          </w:tcPr>
          <w:p w:rsidR="00A77712" w:rsidRPr="00011CB1" w:rsidRDefault="00A77712" w:rsidP="00011CB1">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6</w:t>
            </w:r>
          </w:p>
        </w:tc>
        <w:tc>
          <w:tcPr>
            <w:tcW w:w="5342" w:type="dxa"/>
          </w:tcPr>
          <w:p w:rsidR="00A77712" w:rsidRPr="00CB199C" w:rsidRDefault="00A77712" w:rsidP="00CB199C">
            <w:pPr>
              <w:autoSpaceDE w:val="0"/>
              <w:autoSpaceDN w:val="0"/>
              <w:adjustRightInd w:val="0"/>
              <w:spacing w:line="241" w:lineRule="atLeast"/>
              <w:rPr>
                <w:rFonts w:ascii="Arial" w:hAnsi="Arial" w:cs="Arial"/>
                <w:color w:val="000000"/>
                <w:sz w:val="22"/>
                <w:szCs w:val="22"/>
                <w:lang w:val="en-US"/>
              </w:rPr>
            </w:pPr>
            <w:r w:rsidRPr="00CB199C">
              <w:rPr>
                <w:rFonts w:ascii="Arial" w:hAnsi="Arial" w:cs="Arial"/>
                <w:color w:val="000000"/>
                <w:sz w:val="22"/>
                <w:szCs w:val="22"/>
                <w:lang w:val="en-US"/>
              </w:rPr>
              <w:t xml:space="preserve">Achieve 90% compliance with all Authorisations (to include permits/licences) and Regulatory requirements using an agreed compliance assessment methodology.                                                                                                                                                                                                                                                                                </w:t>
            </w:r>
          </w:p>
          <w:p w:rsidR="00A77712" w:rsidRDefault="00A77712" w:rsidP="00CB199C">
            <w:pPr>
              <w:autoSpaceDE w:val="0"/>
              <w:autoSpaceDN w:val="0"/>
              <w:adjustRightInd w:val="0"/>
              <w:spacing w:line="241" w:lineRule="atLeast"/>
              <w:rPr>
                <w:rFonts w:ascii="Arial" w:hAnsi="Arial" w:cs="Arial"/>
                <w:b/>
                <w:caps/>
                <w:color w:val="FF0000"/>
                <w:sz w:val="22"/>
                <w:szCs w:val="22"/>
                <w:lang w:val="en-US"/>
              </w:rPr>
            </w:pPr>
            <w:r w:rsidRPr="00CB199C">
              <w:rPr>
                <w:rFonts w:ascii="Arial" w:hAnsi="Arial" w:cs="Arial"/>
                <w:color w:val="000000"/>
                <w:sz w:val="22"/>
                <w:szCs w:val="22"/>
                <w:lang w:val="en-US"/>
              </w:rPr>
              <w:t xml:space="preserve"> </w:t>
            </w:r>
            <w:r w:rsidRPr="00CB199C">
              <w:rPr>
                <w:rFonts w:ascii="Arial" w:hAnsi="Arial" w:cs="Arial"/>
                <w:b/>
                <w:caps/>
                <w:color w:val="FF0000"/>
                <w:sz w:val="22"/>
                <w:szCs w:val="22"/>
                <w:lang w:val="en-US"/>
              </w:rPr>
              <w:t>KPT &amp; DAERA Target</w:t>
            </w:r>
          </w:p>
          <w:p w:rsidR="00A77712" w:rsidRPr="00CB199C" w:rsidRDefault="00A77712" w:rsidP="00CB199C">
            <w:pPr>
              <w:autoSpaceDE w:val="0"/>
              <w:autoSpaceDN w:val="0"/>
              <w:adjustRightInd w:val="0"/>
              <w:spacing w:line="241" w:lineRule="atLeast"/>
              <w:rPr>
                <w:rFonts w:ascii="Arial" w:hAnsi="Arial" w:cs="Arial"/>
                <w:b/>
                <w:caps/>
                <w:color w:val="FF0000"/>
                <w:sz w:val="22"/>
                <w:szCs w:val="22"/>
                <w:lang w:val="en-US"/>
              </w:rPr>
            </w:pP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2018</w:t>
            </w:r>
          </w:p>
        </w:tc>
      </w:tr>
      <w:tr w:rsidR="00A77712" w:rsidRPr="00011CB1" w:rsidTr="008E7E7A">
        <w:tc>
          <w:tcPr>
            <w:tcW w:w="578" w:type="dxa"/>
          </w:tcPr>
          <w:p w:rsidR="00A77712" w:rsidRPr="00011CB1" w:rsidRDefault="00A77712" w:rsidP="00011CB1">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7</w:t>
            </w:r>
          </w:p>
        </w:tc>
        <w:tc>
          <w:tcPr>
            <w:tcW w:w="5342" w:type="dxa"/>
          </w:tcPr>
          <w:p w:rsidR="00A77712" w:rsidRDefault="00A77712" w:rsidP="00011CB1">
            <w:pPr>
              <w:autoSpaceDE w:val="0"/>
              <w:autoSpaceDN w:val="0"/>
              <w:adjustRightInd w:val="0"/>
              <w:spacing w:line="241" w:lineRule="atLeast"/>
              <w:rPr>
                <w:rFonts w:ascii="Arial" w:hAnsi="Arial" w:cs="Arial"/>
                <w:b/>
                <w:caps/>
                <w:color w:val="FF0000"/>
                <w:sz w:val="22"/>
                <w:szCs w:val="22"/>
                <w:lang w:val="en-US"/>
              </w:rPr>
            </w:pPr>
            <w:r w:rsidRPr="00CB199C">
              <w:rPr>
                <w:rFonts w:ascii="Arial" w:hAnsi="Arial" w:cs="Arial"/>
                <w:color w:val="000000"/>
                <w:sz w:val="22"/>
                <w:szCs w:val="22"/>
                <w:lang w:val="en-US"/>
              </w:rPr>
              <w:t>Agree a Remediation Strategy for the illegal waste deposits at Mobuoy Road.</w:t>
            </w:r>
            <w:r>
              <w:rPr>
                <w:rFonts w:ascii="Arial" w:hAnsi="Arial" w:cs="Arial"/>
                <w:color w:val="000000"/>
                <w:sz w:val="22"/>
                <w:szCs w:val="22"/>
                <w:lang w:val="en-US"/>
              </w:rPr>
              <w:t xml:space="preserve">  </w:t>
            </w:r>
            <w:r w:rsidRPr="00CB199C">
              <w:rPr>
                <w:rFonts w:ascii="Arial" w:hAnsi="Arial" w:cs="Arial"/>
                <w:b/>
                <w:caps/>
                <w:color w:val="FF0000"/>
                <w:sz w:val="22"/>
                <w:szCs w:val="22"/>
                <w:lang w:val="en-US"/>
              </w:rPr>
              <w:t xml:space="preserve"> </w:t>
            </w:r>
          </w:p>
          <w:p w:rsidR="00A77712" w:rsidRDefault="00A77712" w:rsidP="00011CB1">
            <w:pPr>
              <w:autoSpaceDE w:val="0"/>
              <w:autoSpaceDN w:val="0"/>
              <w:adjustRightInd w:val="0"/>
              <w:spacing w:line="241" w:lineRule="atLeast"/>
              <w:rPr>
                <w:rFonts w:ascii="Arial" w:hAnsi="Arial" w:cs="Arial"/>
                <w:b/>
                <w:caps/>
                <w:color w:val="FF0000"/>
                <w:sz w:val="22"/>
                <w:szCs w:val="22"/>
                <w:lang w:val="en-US"/>
              </w:rPr>
            </w:pPr>
            <w:r w:rsidRPr="00CB199C">
              <w:rPr>
                <w:rFonts w:ascii="Arial" w:hAnsi="Arial" w:cs="Arial"/>
                <w:b/>
                <w:caps/>
                <w:color w:val="FF0000"/>
                <w:sz w:val="22"/>
                <w:szCs w:val="22"/>
                <w:lang w:val="en-US"/>
              </w:rPr>
              <w:t>KPT &amp; DAERA Target</w:t>
            </w: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2018</w:t>
            </w:r>
          </w:p>
        </w:tc>
      </w:tr>
      <w:tr w:rsidR="00A77712" w:rsidRPr="00011CB1" w:rsidTr="008E7E7A">
        <w:tc>
          <w:tcPr>
            <w:tcW w:w="578" w:type="dxa"/>
          </w:tcPr>
          <w:p w:rsidR="00A77712" w:rsidRPr="00011CB1" w:rsidRDefault="00A77712" w:rsidP="00011CB1">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8</w:t>
            </w:r>
          </w:p>
        </w:tc>
        <w:tc>
          <w:tcPr>
            <w:tcW w:w="5342" w:type="dxa"/>
          </w:tcPr>
          <w:p w:rsidR="00A77712" w:rsidRDefault="00A77712" w:rsidP="00011CB1">
            <w:pPr>
              <w:autoSpaceDE w:val="0"/>
              <w:autoSpaceDN w:val="0"/>
              <w:adjustRightInd w:val="0"/>
              <w:spacing w:line="241" w:lineRule="atLeast"/>
              <w:rPr>
                <w:rFonts w:ascii="Arial" w:hAnsi="Arial" w:cs="Arial"/>
                <w:color w:val="000000"/>
                <w:sz w:val="22"/>
                <w:szCs w:val="22"/>
                <w:lang w:val="en-US"/>
              </w:rPr>
            </w:pPr>
            <w:r w:rsidRPr="00CB199C">
              <w:rPr>
                <w:rFonts w:ascii="Arial" w:hAnsi="Arial" w:cs="Arial"/>
                <w:color w:val="000000"/>
                <w:sz w:val="22"/>
                <w:szCs w:val="22"/>
                <w:lang w:val="en-US"/>
              </w:rPr>
              <w:t>Deliver the Prosperity Agreement Programme, signing a further 3 agreements and monitor and maintain the existing portfolio.</w:t>
            </w: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2018</w:t>
            </w:r>
          </w:p>
        </w:tc>
      </w:tr>
      <w:tr w:rsidR="00A77712" w:rsidRPr="00011CB1" w:rsidTr="008E7E7A">
        <w:tc>
          <w:tcPr>
            <w:tcW w:w="578" w:type="dxa"/>
          </w:tcPr>
          <w:p w:rsidR="00A77712" w:rsidRPr="00011CB1" w:rsidRDefault="00A77712" w:rsidP="00011CB1">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9</w:t>
            </w:r>
          </w:p>
        </w:tc>
        <w:tc>
          <w:tcPr>
            <w:tcW w:w="5342" w:type="dxa"/>
          </w:tcPr>
          <w:p w:rsidR="00A77712" w:rsidRPr="00CB199C" w:rsidRDefault="00A77712" w:rsidP="00CB199C">
            <w:pPr>
              <w:autoSpaceDE w:val="0"/>
              <w:autoSpaceDN w:val="0"/>
              <w:adjustRightInd w:val="0"/>
              <w:spacing w:line="241" w:lineRule="atLeast"/>
              <w:rPr>
                <w:rFonts w:ascii="Arial" w:hAnsi="Arial" w:cs="Arial"/>
                <w:color w:val="000000"/>
                <w:sz w:val="22"/>
                <w:szCs w:val="22"/>
                <w:lang w:val="en-US"/>
              </w:rPr>
            </w:pPr>
            <w:r w:rsidRPr="00CB199C">
              <w:rPr>
                <w:rFonts w:ascii="Arial" w:hAnsi="Arial" w:cs="Arial"/>
                <w:color w:val="000000"/>
                <w:sz w:val="22"/>
                <w:szCs w:val="22"/>
                <w:lang w:val="en-US"/>
              </w:rPr>
              <w:t>Increase the number of Water Bodies achieving "good" status by delivering 80% of the actions identified for each catchment project in the 2017/18 catchment work programme.</w:t>
            </w:r>
          </w:p>
          <w:p w:rsidR="00A77712" w:rsidRDefault="00A77712" w:rsidP="00CB199C">
            <w:pPr>
              <w:autoSpaceDE w:val="0"/>
              <w:autoSpaceDN w:val="0"/>
              <w:adjustRightInd w:val="0"/>
              <w:spacing w:line="241" w:lineRule="atLeast"/>
              <w:rPr>
                <w:rFonts w:ascii="Arial" w:hAnsi="Arial" w:cs="Arial"/>
                <w:b/>
                <w:caps/>
                <w:color w:val="FF0000"/>
                <w:sz w:val="22"/>
                <w:szCs w:val="22"/>
                <w:lang w:val="en-US"/>
              </w:rPr>
            </w:pPr>
            <w:r w:rsidRPr="00CB199C">
              <w:rPr>
                <w:rFonts w:ascii="Arial" w:hAnsi="Arial" w:cs="Arial"/>
                <w:b/>
                <w:caps/>
                <w:color w:val="FF0000"/>
                <w:sz w:val="22"/>
                <w:szCs w:val="22"/>
                <w:lang w:val="en-US"/>
              </w:rPr>
              <w:t>KPT &amp; DAERA Target</w:t>
            </w:r>
          </w:p>
          <w:p w:rsidR="00A77712" w:rsidRPr="00011CB1" w:rsidRDefault="00A77712" w:rsidP="00CB199C">
            <w:pPr>
              <w:autoSpaceDE w:val="0"/>
              <w:autoSpaceDN w:val="0"/>
              <w:adjustRightInd w:val="0"/>
              <w:spacing w:line="241" w:lineRule="atLeast"/>
              <w:rPr>
                <w:rFonts w:ascii="Arial" w:hAnsi="Arial" w:cs="Arial"/>
                <w:color w:val="000000"/>
                <w:sz w:val="22"/>
                <w:szCs w:val="22"/>
                <w:lang w:val="en-US"/>
              </w:rPr>
            </w:pP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2018</w:t>
            </w:r>
          </w:p>
        </w:tc>
      </w:tr>
      <w:tr w:rsidR="00A77712" w:rsidRPr="00011CB1" w:rsidTr="008E7E7A">
        <w:tc>
          <w:tcPr>
            <w:tcW w:w="578" w:type="dxa"/>
          </w:tcPr>
          <w:p w:rsidR="00A77712" w:rsidRPr="00011CB1" w:rsidRDefault="00A77712" w:rsidP="00A77712">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10</w:t>
            </w:r>
          </w:p>
        </w:tc>
        <w:tc>
          <w:tcPr>
            <w:tcW w:w="5342" w:type="dxa"/>
          </w:tcPr>
          <w:p w:rsidR="00A77712" w:rsidRDefault="00A77712" w:rsidP="00011CB1">
            <w:pPr>
              <w:autoSpaceDE w:val="0"/>
              <w:autoSpaceDN w:val="0"/>
              <w:adjustRightInd w:val="0"/>
              <w:spacing w:line="241" w:lineRule="atLeast"/>
              <w:rPr>
                <w:rFonts w:ascii="Arial" w:hAnsi="Arial" w:cs="Arial"/>
                <w:color w:val="000000"/>
                <w:sz w:val="22"/>
                <w:szCs w:val="22"/>
                <w:lang w:val="en-US"/>
              </w:rPr>
            </w:pPr>
            <w:r w:rsidRPr="00E65889">
              <w:rPr>
                <w:rFonts w:ascii="Arial" w:hAnsi="Arial" w:cs="Arial"/>
                <w:color w:val="000000"/>
                <w:sz w:val="22"/>
                <w:szCs w:val="22"/>
                <w:lang w:val="en-US"/>
              </w:rPr>
              <w:t>Complete Cross Compliance inspections on at least 1% of all farms and 5% under derogation by 31 December 2017.</w:t>
            </w: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December 2017</w:t>
            </w:r>
          </w:p>
        </w:tc>
      </w:tr>
      <w:tr w:rsidR="00A77712" w:rsidRPr="00011CB1" w:rsidTr="008E7E7A">
        <w:tc>
          <w:tcPr>
            <w:tcW w:w="578" w:type="dxa"/>
          </w:tcPr>
          <w:p w:rsidR="00A77712" w:rsidRPr="00011CB1" w:rsidRDefault="00A77712" w:rsidP="00A77712">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11</w:t>
            </w:r>
          </w:p>
        </w:tc>
        <w:tc>
          <w:tcPr>
            <w:tcW w:w="5342" w:type="dxa"/>
          </w:tcPr>
          <w:p w:rsidR="00A77712" w:rsidRDefault="00A77712" w:rsidP="00011CB1">
            <w:pPr>
              <w:autoSpaceDE w:val="0"/>
              <w:autoSpaceDN w:val="0"/>
              <w:adjustRightInd w:val="0"/>
              <w:spacing w:line="241" w:lineRule="atLeast"/>
              <w:rPr>
                <w:rFonts w:ascii="Arial" w:hAnsi="Arial" w:cs="Arial"/>
                <w:color w:val="000000"/>
                <w:sz w:val="22"/>
                <w:szCs w:val="22"/>
                <w:lang w:val="en-US"/>
              </w:rPr>
            </w:pPr>
            <w:r w:rsidRPr="00E65889">
              <w:rPr>
                <w:rFonts w:ascii="Arial" w:hAnsi="Arial" w:cs="Arial"/>
                <w:color w:val="000000"/>
                <w:sz w:val="22"/>
                <w:szCs w:val="22"/>
                <w:lang w:val="en-US"/>
              </w:rPr>
              <w:t>Engage with UFU to implement an MOU to deliver higher levels of environmental compliance and contribute towards achieving Water Framework Directive objectives.</w:t>
            </w: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p>
        </w:tc>
        <w:tc>
          <w:tcPr>
            <w:tcW w:w="1701" w:type="dxa"/>
          </w:tcPr>
          <w:p w:rsidR="00A77712"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lastRenderedPageBreak/>
              <w:t>March 2018</w:t>
            </w: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p>
        </w:tc>
      </w:tr>
      <w:tr w:rsidR="00A77712" w:rsidRPr="00011CB1" w:rsidTr="008E7E7A">
        <w:tc>
          <w:tcPr>
            <w:tcW w:w="578" w:type="dxa"/>
          </w:tcPr>
          <w:p w:rsidR="00A77712" w:rsidRPr="00011CB1" w:rsidRDefault="00A77712" w:rsidP="00A77712">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12</w:t>
            </w:r>
          </w:p>
        </w:tc>
        <w:tc>
          <w:tcPr>
            <w:tcW w:w="5342" w:type="dxa"/>
          </w:tcPr>
          <w:p w:rsidR="00A77712" w:rsidRDefault="00A77712" w:rsidP="00011CB1">
            <w:pPr>
              <w:autoSpaceDE w:val="0"/>
              <w:autoSpaceDN w:val="0"/>
              <w:adjustRightInd w:val="0"/>
              <w:spacing w:line="241" w:lineRule="atLeast"/>
              <w:rPr>
                <w:rFonts w:ascii="Arial" w:hAnsi="Arial" w:cs="Arial"/>
                <w:b/>
                <w:color w:val="FF0000"/>
                <w:sz w:val="22"/>
                <w:szCs w:val="22"/>
                <w:lang w:val="en-US"/>
              </w:rPr>
            </w:pPr>
            <w:r w:rsidRPr="00E65889">
              <w:rPr>
                <w:rFonts w:ascii="Arial" w:hAnsi="Arial" w:cs="Arial"/>
                <w:color w:val="000000"/>
                <w:sz w:val="22"/>
                <w:szCs w:val="22"/>
                <w:lang w:val="en-US"/>
              </w:rPr>
              <w:t xml:space="preserve">Increase the understanding of Waste Crime in Northern Ireland by completing biannual Strategic Assessments in May and November each year.                                                                                                </w:t>
            </w:r>
            <w:r w:rsidRPr="00E65889">
              <w:rPr>
                <w:rFonts w:ascii="Arial" w:hAnsi="Arial" w:cs="Arial"/>
                <w:b/>
                <w:color w:val="FF0000"/>
                <w:sz w:val="22"/>
                <w:szCs w:val="22"/>
                <w:lang w:val="en-US"/>
              </w:rPr>
              <w:t>KPT</w:t>
            </w: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November 2017</w:t>
            </w:r>
          </w:p>
        </w:tc>
      </w:tr>
      <w:tr w:rsidR="00A77712" w:rsidRPr="00011CB1" w:rsidTr="008E7E7A">
        <w:tc>
          <w:tcPr>
            <w:tcW w:w="578" w:type="dxa"/>
          </w:tcPr>
          <w:p w:rsidR="00A77712" w:rsidRPr="00011CB1" w:rsidRDefault="00A77712" w:rsidP="00A77712">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13</w:t>
            </w:r>
          </w:p>
        </w:tc>
        <w:tc>
          <w:tcPr>
            <w:tcW w:w="5342" w:type="dxa"/>
          </w:tcPr>
          <w:p w:rsidR="00A77712" w:rsidRDefault="00A77712" w:rsidP="00011CB1">
            <w:pPr>
              <w:autoSpaceDE w:val="0"/>
              <w:autoSpaceDN w:val="0"/>
              <w:adjustRightInd w:val="0"/>
              <w:spacing w:line="241" w:lineRule="atLeast"/>
              <w:rPr>
                <w:rFonts w:ascii="Arial" w:hAnsi="Arial" w:cs="Arial"/>
                <w:color w:val="000000"/>
                <w:sz w:val="22"/>
                <w:szCs w:val="22"/>
                <w:lang w:val="en-US"/>
              </w:rPr>
            </w:pPr>
            <w:r w:rsidRPr="00E65889">
              <w:rPr>
                <w:rFonts w:ascii="Arial" w:hAnsi="Arial" w:cs="Arial"/>
                <w:color w:val="000000"/>
                <w:sz w:val="22"/>
                <w:szCs w:val="22"/>
                <w:lang w:val="en-US"/>
              </w:rPr>
              <w:t>Progress at least 90% of all incident / intelligence reports within 28 days of receipt.</w:t>
            </w:r>
          </w:p>
          <w:p w:rsidR="00A77712" w:rsidRDefault="00A77712" w:rsidP="00011CB1">
            <w:pPr>
              <w:autoSpaceDE w:val="0"/>
              <w:autoSpaceDN w:val="0"/>
              <w:adjustRightInd w:val="0"/>
              <w:spacing w:line="241" w:lineRule="atLeast"/>
              <w:rPr>
                <w:rFonts w:ascii="Arial" w:hAnsi="Arial" w:cs="Arial"/>
                <w:color w:val="000000"/>
                <w:sz w:val="22"/>
                <w:szCs w:val="22"/>
                <w:lang w:val="en-US"/>
              </w:rPr>
            </w:pP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2018</w:t>
            </w:r>
          </w:p>
        </w:tc>
      </w:tr>
      <w:tr w:rsidR="00A77712" w:rsidRPr="00011CB1" w:rsidTr="008E7E7A">
        <w:tc>
          <w:tcPr>
            <w:tcW w:w="578" w:type="dxa"/>
          </w:tcPr>
          <w:p w:rsidR="00A77712" w:rsidRPr="00011CB1" w:rsidRDefault="00A77712" w:rsidP="00A77712">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14</w:t>
            </w:r>
          </w:p>
        </w:tc>
        <w:tc>
          <w:tcPr>
            <w:tcW w:w="5342"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sidRPr="00E65889">
              <w:rPr>
                <w:rFonts w:ascii="Arial" w:hAnsi="Arial" w:cs="Arial"/>
                <w:color w:val="000000"/>
                <w:sz w:val="22"/>
                <w:szCs w:val="22"/>
                <w:lang w:val="en-US"/>
              </w:rPr>
              <w:t>Implement the project plan for delivery of the Regulatory Transformation Programme.</w:t>
            </w: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2018</w:t>
            </w:r>
          </w:p>
        </w:tc>
      </w:tr>
      <w:tr w:rsidR="00A77712" w:rsidRPr="00011CB1" w:rsidTr="008E7E7A">
        <w:tc>
          <w:tcPr>
            <w:tcW w:w="578" w:type="dxa"/>
          </w:tcPr>
          <w:p w:rsidR="00A77712" w:rsidRPr="00011CB1" w:rsidRDefault="00A77712" w:rsidP="00A77712">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15</w:t>
            </w:r>
          </w:p>
        </w:tc>
        <w:tc>
          <w:tcPr>
            <w:tcW w:w="5342"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sidRPr="00E65889">
              <w:rPr>
                <w:rFonts w:ascii="Arial" w:hAnsi="Arial" w:cs="Arial"/>
                <w:color w:val="000000"/>
                <w:sz w:val="22"/>
                <w:szCs w:val="22"/>
                <w:lang w:val="en-US"/>
              </w:rPr>
              <w:t>Implement a new model for delivering Environmental Advice and Guidance to customers.</w:t>
            </w: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2018</w:t>
            </w:r>
          </w:p>
        </w:tc>
      </w:tr>
      <w:tr w:rsidR="00A77712" w:rsidRPr="00011CB1" w:rsidTr="008E7E7A">
        <w:tc>
          <w:tcPr>
            <w:tcW w:w="578" w:type="dxa"/>
          </w:tcPr>
          <w:p w:rsidR="00A77712" w:rsidRPr="00011CB1" w:rsidRDefault="00A77712" w:rsidP="00A77712">
            <w:pPr>
              <w:pStyle w:val="ListParagraph"/>
              <w:autoSpaceDE w:val="0"/>
              <w:autoSpaceDN w:val="0"/>
              <w:adjustRightInd w:val="0"/>
              <w:spacing w:line="241" w:lineRule="atLeast"/>
              <w:ind w:left="0"/>
              <w:rPr>
                <w:rFonts w:ascii="Arial" w:hAnsi="Arial" w:cs="Arial"/>
                <w:sz w:val="22"/>
                <w:szCs w:val="22"/>
                <w:lang w:val="en-US"/>
              </w:rPr>
            </w:pPr>
            <w:r>
              <w:rPr>
                <w:rFonts w:ascii="Arial" w:hAnsi="Arial" w:cs="Arial"/>
                <w:sz w:val="22"/>
                <w:szCs w:val="22"/>
                <w:lang w:val="en-US"/>
              </w:rPr>
              <w:t>16</w:t>
            </w:r>
          </w:p>
        </w:tc>
        <w:tc>
          <w:tcPr>
            <w:tcW w:w="5342" w:type="dxa"/>
          </w:tcPr>
          <w:p w:rsidR="00A77712"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Provisional resource and capital outturn to be at least 9</w:t>
            </w:r>
            <w:r w:rsidR="00BC53CF">
              <w:rPr>
                <w:rFonts w:ascii="Arial" w:hAnsi="Arial" w:cs="Arial"/>
                <w:color w:val="000000"/>
                <w:sz w:val="22"/>
                <w:szCs w:val="22"/>
                <w:lang w:val="en-US"/>
              </w:rPr>
              <w:t>9</w:t>
            </w:r>
            <w:r>
              <w:rPr>
                <w:rFonts w:ascii="Arial" w:hAnsi="Arial" w:cs="Arial"/>
                <w:color w:val="000000"/>
                <w:sz w:val="22"/>
                <w:szCs w:val="22"/>
                <w:lang w:val="en-US"/>
              </w:rPr>
              <w:t>% of the final budgets.</w:t>
            </w:r>
          </w:p>
          <w:p w:rsidR="00A77712" w:rsidRDefault="00A77712" w:rsidP="00011CB1">
            <w:pPr>
              <w:autoSpaceDE w:val="0"/>
              <w:autoSpaceDN w:val="0"/>
              <w:adjustRightInd w:val="0"/>
              <w:spacing w:line="241" w:lineRule="atLeast"/>
              <w:rPr>
                <w:rFonts w:ascii="Arial" w:hAnsi="Arial" w:cs="Arial"/>
                <w:color w:val="000000"/>
                <w:sz w:val="22"/>
                <w:szCs w:val="22"/>
                <w:lang w:val="en-US"/>
              </w:rPr>
            </w:pPr>
          </w:p>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p>
        </w:tc>
        <w:tc>
          <w:tcPr>
            <w:tcW w:w="1701" w:type="dxa"/>
          </w:tcPr>
          <w:p w:rsidR="00A77712" w:rsidRPr="00011CB1" w:rsidRDefault="00A77712" w:rsidP="00011CB1">
            <w:pPr>
              <w:autoSpaceDE w:val="0"/>
              <w:autoSpaceDN w:val="0"/>
              <w:adjustRightInd w:val="0"/>
              <w:spacing w:line="241" w:lineRule="atLeast"/>
              <w:rPr>
                <w:rFonts w:ascii="Arial" w:hAnsi="Arial" w:cs="Arial"/>
                <w:color w:val="000000"/>
                <w:sz w:val="22"/>
                <w:szCs w:val="22"/>
                <w:lang w:val="en-US"/>
              </w:rPr>
            </w:pPr>
            <w:r>
              <w:rPr>
                <w:rFonts w:ascii="Arial" w:hAnsi="Arial" w:cs="Arial"/>
                <w:color w:val="000000"/>
                <w:sz w:val="22"/>
                <w:szCs w:val="22"/>
                <w:lang w:val="en-US"/>
              </w:rPr>
              <w:t>March 2018</w:t>
            </w:r>
          </w:p>
        </w:tc>
      </w:tr>
    </w:tbl>
    <w:p w:rsidR="00011CB1" w:rsidRPr="005A7222" w:rsidRDefault="00011CB1" w:rsidP="00896026">
      <w:pPr>
        <w:spacing w:line="360" w:lineRule="auto"/>
        <w:jc w:val="both"/>
        <w:rPr>
          <w:rFonts w:ascii="Arial" w:hAnsi="Arial" w:cs="Arial"/>
          <w:b/>
          <w:color w:val="000000"/>
          <w:sz w:val="24"/>
          <w:szCs w:val="24"/>
        </w:rPr>
      </w:pPr>
    </w:p>
    <w:p w:rsidR="00011CB1" w:rsidRPr="005A7222" w:rsidRDefault="00011CB1" w:rsidP="00896026">
      <w:pPr>
        <w:spacing w:line="360" w:lineRule="auto"/>
        <w:jc w:val="both"/>
        <w:rPr>
          <w:rFonts w:ascii="Arial" w:hAnsi="Arial" w:cs="Arial"/>
          <w:b/>
          <w:color w:val="000000"/>
          <w:sz w:val="24"/>
          <w:szCs w:val="24"/>
        </w:rPr>
      </w:pPr>
    </w:p>
    <w:p w:rsidR="00A77712" w:rsidRPr="005A7222" w:rsidRDefault="00A77712" w:rsidP="00896026">
      <w:pPr>
        <w:spacing w:line="360" w:lineRule="auto"/>
        <w:jc w:val="both"/>
        <w:rPr>
          <w:rFonts w:ascii="Arial" w:hAnsi="Arial" w:cs="Arial"/>
          <w:b/>
          <w:color w:val="000000"/>
          <w:sz w:val="24"/>
          <w:szCs w:val="24"/>
          <w:u w:val="single"/>
        </w:rPr>
      </w:pPr>
    </w:p>
    <w:p w:rsidR="00A77712" w:rsidRPr="005A7222" w:rsidRDefault="00A77712" w:rsidP="00896026">
      <w:pPr>
        <w:spacing w:line="360" w:lineRule="auto"/>
        <w:jc w:val="both"/>
        <w:rPr>
          <w:rFonts w:ascii="Arial" w:hAnsi="Arial" w:cs="Arial"/>
          <w:b/>
          <w:color w:val="000000"/>
          <w:sz w:val="24"/>
          <w:szCs w:val="24"/>
          <w:u w:val="single"/>
        </w:rPr>
      </w:pPr>
    </w:p>
    <w:p w:rsidR="00A77712" w:rsidRPr="005A7222" w:rsidRDefault="00A77712" w:rsidP="00896026">
      <w:pPr>
        <w:spacing w:line="360" w:lineRule="auto"/>
        <w:jc w:val="both"/>
        <w:rPr>
          <w:rFonts w:ascii="Arial" w:hAnsi="Arial" w:cs="Arial"/>
          <w:b/>
          <w:color w:val="000000"/>
          <w:sz w:val="24"/>
          <w:szCs w:val="24"/>
          <w:u w:val="single"/>
        </w:rPr>
      </w:pPr>
    </w:p>
    <w:p w:rsidR="00A77712" w:rsidRPr="005A7222" w:rsidRDefault="00A77712" w:rsidP="00896026">
      <w:pPr>
        <w:spacing w:line="360" w:lineRule="auto"/>
        <w:jc w:val="both"/>
        <w:rPr>
          <w:rFonts w:ascii="Arial" w:hAnsi="Arial" w:cs="Arial"/>
          <w:b/>
          <w:color w:val="000000"/>
          <w:sz w:val="24"/>
          <w:szCs w:val="24"/>
          <w:u w:val="single"/>
        </w:rPr>
      </w:pPr>
    </w:p>
    <w:p w:rsidR="00A77712" w:rsidRPr="005A7222" w:rsidRDefault="00A77712" w:rsidP="00896026">
      <w:pPr>
        <w:spacing w:line="360" w:lineRule="auto"/>
        <w:jc w:val="both"/>
        <w:rPr>
          <w:rFonts w:ascii="Arial" w:hAnsi="Arial" w:cs="Arial"/>
          <w:b/>
          <w:color w:val="000000"/>
          <w:sz w:val="24"/>
          <w:szCs w:val="24"/>
          <w:u w:val="single"/>
        </w:rPr>
      </w:pPr>
    </w:p>
    <w:p w:rsidR="00A77712" w:rsidRPr="005A7222" w:rsidRDefault="00A77712" w:rsidP="00896026">
      <w:pPr>
        <w:spacing w:line="360" w:lineRule="auto"/>
        <w:jc w:val="both"/>
        <w:rPr>
          <w:rFonts w:ascii="Arial" w:hAnsi="Arial" w:cs="Arial"/>
          <w:b/>
          <w:color w:val="000000"/>
          <w:sz w:val="24"/>
          <w:szCs w:val="24"/>
          <w:u w:val="single"/>
        </w:rPr>
      </w:pPr>
    </w:p>
    <w:p w:rsidR="00A77712" w:rsidRPr="005A7222" w:rsidRDefault="00A77712" w:rsidP="00896026">
      <w:pPr>
        <w:spacing w:line="360" w:lineRule="auto"/>
        <w:jc w:val="both"/>
        <w:rPr>
          <w:rFonts w:ascii="Arial" w:hAnsi="Arial" w:cs="Arial"/>
          <w:b/>
          <w:color w:val="000000"/>
          <w:sz w:val="24"/>
          <w:szCs w:val="24"/>
          <w:u w:val="single"/>
        </w:rPr>
      </w:pPr>
    </w:p>
    <w:p w:rsidR="00A77712" w:rsidRPr="005A7222" w:rsidRDefault="00A77712" w:rsidP="00896026">
      <w:pPr>
        <w:spacing w:line="360" w:lineRule="auto"/>
        <w:jc w:val="both"/>
        <w:rPr>
          <w:rFonts w:ascii="Arial" w:hAnsi="Arial" w:cs="Arial"/>
          <w:b/>
          <w:color w:val="000000"/>
          <w:sz w:val="24"/>
          <w:szCs w:val="24"/>
          <w:u w:val="single"/>
        </w:rPr>
      </w:pPr>
    </w:p>
    <w:p w:rsidR="00A77712" w:rsidRPr="005A7222" w:rsidRDefault="00A77712" w:rsidP="00896026">
      <w:pPr>
        <w:spacing w:line="360" w:lineRule="auto"/>
        <w:jc w:val="both"/>
        <w:rPr>
          <w:rFonts w:ascii="Arial" w:hAnsi="Arial" w:cs="Arial"/>
          <w:b/>
          <w:color w:val="000000"/>
          <w:sz w:val="24"/>
          <w:szCs w:val="24"/>
          <w:u w:val="single"/>
        </w:rPr>
      </w:pPr>
    </w:p>
    <w:p w:rsidR="00A77712" w:rsidRPr="005A7222" w:rsidRDefault="00A77712" w:rsidP="00896026">
      <w:pPr>
        <w:spacing w:line="360" w:lineRule="auto"/>
        <w:jc w:val="both"/>
        <w:rPr>
          <w:rFonts w:ascii="Arial" w:hAnsi="Arial" w:cs="Arial"/>
          <w:b/>
          <w:color w:val="000000"/>
          <w:sz w:val="24"/>
          <w:szCs w:val="24"/>
          <w:u w:val="single"/>
        </w:rPr>
      </w:pPr>
    </w:p>
    <w:p w:rsidR="00CB199C" w:rsidRPr="005A7222" w:rsidRDefault="00CB199C" w:rsidP="00896026">
      <w:pPr>
        <w:spacing w:line="360" w:lineRule="auto"/>
        <w:jc w:val="both"/>
        <w:rPr>
          <w:rFonts w:ascii="Arial" w:hAnsi="Arial" w:cs="Arial"/>
          <w:b/>
          <w:color w:val="000000"/>
          <w:sz w:val="24"/>
          <w:szCs w:val="24"/>
        </w:rPr>
      </w:pPr>
    </w:p>
    <w:p w:rsidR="00CB199C" w:rsidRPr="005A7222" w:rsidRDefault="00CB199C" w:rsidP="00896026">
      <w:pPr>
        <w:spacing w:line="360" w:lineRule="auto"/>
        <w:jc w:val="both"/>
        <w:rPr>
          <w:rFonts w:ascii="Arial" w:hAnsi="Arial" w:cs="Arial"/>
          <w:b/>
          <w:color w:val="000000"/>
          <w:sz w:val="24"/>
          <w:szCs w:val="24"/>
        </w:rPr>
      </w:pPr>
    </w:p>
    <w:p w:rsidR="00CB199C" w:rsidRPr="005A7222" w:rsidRDefault="00CB199C" w:rsidP="00896026">
      <w:pPr>
        <w:spacing w:line="360" w:lineRule="auto"/>
        <w:jc w:val="both"/>
        <w:rPr>
          <w:rFonts w:ascii="Arial" w:hAnsi="Arial" w:cs="Arial"/>
          <w:b/>
          <w:color w:val="000000"/>
          <w:sz w:val="24"/>
          <w:szCs w:val="24"/>
        </w:rPr>
      </w:pPr>
    </w:p>
    <w:p w:rsidR="00CB199C" w:rsidRPr="005A7222" w:rsidRDefault="00CB199C" w:rsidP="00896026">
      <w:pPr>
        <w:spacing w:line="360" w:lineRule="auto"/>
        <w:jc w:val="both"/>
        <w:rPr>
          <w:rFonts w:ascii="Arial" w:hAnsi="Arial" w:cs="Arial"/>
          <w:b/>
          <w:color w:val="000000"/>
          <w:sz w:val="24"/>
          <w:szCs w:val="24"/>
        </w:rPr>
      </w:pPr>
    </w:p>
    <w:p w:rsidR="00CB199C" w:rsidRPr="005A7222" w:rsidRDefault="00CB199C" w:rsidP="00896026">
      <w:pPr>
        <w:spacing w:line="360" w:lineRule="auto"/>
        <w:jc w:val="both"/>
        <w:rPr>
          <w:rFonts w:ascii="Arial" w:hAnsi="Arial" w:cs="Arial"/>
          <w:b/>
          <w:color w:val="000000"/>
          <w:sz w:val="24"/>
          <w:szCs w:val="24"/>
        </w:rPr>
      </w:pPr>
    </w:p>
    <w:p w:rsidR="00CB199C" w:rsidRPr="005A7222" w:rsidRDefault="00CB199C" w:rsidP="00896026">
      <w:pPr>
        <w:spacing w:line="360" w:lineRule="auto"/>
        <w:jc w:val="both"/>
        <w:rPr>
          <w:rFonts w:ascii="Arial" w:hAnsi="Arial" w:cs="Arial"/>
          <w:b/>
          <w:color w:val="000000"/>
          <w:sz w:val="24"/>
          <w:szCs w:val="24"/>
        </w:rPr>
      </w:pPr>
    </w:p>
    <w:p w:rsidR="00CB199C" w:rsidRPr="005A7222" w:rsidRDefault="00CB199C" w:rsidP="00896026">
      <w:pPr>
        <w:spacing w:line="360" w:lineRule="auto"/>
        <w:jc w:val="both"/>
        <w:rPr>
          <w:rFonts w:ascii="Arial" w:hAnsi="Arial" w:cs="Arial"/>
          <w:b/>
          <w:color w:val="000000"/>
          <w:sz w:val="24"/>
          <w:szCs w:val="24"/>
        </w:rPr>
      </w:pPr>
    </w:p>
    <w:p w:rsidR="00CB199C" w:rsidRPr="005A7222" w:rsidRDefault="00CB199C" w:rsidP="00896026">
      <w:pPr>
        <w:spacing w:line="360" w:lineRule="auto"/>
        <w:jc w:val="both"/>
        <w:rPr>
          <w:rFonts w:ascii="Arial" w:hAnsi="Arial" w:cs="Arial"/>
          <w:b/>
          <w:color w:val="000000"/>
          <w:sz w:val="24"/>
          <w:szCs w:val="24"/>
        </w:rPr>
      </w:pPr>
    </w:p>
    <w:p w:rsidR="00CB199C" w:rsidRPr="005A7222" w:rsidRDefault="00CB199C" w:rsidP="00896026">
      <w:pPr>
        <w:spacing w:line="360" w:lineRule="auto"/>
        <w:jc w:val="both"/>
        <w:rPr>
          <w:rFonts w:ascii="Arial" w:hAnsi="Arial" w:cs="Arial"/>
          <w:b/>
          <w:color w:val="000000"/>
          <w:sz w:val="24"/>
          <w:szCs w:val="24"/>
        </w:rPr>
      </w:pPr>
    </w:p>
    <w:p w:rsidR="00CB199C" w:rsidRPr="005A7222" w:rsidRDefault="00CB199C" w:rsidP="00896026">
      <w:pPr>
        <w:spacing w:line="360" w:lineRule="auto"/>
        <w:jc w:val="both"/>
        <w:rPr>
          <w:rFonts w:ascii="Arial" w:hAnsi="Arial" w:cs="Arial"/>
          <w:b/>
          <w:color w:val="000000"/>
          <w:sz w:val="24"/>
          <w:szCs w:val="24"/>
        </w:rPr>
      </w:pPr>
    </w:p>
    <w:p w:rsidR="00DC24A2" w:rsidRDefault="00DC24A2" w:rsidP="00DC24A2"/>
    <w:p w:rsidR="008D4E69" w:rsidRDefault="008D4E69" w:rsidP="00DC24A2"/>
    <w:p w:rsidR="008D4E69" w:rsidRDefault="008D4E69" w:rsidP="00DC24A2"/>
    <w:p w:rsidR="008D4E69" w:rsidRDefault="008D4E69" w:rsidP="00DC24A2"/>
    <w:p w:rsidR="008D4E69" w:rsidRDefault="008D4E69" w:rsidP="00DC24A2"/>
    <w:p w:rsidR="00A77712" w:rsidRDefault="00A77712" w:rsidP="00DC24A2"/>
    <w:p w:rsidR="00A77712" w:rsidRDefault="00A77712" w:rsidP="00DC24A2"/>
    <w:p w:rsidR="00A77712" w:rsidRDefault="00A77712" w:rsidP="00DC24A2"/>
    <w:p w:rsidR="00A77712" w:rsidRDefault="00A77712" w:rsidP="00DC24A2"/>
    <w:p w:rsidR="00A77712" w:rsidRDefault="00A77712" w:rsidP="00DC24A2"/>
    <w:p w:rsidR="00A77712" w:rsidRDefault="00A77712" w:rsidP="00DC24A2"/>
    <w:p w:rsidR="00A77712" w:rsidRDefault="00A77712" w:rsidP="00DC24A2"/>
    <w:p w:rsidR="00A77712" w:rsidRDefault="00A77712" w:rsidP="00DC24A2"/>
    <w:p w:rsidR="00A77712" w:rsidRDefault="00A77712" w:rsidP="00DC24A2"/>
    <w:p w:rsidR="00A77712" w:rsidRDefault="00A77712" w:rsidP="00DC24A2"/>
    <w:p w:rsidR="00A77712" w:rsidRDefault="00A77712" w:rsidP="00DC24A2"/>
    <w:p w:rsidR="00A77712" w:rsidRDefault="00A77712" w:rsidP="00DC24A2"/>
    <w:p w:rsidR="008D4E69" w:rsidRDefault="008D4E69" w:rsidP="00DC24A2"/>
    <w:p w:rsidR="004E6B85" w:rsidRDefault="004E6B85" w:rsidP="00DC24A2"/>
    <w:p w:rsidR="00DD6F5A" w:rsidRDefault="00DD6F5A">
      <w:pPr>
        <w:spacing w:line="360" w:lineRule="auto"/>
        <w:jc w:val="right"/>
        <w:rPr>
          <w:rFonts w:ascii="Arial" w:hAnsi="Arial" w:cs="Arial"/>
          <w:b/>
          <w:bCs/>
          <w:color w:val="365F91"/>
          <w:sz w:val="24"/>
          <w:szCs w:val="24"/>
        </w:rPr>
      </w:pPr>
      <w:bookmarkStart w:id="1" w:name="RANGE!A1:L29"/>
      <w:bookmarkEnd w:id="1"/>
    </w:p>
    <w:p w:rsidR="006C4F09" w:rsidRDefault="005766CD">
      <w:pPr>
        <w:spacing w:line="360" w:lineRule="auto"/>
        <w:jc w:val="right"/>
        <w:rPr>
          <w:b/>
        </w:rPr>
      </w:pPr>
      <w:r>
        <w:rPr>
          <w:rFonts w:ascii="Arial" w:hAnsi="Arial" w:cs="Arial"/>
          <w:b/>
          <w:bCs/>
          <w:color w:val="365F91"/>
          <w:sz w:val="24"/>
          <w:szCs w:val="24"/>
        </w:rPr>
        <w:lastRenderedPageBreak/>
        <w:t>A</w:t>
      </w:r>
      <w:r w:rsidR="0077052E">
        <w:rPr>
          <w:rFonts w:ascii="Arial" w:hAnsi="Arial" w:cs="Arial"/>
          <w:b/>
          <w:bCs/>
          <w:color w:val="365F91"/>
          <w:sz w:val="24"/>
          <w:szCs w:val="24"/>
        </w:rPr>
        <w:t>nnex A</w:t>
      </w:r>
    </w:p>
    <w:p w:rsidR="00661FEB" w:rsidRDefault="00661FEB">
      <w:pPr>
        <w:rPr>
          <w:b/>
        </w:rPr>
      </w:pPr>
    </w:p>
    <w:p w:rsidR="00E16747" w:rsidRPr="00A51B01" w:rsidRDefault="005946F5">
      <w:pPr>
        <w:rPr>
          <w:rFonts w:ascii="Arial" w:hAnsi="Arial" w:cs="Arial"/>
          <w:b/>
          <w:sz w:val="24"/>
          <w:szCs w:val="24"/>
          <w:u w:val="single"/>
        </w:rPr>
      </w:pPr>
      <w:r w:rsidRPr="00A51B01">
        <w:rPr>
          <w:rFonts w:ascii="Arial" w:hAnsi="Arial" w:cs="Arial"/>
          <w:b/>
          <w:color w:val="365F91"/>
          <w:sz w:val="24"/>
          <w:szCs w:val="24"/>
          <w:u w:val="single"/>
        </w:rPr>
        <w:t>NIEA O</w:t>
      </w:r>
      <w:r w:rsidR="00FD7300" w:rsidRPr="00A51B01">
        <w:rPr>
          <w:rFonts w:ascii="Arial" w:hAnsi="Arial" w:cs="Arial"/>
          <w:b/>
          <w:color w:val="365F91"/>
          <w:sz w:val="24"/>
          <w:szCs w:val="24"/>
          <w:u w:val="single"/>
        </w:rPr>
        <w:t>RGANISATION CHART</w:t>
      </w:r>
    </w:p>
    <w:p w:rsidR="00661FEB" w:rsidRDefault="00661FEB"/>
    <w:p w:rsidR="00661FEB" w:rsidRDefault="00661FEB"/>
    <w:p w:rsidR="00661FEB" w:rsidRDefault="00661FEB"/>
    <w:p w:rsidR="00661FEB" w:rsidRDefault="00661FEB"/>
    <w:p w:rsidR="00661FEB" w:rsidRDefault="005A7222" w:rsidP="00E64A09">
      <w:pPr>
        <w:sectPr w:rsidR="00661FEB" w:rsidSect="000C7F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428.25pt">
            <v:imagedata r:id="rId14" o:title="NIEA Org 2015-16"/>
          </v:shape>
        </w:pict>
      </w:r>
    </w:p>
    <w:p w:rsidR="006C4F09" w:rsidRDefault="00DC24A2">
      <w:pPr>
        <w:spacing w:line="360" w:lineRule="auto"/>
        <w:contextualSpacing/>
        <w:jc w:val="right"/>
        <w:rPr>
          <w:b/>
        </w:rPr>
      </w:pPr>
      <w:r>
        <w:rPr>
          <w:rFonts w:ascii="Arial" w:hAnsi="Arial" w:cs="Arial"/>
          <w:b/>
          <w:bCs/>
          <w:color w:val="365F91"/>
          <w:sz w:val="24"/>
          <w:szCs w:val="24"/>
        </w:rPr>
        <w:lastRenderedPageBreak/>
        <w:t>Annex B</w:t>
      </w:r>
    </w:p>
    <w:p w:rsidR="006C4F09" w:rsidRDefault="00DC24A2">
      <w:pPr>
        <w:pStyle w:val="Heading1"/>
        <w:spacing w:before="0"/>
        <w:rPr>
          <w:rFonts w:ascii="Arial" w:hAnsi="Arial" w:cs="Arial"/>
          <w:sz w:val="24"/>
          <w:szCs w:val="24"/>
        </w:rPr>
      </w:pPr>
      <w:r>
        <w:rPr>
          <w:rFonts w:ascii="Arial" w:hAnsi="Arial" w:cs="Arial"/>
          <w:sz w:val="24"/>
          <w:szCs w:val="24"/>
        </w:rPr>
        <w:t>KE</w:t>
      </w:r>
      <w:r w:rsidR="00471504" w:rsidRPr="00ED6903">
        <w:rPr>
          <w:rFonts w:ascii="Arial" w:hAnsi="Arial" w:cs="Arial"/>
          <w:sz w:val="24"/>
          <w:szCs w:val="24"/>
        </w:rPr>
        <w:t xml:space="preserve">Y </w:t>
      </w:r>
      <w:r w:rsidR="00471504" w:rsidRPr="00012F99">
        <w:rPr>
          <w:rFonts w:ascii="Arial" w:hAnsi="Arial" w:cs="Arial"/>
          <w:color w:val="365B92"/>
          <w:sz w:val="24"/>
          <w:szCs w:val="24"/>
        </w:rPr>
        <w:t>PERFORMANCE</w:t>
      </w:r>
      <w:r w:rsidR="00471504">
        <w:rPr>
          <w:rFonts w:ascii="Arial" w:hAnsi="Arial" w:cs="Arial"/>
          <w:sz w:val="24"/>
          <w:szCs w:val="24"/>
        </w:rPr>
        <w:t xml:space="preserve"> </w:t>
      </w:r>
      <w:r w:rsidR="00471504" w:rsidRPr="00ED6903">
        <w:rPr>
          <w:rFonts w:ascii="Arial" w:hAnsi="Arial" w:cs="Arial"/>
          <w:sz w:val="24"/>
          <w:szCs w:val="24"/>
        </w:rPr>
        <w:t>TARGETS</w:t>
      </w:r>
      <w:r w:rsidR="00471504">
        <w:rPr>
          <w:rFonts w:ascii="Arial" w:hAnsi="Arial" w:cs="Arial"/>
          <w:sz w:val="24"/>
          <w:szCs w:val="24"/>
        </w:rPr>
        <w:t xml:space="preserve"> </w:t>
      </w:r>
      <w:r w:rsidR="000100C7">
        <w:rPr>
          <w:rFonts w:ascii="Arial" w:hAnsi="Arial" w:cs="Arial"/>
          <w:sz w:val="24"/>
          <w:szCs w:val="24"/>
        </w:rPr>
        <w:t>2017-18</w:t>
      </w:r>
      <w:r w:rsidR="00D06623">
        <w:rPr>
          <w:rFonts w:ascii="Arial" w:hAnsi="Arial" w:cs="Arial"/>
          <w:sz w:val="24"/>
          <w:szCs w:val="24"/>
        </w:rPr>
        <w:tab/>
      </w:r>
    </w:p>
    <w:p w:rsidR="000100C7" w:rsidRPr="000100C7" w:rsidRDefault="000100C7" w:rsidP="000100C7"/>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7348"/>
      </w:tblGrid>
      <w:tr w:rsidR="00375CE1" w:rsidRPr="00ED6903" w:rsidTr="00375CE1">
        <w:trPr>
          <w:trHeight w:val="851"/>
          <w:tblHeader/>
        </w:trPr>
        <w:tc>
          <w:tcPr>
            <w:tcW w:w="663" w:type="pct"/>
            <w:tcBorders>
              <w:bottom w:val="single" w:sz="4" w:space="0" w:color="auto"/>
            </w:tcBorders>
            <w:shd w:val="clear" w:color="auto" w:fill="BFBFBF"/>
            <w:vAlign w:val="center"/>
          </w:tcPr>
          <w:p w:rsidR="00375CE1" w:rsidRPr="00363038" w:rsidRDefault="00375CE1" w:rsidP="00E253E4">
            <w:pPr>
              <w:jc w:val="center"/>
              <w:rPr>
                <w:rFonts w:ascii="Arial" w:hAnsi="Arial" w:cs="Arial"/>
                <w:b/>
                <w:bCs/>
                <w:lang w:val="en-US"/>
              </w:rPr>
            </w:pPr>
            <w:r w:rsidRPr="00363038">
              <w:rPr>
                <w:rFonts w:ascii="Arial" w:hAnsi="Arial" w:cs="Arial"/>
                <w:b/>
                <w:bCs/>
                <w:lang w:val="en-US"/>
              </w:rPr>
              <w:t>Target Number</w:t>
            </w:r>
          </w:p>
        </w:tc>
        <w:tc>
          <w:tcPr>
            <w:tcW w:w="4337" w:type="pct"/>
            <w:tcBorders>
              <w:bottom w:val="single" w:sz="4" w:space="0" w:color="auto"/>
            </w:tcBorders>
            <w:shd w:val="clear" w:color="auto" w:fill="BFBFBF"/>
            <w:vAlign w:val="center"/>
          </w:tcPr>
          <w:p w:rsidR="00375CE1" w:rsidRPr="00363038" w:rsidRDefault="00375CE1" w:rsidP="00471504">
            <w:pPr>
              <w:jc w:val="center"/>
              <w:rPr>
                <w:rFonts w:ascii="Arial" w:hAnsi="Arial" w:cs="Arial"/>
                <w:b/>
                <w:bCs/>
                <w:lang w:val="en-US"/>
              </w:rPr>
            </w:pPr>
            <w:r w:rsidRPr="00363038">
              <w:rPr>
                <w:rFonts w:ascii="Arial" w:hAnsi="Arial" w:cs="Arial"/>
                <w:b/>
                <w:bCs/>
                <w:lang w:val="en-US"/>
              </w:rPr>
              <w:t>Target</w:t>
            </w:r>
          </w:p>
        </w:tc>
      </w:tr>
      <w:tr w:rsidR="00375CE1" w:rsidRPr="00ED6903" w:rsidTr="00375CE1">
        <w:trPr>
          <w:trHeight w:val="1273"/>
          <w:tblHead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363038" w:rsidRDefault="00375CE1" w:rsidP="00471504">
            <w:pPr>
              <w:jc w:val="center"/>
              <w:rPr>
                <w:rFonts w:ascii="Arial" w:hAnsi="Arial" w:cs="Arial"/>
                <w:lang w:val="en-US"/>
              </w:rPr>
            </w:pPr>
            <w:r w:rsidRPr="00363038">
              <w:rPr>
                <w:rFonts w:ascii="Arial" w:hAnsi="Arial" w:cs="Arial"/>
                <w:lang w:val="en-US"/>
              </w:rPr>
              <w:t>1</w:t>
            </w:r>
          </w:p>
        </w:tc>
        <w:tc>
          <w:tcPr>
            <w:tcW w:w="4337"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363038" w:rsidRDefault="00375CE1">
            <w:pPr>
              <w:rPr>
                <w:rFonts w:ascii="Arial" w:hAnsi="Arial" w:cs="Arial"/>
              </w:rPr>
            </w:pPr>
            <w:r w:rsidRPr="00011CB1">
              <w:rPr>
                <w:rFonts w:ascii="Arial" w:hAnsi="Arial" w:cs="Arial"/>
                <w:color w:val="000000"/>
                <w:sz w:val="22"/>
                <w:szCs w:val="22"/>
                <w:lang w:val="en-US"/>
              </w:rPr>
              <w:t>I</w:t>
            </w:r>
            <w:r>
              <w:rPr>
                <w:rFonts w:ascii="Arial" w:hAnsi="Arial" w:cs="Arial"/>
                <w:color w:val="000000"/>
                <w:sz w:val="22"/>
                <w:szCs w:val="22"/>
                <w:lang w:val="en-US"/>
              </w:rPr>
              <w:t>nitiate Conservation Management</w:t>
            </w:r>
            <w:r w:rsidRPr="00011CB1">
              <w:rPr>
                <w:rFonts w:ascii="Arial" w:hAnsi="Arial" w:cs="Arial"/>
                <w:color w:val="000000"/>
                <w:sz w:val="22"/>
                <w:szCs w:val="22"/>
                <w:lang w:val="en-US"/>
              </w:rPr>
              <w:t xml:space="preserve"> pla</w:t>
            </w:r>
            <w:r w:rsidRPr="00011CB1">
              <w:rPr>
                <w:rFonts w:ascii="Arial" w:hAnsi="Arial" w:cs="Arial"/>
                <w:sz w:val="22"/>
                <w:szCs w:val="22"/>
                <w:lang w:val="en-US"/>
              </w:rPr>
              <w:t xml:space="preserve">ns for 40 terrestrial designated sites.  </w:t>
            </w:r>
            <w:r w:rsidRPr="00011CB1">
              <w:rPr>
                <w:rFonts w:ascii="Arial" w:hAnsi="Arial" w:cs="Arial"/>
                <w:color w:val="000000"/>
                <w:sz w:val="22"/>
                <w:szCs w:val="22"/>
                <w:lang w:val="en-US"/>
              </w:rPr>
              <w:t xml:space="preserve">                                                                         </w:t>
            </w:r>
          </w:p>
        </w:tc>
      </w:tr>
      <w:tr w:rsidR="00375CE1" w:rsidRPr="00ED6903" w:rsidTr="00375CE1">
        <w:trPr>
          <w:trHeight w:val="1039"/>
          <w:tblHead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363038" w:rsidRDefault="00375CE1" w:rsidP="00471504">
            <w:pPr>
              <w:jc w:val="center"/>
              <w:rPr>
                <w:rFonts w:ascii="Arial" w:hAnsi="Arial" w:cs="Arial"/>
                <w:lang w:val="en-US"/>
              </w:rPr>
            </w:pPr>
            <w:r w:rsidRPr="00363038">
              <w:rPr>
                <w:rFonts w:ascii="Arial" w:hAnsi="Arial" w:cs="Arial"/>
                <w:lang w:val="en-US"/>
              </w:rPr>
              <w:t>2</w:t>
            </w:r>
          </w:p>
        </w:tc>
        <w:tc>
          <w:tcPr>
            <w:tcW w:w="4337"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011CB1" w:rsidRDefault="00375CE1" w:rsidP="0064302A">
            <w:pPr>
              <w:autoSpaceDE w:val="0"/>
              <w:autoSpaceDN w:val="0"/>
              <w:adjustRightInd w:val="0"/>
              <w:spacing w:line="241" w:lineRule="atLeast"/>
              <w:rPr>
                <w:rFonts w:ascii="Arial" w:hAnsi="Arial" w:cs="Arial"/>
                <w:color w:val="000000"/>
                <w:sz w:val="22"/>
                <w:szCs w:val="22"/>
                <w:lang w:val="en-US"/>
              </w:rPr>
            </w:pPr>
            <w:r w:rsidRPr="00011CB1">
              <w:rPr>
                <w:rFonts w:ascii="Arial" w:hAnsi="Arial" w:cs="Arial"/>
                <w:color w:val="000000"/>
                <w:sz w:val="22"/>
                <w:szCs w:val="22"/>
                <w:lang w:val="en-US"/>
              </w:rPr>
              <w:t>Issue the 2018</w:t>
            </w:r>
            <w:r w:rsidRPr="00011CB1">
              <w:rPr>
                <w:rFonts w:ascii="Arial" w:hAnsi="Arial" w:cs="Arial"/>
                <w:sz w:val="22"/>
                <w:szCs w:val="22"/>
                <w:lang w:val="en-US"/>
              </w:rPr>
              <w:t>/19 E</w:t>
            </w:r>
            <w:r w:rsidRPr="00011CB1">
              <w:rPr>
                <w:rFonts w:ascii="Arial" w:hAnsi="Arial" w:cs="Arial"/>
                <w:color w:val="000000"/>
                <w:sz w:val="22"/>
                <w:szCs w:val="22"/>
                <w:lang w:val="en-US"/>
              </w:rPr>
              <w:t xml:space="preserve">nvironment Fund offers.  </w:t>
            </w:r>
          </w:p>
          <w:p w:rsidR="00375CE1" w:rsidRPr="00363038" w:rsidRDefault="00375CE1" w:rsidP="0027293B">
            <w:pPr>
              <w:rPr>
                <w:rFonts w:ascii="Arial" w:hAnsi="Arial" w:cs="Arial"/>
                <w:b/>
                <w:color w:val="FF0000"/>
              </w:rPr>
            </w:pPr>
          </w:p>
        </w:tc>
      </w:tr>
      <w:tr w:rsidR="00375CE1" w:rsidRPr="00ED6903" w:rsidTr="00375CE1">
        <w:trPr>
          <w:trHeight w:val="1315"/>
          <w:tblHead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363038" w:rsidRDefault="00375CE1" w:rsidP="00E25AD8">
            <w:pPr>
              <w:jc w:val="center"/>
              <w:rPr>
                <w:rFonts w:ascii="Arial" w:hAnsi="Arial" w:cs="Arial"/>
                <w:lang w:val="en-US"/>
              </w:rPr>
            </w:pPr>
            <w:r w:rsidRPr="00363038">
              <w:rPr>
                <w:rFonts w:ascii="Arial" w:hAnsi="Arial" w:cs="Arial"/>
                <w:lang w:val="en-US"/>
              </w:rPr>
              <w:t>3</w:t>
            </w:r>
          </w:p>
        </w:tc>
        <w:tc>
          <w:tcPr>
            <w:tcW w:w="4337"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011CB1" w:rsidRDefault="00375CE1" w:rsidP="0064302A">
            <w:pPr>
              <w:autoSpaceDE w:val="0"/>
              <w:autoSpaceDN w:val="0"/>
              <w:adjustRightInd w:val="0"/>
              <w:spacing w:line="241" w:lineRule="atLeast"/>
              <w:rPr>
                <w:rFonts w:ascii="Arial" w:hAnsi="Arial" w:cs="Arial"/>
                <w:color w:val="000000"/>
                <w:sz w:val="22"/>
                <w:szCs w:val="22"/>
                <w:lang w:val="en-US"/>
              </w:rPr>
            </w:pPr>
            <w:r w:rsidRPr="00011CB1">
              <w:rPr>
                <w:rFonts w:ascii="Arial" w:hAnsi="Arial" w:cs="Arial"/>
                <w:color w:val="000000"/>
                <w:sz w:val="22"/>
                <w:szCs w:val="22"/>
                <w:lang w:val="en-US"/>
              </w:rPr>
              <w:t>Respond to 90%</w:t>
            </w:r>
            <w:r w:rsidRPr="00011CB1">
              <w:rPr>
                <w:rFonts w:ascii="Arial" w:hAnsi="Arial" w:cs="Arial"/>
                <w:sz w:val="22"/>
                <w:szCs w:val="22"/>
                <w:lang w:val="en-US"/>
              </w:rPr>
              <w:t xml:space="preserve"> of statutory </w:t>
            </w:r>
            <w:r w:rsidRPr="00011CB1">
              <w:rPr>
                <w:rFonts w:ascii="Arial" w:hAnsi="Arial" w:cs="Arial"/>
                <w:color w:val="000000"/>
                <w:sz w:val="22"/>
                <w:szCs w:val="22"/>
                <w:lang w:val="en-US"/>
              </w:rPr>
              <w:t xml:space="preserve">planning consultation requests within 21 days or agreed timescales.                                         </w:t>
            </w:r>
          </w:p>
          <w:p w:rsidR="00375CE1" w:rsidRPr="00363038" w:rsidRDefault="00375CE1" w:rsidP="00586CC6">
            <w:pPr>
              <w:rPr>
                <w:rFonts w:ascii="Arial" w:hAnsi="Arial" w:cs="Arial"/>
              </w:rPr>
            </w:pPr>
          </w:p>
        </w:tc>
      </w:tr>
      <w:tr w:rsidR="00375CE1" w:rsidRPr="00ED6903" w:rsidTr="00375CE1">
        <w:trPr>
          <w:trHeight w:val="1059"/>
          <w:tblHead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363038" w:rsidRDefault="00375CE1" w:rsidP="00E25AD8">
            <w:pPr>
              <w:jc w:val="center"/>
              <w:rPr>
                <w:rFonts w:ascii="Arial" w:hAnsi="Arial" w:cs="Arial"/>
                <w:lang w:val="en-US"/>
              </w:rPr>
            </w:pPr>
            <w:r w:rsidRPr="00363038">
              <w:rPr>
                <w:rFonts w:ascii="Arial" w:hAnsi="Arial" w:cs="Arial"/>
                <w:lang w:val="en-US"/>
              </w:rPr>
              <w:t>4</w:t>
            </w:r>
          </w:p>
        </w:tc>
        <w:tc>
          <w:tcPr>
            <w:tcW w:w="4337"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CB199C" w:rsidRDefault="00375CE1" w:rsidP="0064302A">
            <w:pPr>
              <w:autoSpaceDE w:val="0"/>
              <w:autoSpaceDN w:val="0"/>
              <w:adjustRightInd w:val="0"/>
              <w:spacing w:line="241" w:lineRule="atLeast"/>
              <w:rPr>
                <w:rFonts w:ascii="Arial" w:hAnsi="Arial" w:cs="Arial"/>
                <w:color w:val="000000"/>
                <w:sz w:val="22"/>
                <w:szCs w:val="22"/>
                <w:lang w:val="en-US"/>
              </w:rPr>
            </w:pPr>
            <w:r w:rsidRPr="00CB199C">
              <w:rPr>
                <w:rFonts w:ascii="Arial" w:hAnsi="Arial" w:cs="Arial"/>
                <w:color w:val="000000"/>
                <w:sz w:val="22"/>
                <w:szCs w:val="22"/>
                <w:lang w:val="en-US"/>
              </w:rPr>
              <w:t xml:space="preserve">Achieve 90% compliance with all Authorisations (to include permits/licences) and Regulatory requirements using an agreed compliance assessment methodology.                                                                                                                                                                                                                                                                                </w:t>
            </w:r>
          </w:p>
          <w:p w:rsidR="00375CE1" w:rsidRDefault="00375CE1">
            <w:pPr>
              <w:rPr>
                <w:rFonts w:ascii="Arial" w:hAnsi="Arial" w:cs="Arial"/>
              </w:rPr>
            </w:pPr>
          </w:p>
        </w:tc>
      </w:tr>
      <w:tr w:rsidR="00375CE1" w:rsidRPr="00ED6903" w:rsidTr="00375CE1">
        <w:trPr>
          <w:trHeight w:val="1275"/>
          <w:tblHead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363038" w:rsidRDefault="00375CE1" w:rsidP="00586CC6">
            <w:pPr>
              <w:jc w:val="center"/>
              <w:rPr>
                <w:rFonts w:ascii="Arial" w:hAnsi="Arial" w:cs="Arial"/>
                <w:lang w:val="en-US"/>
              </w:rPr>
            </w:pPr>
            <w:r w:rsidRPr="00363038">
              <w:rPr>
                <w:rFonts w:ascii="Arial" w:hAnsi="Arial" w:cs="Arial"/>
                <w:lang w:val="en-US"/>
              </w:rPr>
              <w:t>5</w:t>
            </w:r>
          </w:p>
        </w:tc>
        <w:tc>
          <w:tcPr>
            <w:tcW w:w="4337"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Default="00375CE1" w:rsidP="0064302A">
            <w:pPr>
              <w:autoSpaceDE w:val="0"/>
              <w:autoSpaceDN w:val="0"/>
              <w:adjustRightInd w:val="0"/>
              <w:spacing w:line="241" w:lineRule="atLeast"/>
              <w:rPr>
                <w:rFonts w:ascii="Arial" w:hAnsi="Arial" w:cs="Arial"/>
                <w:b/>
                <w:caps/>
                <w:color w:val="FF0000"/>
                <w:sz w:val="22"/>
                <w:szCs w:val="22"/>
                <w:lang w:val="en-US"/>
              </w:rPr>
            </w:pPr>
            <w:r w:rsidRPr="00CB199C">
              <w:rPr>
                <w:rFonts w:ascii="Arial" w:hAnsi="Arial" w:cs="Arial"/>
                <w:color w:val="000000"/>
                <w:sz w:val="22"/>
                <w:szCs w:val="22"/>
                <w:lang w:val="en-US"/>
              </w:rPr>
              <w:t>Agree a Remediation Strategy for the illegal waste deposits at Mobuoy Road.</w:t>
            </w:r>
            <w:r>
              <w:rPr>
                <w:rFonts w:ascii="Arial" w:hAnsi="Arial" w:cs="Arial"/>
                <w:color w:val="000000"/>
                <w:sz w:val="22"/>
                <w:szCs w:val="22"/>
                <w:lang w:val="en-US"/>
              </w:rPr>
              <w:t xml:space="preserve">  </w:t>
            </w:r>
            <w:r w:rsidRPr="00CB199C">
              <w:rPr>
                <w:rFonts w:ascii="Arial" w:hAnsi="Arial" w:cs="Arial"/>
                <w:b/>
                <w:caps/>
                <w:color w:val="FF0000"/>
                <w:sz w:val="22"/>
                <w:szCs w:val="22"/>
                <w:lang w:val="en-US"/>
              </w:rPr>
              <w:t xml:space="preserve"> </w:t>
            </w:r>
          </w:p>
          <w:p w:rsidR="00375CE1" w:rsidRPr="00363038" w:rsidRDefault="00375CE1" w:rsidP="00586CC6">
            <w:pPr>
              <w:rPr>
                <w:rFonts w:ascii="Arial" w:hAnsi="Arial" w:cs="Arial"/>
                <w:b/>
                <w:color w:val="FF0000"/>
              </w:rPr>
            </w:pPr>
          </w:p>
        </w:tc>
      </w:tr>
      <w:tr w:rsidR="00375CE1" w:rsidRPr="00ED6903" w:rsidTr="00375CE1">
        <w:trPr>
          <w:trHeight w:val="1251"/>
          <w:tblHead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363038" w:rsidRDefault="00375CE1" w:rsidP="00471504">
            <w:pPr>
              <w:jc w:val="center"/>
              <w:rPr>
                <w:rFonts w:ascii="Arial" w:hAnsi="Arial" w:cs="Arial"/>
                <w:lang w:val="en-US"/>
              </w:rPr>
            </w:pPr>
            <w:r w:rsidRPr="00363038">
              <w:rPr>
                <w:rFonts w:ascii="Arial" w:hAnsi="Arial" w:cs="Arial"/>
                <w:lang w:val="en-US"/>
              </w:rPr>
              <w:t>6</w:t>
            </w:r>
          </w:p>
        </w:tc>
        <w:tc>
          <w:tcPr>
            <w:tcW w:w="4337"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CB199C" w:rsidRDefault="00375CE1" w:rsidP="0064302A">
            <w:pPr>
              <w:autoSpaceDE w:val="0"/>
              <w:autoSpaceDN w:val="0"/>
              <w:adjustRightInd w:val="0"/>
              <w:spacing w:line="241" w:lineRule="atLeast"/>
              <w:rPr>
                <w:rFonts w:ascii="Arial" w:hAnsi="Arial" w:cs="Arial"/>
                <w:color w:val="000000"/>
                <w:sz w:val="22"/>
                <w:szCs w:val="22"/>
                <w:lang w:val="en-US"/>
              </w:rPr>
            </w:pPr>
            <w:r w:rsidRPr="00CB199C">
              <w:rPr>
                <w:rFonts w:ascii="Arial" w:hAnsi="Arial" w:cs="Arial"/>
                <w:color w:val="000000"/>
                <w:sz w:val="22"/>
                <w:szCs w:val="22"/>
                <w:lang w:val="en-US"/>
              </w:rPr>
              <w:t>Increase the number of Water Bodies achieving "good" status by delivering 80% of the actions identified for each catchment project in the 2017/18 catchment work programme.</w:t>
            </w:r>
          </w:p>
          <w:p w:rsidR="00375CE1" w:rsidRPr="00363038" w:rsidRDefault="00375CE1" w:rsidP="00586CC6">
            <w:pPr>
              <w:rPr>
                <w:rFonts w:ascii="Arial" w:hAnsi="Arial" w:cs="Arial"/>
                <w:b/>
                <w:color w:val="FF0000"/>
              </w:rPr>
            </w:pPr>
          </w:p>
        </w:tc>
      </w:tr>
      <w:tr w:rsidR="00375CE1" w:rsidRPr="00ED6903" w:rsidTr="00375CE1">
        <w:trPr>
          <w:trHeight w:val="1269"/>
          <w:tblHead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363038" w:rsidRDefault="00375CE1" w:rsidP="00471504">
            <w:pPr>
              <w:jc w:val="center"/>
              <w:rPr>
                <w:rFonts w:ascii="Arial" w:hAnsi="Arial" w:cs="Arial"/>
                <w:lang w:val="en-US"/>
              </w:rPr>
            </w:pPr>
            <w:r w:rsidRPr="00363038">
              <w:rPr>
                <w:rFonts w:ascii="Arial" w:hAnsi="Arial" w:cs="Arial"/>
                <w:lang w:val="en-US"/>
              </w:rPr>
              <w:t>7</w:t>
            </w:r>
          </w:p>
        </w:tc>
        <w:tc>
          <w:tcPr>
            <w:tcW w:w="4337" w:type="pct"/>
            <w:tcBorders>
              <w:top w:val="single" w:sz="4" w:space="0" w:color="auto"/>
              <w:left w:val="single" w:sz="4" w:space="0" w:color="auto"/>
              <w:bottom w:val="single" w:sz="4" w:space="0" w:color="auto"/>
              <w:right w:val="single" w:sz="4" w:space="0" w:color="auto"/>
            </w:tcBorders>
            <w:shd w:val="clear" w:color="auto" w:fill="auto"/>
            <w:vAlign w:val="center"/>
          </w:tcPr>
          <w:p w:rsidR="00375CE1" w:rsidRPr="00363038" w:rsidRDefault="00375CE1" w:rsidP="00586CC6">
            <w:pPr>
              <w:rPr>
                <w:rFonts w:ascii="Arial" w:hAnsi="Arial" w:cs="Arial"/>
                <w:b/>
                <w:color w:val="FF0000"/>
              </w:rPr>
            </w:pPr>
            <w:r w:rsidRPr="00E65889">
              <w:rPr>
                <w:rFonts w:ascii="Arial" w:hAnsi="Arial" w:cs="Arial"/>
                <w:color w:val="000000"/>
                <w:sz w:val="22"/>
                <w:szCs w:val="22"/>
                <w:lang w:val="en-US"/>
              </w:rPr>
              <w:t xml:space="preserve">Increase the understanding of Waste Crime in Northern Ireland by completing biannual Strategic Assessments in May and November each year.                                                                                                </w:t>
            </w:r>
          </w:p>
        </w:tc>
      </w:tr>
    </w:tbl>
    <w:p w:rsidR="00E253E4" w:rsidRDefault="00E253E4" w:rsidP="000100C7">
      <w:pPr>
        <w:rPr>
          <w:rFonts w:ascii="Arial" w:hAnsi="Arial" w:cs="Arial"/>
          <w:b/>
          <w:sz w:val="24"/>
          <w:szCs w:val="24"/>
          <w:lang w:val="en-US"/>
        </w:rPr>
      </w:pPr>
    </w:p>
    <w:p w:rsidR="00363038" w:rsidRDefault="00363038" w:rsidP="008D01FE">
      <w:pPr>
        <w:jc w:val="right"/>
        <w:rPr>
          <w:rFonts w:ascii="Arial" w:hAnsi="Arial" w:cs="Arial"/>
          <w:b/>
          <w:sz w:val="24"/>
          <w:szCs w:val="24"/>
          <w:lang w:val="en-US"/>
        </w:rPr>
      </w:pPr>
    </w:p>
    <w:p w:rsidR="00AB2F06" w:rsidRDefault="00AB2F06" w:rsidP="00BE0F45">
      <w:pPr>
        <w:jc w:val="right"/>
        <w:rPr>
          <w:rFonts w:ascii="Arial" w:hAnsi="Arial" w:cs="Arial"/>
          <w:b/>
          <w:color w:val="365F91"/>
          <w:sz w:val="24"/>
          <w:szCs w:val="24"/>
          <w:lang w:val="en-US"/>
        </w:rPr>
      </w:pPr>
    </w:p>
    <w:p w:rsidR="00AB2F06" w:rsidRDefault="00AB2F06" w:rsidP="00BE0F45">
      <w:pPr>
        <w:jc w:val="right"/>
        <w:rPr>
          <w:rFonts w:ascii="Arial" w:hAnsi="Arial" w:cs="Arial"/>
          <w:b/>
          <w:color w:val="365F91"/>
          <w:sz w:val="24"/>
          <w:szCs w:val="24"/>
          <w:lang w:val="en-US"/>
        </w:rPr>
      </w:pPr>
    </w:p>
    <w:p w:rsidR="00AB2F06" w:rsidRDefault="00AB2F06" w:rsidP="00BE0F45">
      <w:pPr>
        <w:jc w:val="right"/>
        <w:rPr>
          <w:rFonts w:ascii="Arial" w:hAnsi="Arial" w:cs="Arial"/>
          <w:b/>
          <w:color w:val="365F91"/>
          <w:sz w:val="24"/>
          <w:szCs w:val="24"/>
          <w:lang w:val="en-US"/>
        </w:rPr>
      </w:pPr>
    </w:p>
    <w:p w:rsidR="00AB2F06" w:rsidRDefault="00AB2F06" w:rsidP="00BE0F45">
      <w:pPr>
        <w:jc w:val="right"/>
        <w:rPr>
          <w:rFonts w:ascii="Arial" w:hAnsi="Arial" w:cs="Arial"/>
          <w:b/>
          <w:color w:val="365F91"/>
          <w:sz w:val="24"/>
          <w:szCs w:val="24"/>
          <w:lang w:val="en-US"/>
        </w:rPr>
      </w:pPr>
    </w:p>
    <w:p w:rsidR="00AB2F06" w:rsidRDefault="00AB2F06" w:rsidP="00BE0F45">
      <w:pPr>
        <w:jc w:val="right"/>
        <w:rPr>
          <w:rFonts w:ascii="Arial" w:hAnsi="Arial" w:cs="Arial"/>
          <w:b/>
          <w:color w:val="365F91"/>
          <w:sz w:val="24"/>
          <w:szCs w:val="24"/>
          <w:lang w:val="en-US"/>
        </w:rPr>
      </w:pPr>
    </w:p>
    <w:p w:rsidR="00AC6762" w:rsidRDefault="00AC6762" w:rsidP="00BE0F45">
      <w:pPr>
        <w:jc w:val="right"/>
        <w:rPr>
          <w:rFonts w:ascii="Arial" w:hAnsi="Arial" w:cs="Arial"/>
          <w:b/>
          <w:color w:val="365F91"/>
          <w:sz w:val="24"/>
          <w:szCs w:val="24"/>
          <w:lang w:val="en-US"/>
        </w:rPr>
      </w:pPr>
    </w:p>
    <w:p w:rsidR="00AC6762" w:rsidRDefault="00AC6762" w:rsidP="00BE0F45">
      <w:pPr>
        <w:jc w:val="right"/>
        <w:rPr>
          <w:rFonts w:ascii="Arial" w:hAnsi="Arial" w:cs="Arial"/>
          <w:b/>
          <w:color w:val="365F91"/>
          <w:sz w:val="24"/>
          <w:szCs w:val="24"/>
          <w:lang w:val="en-US"/>
        </w:rPr>
      </w:pPr>
    </w:p>
    <w:p w:rsidR="00AB2F06" w:rsidRDefault="00AB2F06" w:rsidP="00BE0F45">
      <w:pPr>
        <w:jc w:val="right"/>
        <w:rPr>
          <w:rFonts w:ascii="Arial" w:hAnsi="Arial" w:cs="Arial"/>
          <w:b/>
          <w:color w:val="365F91"/>
          <w:sz w:val="24"/>
          <w:szCs w:val="24"/>
          <w:lang w:val="en-US"/>
        </w:rPr>
      </w:pPr>
    </w:p>
    <w:p w:rsidR="00AB2F06" w:rsidRDefault="00AB2F06" w:rsidP="00BE0F45">
      <w:pPr>
        <w:jc w:val="right"/>
        <w:rPr>
          <w:rFonts w:ascii="Arial" w:hAnsi="Arial" w:cs="Arial"/>
          <w:b/>
          <w:color w:val="365F91"/>
          <w:sz w:val="24"/>
          <w:szCs w:val="24"/>
          <w:lang w:val="en-US"/>
        </w:rPr>
      </w:pPr>
    </w:p>
    <w:p w:rsidR="00AB2F06" w:rsidRDefault="00AB2F06" w:rsidP="00BE0F45">
      <w:pPr>
        <w:jc w:val="right"/>
        <w:rPr>
          <w:rFonts w:ascii="Arial" w:hAnsi="Arial" w:cs="Arial"/>
          <w:b/>
          <w:color w:val="365F91"/>
          <w:sz w:val="24"/>
          <w:szCs w:val="24"/>
          <w:lang w:val="en-US"/>
        </w:rPr>
      </w:pPr>
    </w:p>
    <w:p w:rsidR="008D01FE" w:rsidRPr="00FD7300" w:rsidRDefault="00BE0F45" w:rsidP="00BE0F45">
      <w:pPr>
        <w:jc w:val="right"/>
        <w:rPr>
          <w:rFonts w:ascii="Arial" w:hAnsi="Arial" w:cs="Arial"/>
          <w:b/>
          <w:color w:val="365F91"/>
          <w:sz w:val="24"/>
          <w:szCs w:val="24"/>
          <w:lang w:val="en-US"/>
        </w:rPr>
      </w:pPr>
      <w:r>
        <w:rPr>
          <w:rFonts w:ascii="Arial" w:hAnsi="Arial" w:cs="Arial"/>
          <w:b/>
          <w:color w:val="365F91"/>
          <w:sz w:val="24"/>
          <w:szCs w:val="24"/>
          <w:lang w:val="en-US"/>
        </w:rPr>
        <w:t>AN</w:t>
      </w:r>
      <w:r w:rsidR="005946F5" w:rsidRPr="005946F5">
        <w:rPr>
          <w:rFonts w:ascii="Arial" w:hAnsi="Arial" w:cs="Arial"/>
          <w:b/>
          <w:color w:val="365F91"/>
          <w:sz w:val="24"/>
          <w:szCs w:val="24"/>
          <w:lang w:val="en-US"/>
        </w:rPr>
        <w:t>NEX C</w:t>
      </w:r>
    </w:p>
    <w:p w:rsidR="000F22F0" w:rsidRPr="000F22F0" w:rsidRDefault="005946F5">
      <w:pPr>
        <w:rPr>
          <w:rFonts w:ascii="Arial" w:hAnsi="Arial" w:cs="Arial"/>
          <w:b/>
          <w:color w:val="365F91"/>
          <w:sz w:val="24"/>
          <w:szCs w:val="24"/>
          <w:u w:val="single"/>
        </w:rPr>
      </w:pPr>
      <w:r w:rsidRPr="000F22F0">
        <w:rPr>
          <w:rFonts w:ascii="Arial" w:hAnsi="Arial" w:cs="Arial"/>
          <w:b/>
          <w:color w:val="365F91"/>
          <w:sz w:val="24"/>
          <w:szCs w:val="24"/>
          <w:u w:val="single"/>
        </w:rPr>
        <w:lastRenderedPageBreak/>
        <w:t xml:space="preserve">NIEA </w:t>
      </w:r>
      <w:r w:rsidR="00C67750" w:rsidRPr="000F22F0">
        <w:rPr>
          <w:rFonts w:ascii="Arial" w:hAnsi="Arial" w:cs="Arial"/>
          <w:b/>
          <w:color w:val="365F91"/>
          <w:sz w:val="24"/>
          <w:szCs w:val="24"/>
          <w:u w:val="single"/>
        </w:rPr>
        <w:t>FUNDING</w:t>
      </w:r>
      <w:r w:rsidR="000F22F0" w:rsidRPr="000F22F0">
        <w:rPr>
          <w:rFonts w:ascii="Arial" w:hAnsi="Arial" w:cs="Arial"/>
          <w:b/>
          <w:color w:val="365F91"/>
          <w:sz w:val="24"/>
          <w:szCs w:val="24"/>
          <w:u w:val="single"/>
        </w:rPr>
        <w:t xml:space="preserve"> (201</w:t>
      </w:r>
      <w:r w:rsidR="002D19FA">
        <w:rPr>
          <w:rFonts w:ascii="Arial" w:hAnsi="Arial" w:cs="Arial"/>
          <w:b/>
          <w:color w:val="365F91"/>
          <w:sz w:val="24"/>
          <w:szCs w:val="24"/>
          <w:u w:val="single"/>
        </w:rPr>
        <w:t>7</w:t>
      </w:r>
      <w:r w:rsidR="000F22F0" w:rsidRPr="000F22F0">
        <w:rPr>
          <w:rFonts w:ascii="Arial" w:hAnsi="Arial" w:cs="Arial"/>
          <w:b/>
          <w:color w:val="365F91"/>
          <w:sz w:val="24"/>
          <w:szCs w:val="24"/>
          <w:u w:val="single"/>
        </w:rPr>
        <w:t>-1</w:t>
      </w:r>
      <w:r w:rsidR="002D19FA">
        <w:rPr>
          <w:rFonts w:ascii="Arial" w:hAnsi="Arial" w:cs="Arial"/>
          <w:b/>
          <w:color w:val="365F91"/>
          <w:sz w:val="24"/>
          <w:szCs w:val="24"/>
          <w:u w:val="single"/>
        </w:rPr>
        <w:t>8</w:t>
      </w:r>
      <w:r w:rsidR="000F22F0" w:rsidRPr="000F22F0">
        <w:rPr>
          <w:rFonts w:ascii="Arial" w:hAnsi="Arial" w:cs="Arial"/>
          <w:b/>
          <w:color w:val="365F91"/>
          <w:sz w:val="24"/>
          <w:szCs w:val="24"/>
          <w:u w:val="single"/>
        </w:rPr>
        <w:t>)</w:t>
      </w:r>
    </w:p>
    <w:p w:rsidR="000F22F0" w:rsidRDefault="000F22F0">
      <w:pPr>
        <w:rPr>
          <w:rFonts w:ascii="Arial" w:hAnsi="Arial" w:cs="Arial"/>
          <w:b/>
          <w:color w:val="365F91"/>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50"/>
        <w:gridCol w:w="1416"/>
        <w:gridCol w:w="1310"/>
        <w:gridCol w:w="1264"/>
        <w:gridCol w:w="1310"/>
      </w:tblGrid>
      <w:tr w:rsidR="00C81A11" w:rsidTr="00C81A11">
        <w:tc>
          <w:tcPr>
            <w:tcW w:w="710" w:type="dxa"/>
          </w:tcPr>
          <w:p w:rsidR="00C81A11" w:rsidRPr="00603CE3" w:rsidRDefault="00C81A11" w:rsidP="00BC6BB4">
            <w:pPr>
              <w:rPr>
                <w:rFonts w:ascii="Arial" w:hAnsi="Arial" w:cs="Arial"/>
                <w:b/>
              </w:rPr>
            </w:pPr>
            <w:r w:rsidRPr="00603CE3">
              <w:rPr>
                <w:rFonts w:ascii="Arial" w:hAnsi="Arial" w:cs="Arial"/>
                <w:b/>
              </w:rPr>
              <w:t>Notes</w:t>
            </w:r>
          </w:p>
        </w:tc>
        <w:tc>
          <w:tcPr>
            <w:tcW w:w="3550" w:type="dxa"/>
          </w:tcPr>
          <w:p w:rsidR="00C81A11" w:rsidRDefault="00C81A11" w:rsidP="00BC6BB4"/>
        </w:tc>
        <w:tc>
          <w:tcPr>
            <w:tcW w:w="1416" w:type="dxa"/>
          </w:tcPr>
          <w:p w:rsidR="00C81A11" w:rsidRPr="00603CE3" w:rsidRDefault="00C81A11" w:rsidP="00BC6BB4">
            <w:pPr>
              <w:jc w:val="center"/>
              <w:rPr>
                <w:rFonts w:ascii="Arial" w:hAnsi="Arial" w:cs="Arial"/>
                <w:b/>
                <w:sz w:val="24"/>
                <w:szCs w:val="24"/>
              </w:rPr>
            </w:pPr>
            <w:r w:rsidRPr="00603CE3">
              <w:rPr>
                <w:rFonts w:ascii="Arial" w:hAnsi="Arial" w:cs="Arial"/>
                <w:b/>
                <w:sz w:val="24"/>
                <w:szCs w:val="24"/>
              </w:rPr>
              <w:t>£</w:t>
            </w:r>
            <w:r>
              <w:rPr>
                <w:rFonts w:ascii="Arial" w:hAnsi="Arial" w:cs="Arial"/>
                <w:b/>
                <w:sz w:val="24"/>
                <w:szCs w:val="24"/>
              </w:rPr>
              <w:t>’000s</w:t>
            </w:r>
          </w:p>
        </w:tc>
        <w:tc>
          <w:tcPr>
            <w:tcW w:w="1310" w:type="dxa"/>
          </w:tcPr>
          <w:p w:rsidR="00C81A11" w:rsidRPr="00603CE3" w:rsidRDefault="00C81A11" w:rsidP="00BC6BB4">
            <w:pPr>
              <w:jc w:val="center"/>
              <w:rPr>
                <w:rFonts w:ascii="Arial" w:hAnsi="Arial" w:cs="Arial"/>
                <w:b/>
                <w:sz w:val="24"/>
                <w:szCs w:val="24"/>
              </w:rPr>
            </w:pPr>
            <w:r w:rsidRPr="00603CE3">
              <w:rPr>
                <w:rFonts w:ascii="Arial" w:hAnsi="Arial" w:cs="Arial"/>
                <w:b/>
                <w:sz w:val="24"/>
                <w:szCs w:val="24"/>
              </w:rPr>
              <w:t>% (of Gross Resource Budget)</w:t>
            </w:r>
          </w:p>
        </w:tc>
        <w:tc>
          <w:tcPr>
            <w:tcW w:w="1264" w:type="dxa"/>
          </w:tcPr>
          <w:p w:rsidR="000E610C" w:rsidRDefault="00C81A11">
            <w:pPr>
              <w:jc w:val="center"/>
              <w:rPr>
                <w:rFonts w:ascii="Arial" w:hAnsi="Arial" w:cs="Arial"/>
                <w:b/>
                <w:sz w:val="24"/>
                <w:szCs w:val="24"/>
              </w:rPr>
            </w:pPr>
            <w:r>
              <w:rPr>
                <w:rFonts w:ascii="Arial" w:hAnsi="Arial" w:cs="Arial"/>
                <w:b/>
                <w:sz w:val="24"/>
                <w:szCs w:val="24"/>
              </w:rPr>
              <w:t>2016-17</w:t>
            </w:r>
          </w:p>
          <w:p w:rsidR="000E610C" w:rsidRDefault="00EB151A">
            <w:pPr>
              <w:jc w:val="center"/>
              <w:rPr>
                <w:rFonts w:ascii="Arial" w:hAnsi="Arial" w:cs="Arial"/>
                <w:b/>
                <w:sz w:val="24"/>
                <w:szCs w:val="24"/>
              </w:rPr>
            </w:pPr>
            <w:r>
              <w:rPr>
                <w:rFonts w:ascii="Arial" w:hAnsi="Arial" w:cs="Arial"/>
                <w:b/>
                <w:sz w:val="24"/>
                <w:szCs w:val="24"/>
              </w:rPr>
              <w:t>Opening budgets</w:t>
            </w:r>
          </w:p>
        </w:tc>
        <w:tc>
          <w:tcPr>
            <w:tcW w:w="1310" w:type="dxa"/>
          </w:tcPr>
          <w:p w:rsidR="00C81A11" w:rsidRDefault="00C81A11" w:rsidP="00BC6BB4">
            <w:pPr>
              <w:jc w:val="center"/>
              <w:rPr>
                <w:rFonts w:ascii="Arial" w:hAnsi="Arial" w:cs="Arial"/>
                <w:b/>
                <w:sz w:val="24"/>
                <w:szCs w:val="24"/>
              </w:rPr>
            </w:pPr>
            <w:r w:rsidRPr="00603CE3">
              <w:rPr>
                <w:rFonts w:ascii="Arial" w:hAnsi="Arial" w:cs="Arial"/>
                <w:b/>
                <w:sz w:val="24"/>
                <w:szCs w:val="24"/>
              </w:rPr>
              <w:t>% (of Gross Resource Budget</w:t>
            </w:r>
          </w:p>
        </w:tc>
      </w:tr>
      <w:tr w:rsidR="00C81A11" w:rsidTr="00C81A11">
        <w:tc>
          <w:tcPr>
            <w:tcW w:w="710" w:type="dxa"/>
            <w:vAlign w:val="center"/>
          </w:tcPr>
          <w:p w:rsidR="00C81A11" w:rsidRDefault="00C81A11" w:rsidP="00BC6BB4">
            <w:pPr>
              <w:jc w:val="center"/>
              <w:rPr>
                <w:rFonts w:ascii="Arial" w:hAnsi="Arial" w:cs="Arial"/>
                <w:sz w:val="24"/>
                <w:szCs w:val="24"/>
              </w:rPr>
            </w:pPr>
            <w:r>
              <w:rPr>
                <w:rFonts w:ascii="Arial" w:hAnsi="Arial" w:cs="Arial"/>
                <w:sz w:val="24"/>
                <w:szCs w:val="24"/>
              </w:rPr>
              <w:t>1</w:t>
            </w:r>
          </w:p>
        </w:tc>
        <w:tc>
          <w:tcPr>
            <w:tcW w:w="3550" w:type="dxa"/>
          </w:tcPr>
          <w:p w:rsidR="00C81A11" w:rsidRPr="00603CE3" w:rsidRDefault="00C81A11" w:rsidP="00BC6BB4">
            <w:pPr>
              <w:rPr>
                <w:rFonts w:ascii="Arial" w:hAnsi="Arial" w:cs="Arial"/>
                <w:sz w:val="24"/>
                <w:szCs w:val="24"/>
              </w:rPr>
            </w:pPr>
            <w:r w:rsidRPr="00603CE3">
              <w:rPr>
                <w:rFonts w:ascii="Arial" w:hAnsi="Arial" w:cs="Arial"/>
                <w:sz w:val="24"/>
                <w:szCs w:val="24"/>
              </w:rPr>
              <w:t>Salaries and wages</w:t>
            </w:r>
          </w:p>
        </w:tc>
        <w:tc>
          <w:tcPr>
            <w:tcW w:w="1416" w:type="dxa"/>
            <w:vAlign w:val="center"/>
          </w:tcPr>
          <w:p w:rsidR="00C81A11" w:rsidRDefault="00C81A11" w:rsidP="00BC6BB4">
            <w:pPr>
              <w:tabs>
                <w:tab w:val="left" w:pos="1380"/>
              </w:tabs>
              <w:ind w:right="459"/>
              <w:jc w:val="right"/>
              <w:rPr>
                <w:rFonts w:ascii="Arial" w:hAnsi="Arial" w:cs="Arial"/>
                <w:sz w:val="24"/>
                <w:szCs w:val="24"/>
              </w:rPr>
            </w:pPr>
            <w:r>
              <w:rPr>
                <w:rFonts w:ascii="Arial" w:hAnsi="Arial" w:cs="Arial"/>
                <w:sz w:val="24"/>
                <w:szCs w:val="24"/>
              </w:rPr>
              <w:t>20,754</w:t>
            </w:r>
          </w:p>
        </w:tc>
        <w:tc>
          <w:tcPr>
            <w:tcW w:w="1310" w:type="dxa"/>
            <w:vAlign w:val="center"/>
          </w:tcPr>
          <w:p w:rsidR="00C81A11" w:rsidRDefault="00C81A11" w:rsidP="00BC6BB4">
            <w:pPr>
              <w:jc w:val="center"/>
              <w:rPr>
                <w:rFonts w:ascii="Arial" w:hAnsi="Arial" w:cs="Arial"/>
                <w:sz w:val="24"/>
                <w:szCs w:val="24"/>
              </w:rPr>
            </w:pPr>
            <w:r>
              <w:rPr>
                <w:rFonts w:ascii="Arial" w:hAnsi="Arial" w:cs="Arial"/>
                <w:sz w:val="24"/>
                <w:szCs w:val="24"/>
              </w:rPr>
              <w:t>67</w:t>
            </w:r>
          </w:p>
        </w:tc>
        <w:tc>
          <w:tcPr>
            <w:tcW w:w="1264" w:type="dxa"/>
          </w:tcPr>
          <w:p w:rsidR="00C81A11" w:rsidRDefault="00C81A11" w:rsidP="00BC6BB4">
            <w:pPr>
              <w:jc w:val="center"/>
              <w:rPr>
                <w:rFonts w:ascii="Arial" w:hAnsi="Arial" w:cs="Arial"/>
                <w:sz w:val="24"/>
                <w:szCs w:val="24"/>
              </w:rPr>
            </w:pPr>
            <w:r>
              <w:rPr>
                <w:rFonts w:ascii="Arial" w:hAnsi="Arial" w:cs="Arial"/>
                <w:sz w:val="24"/>
                <w:szCs w:val="24"/>
              </w:rPr>
              <w:t>21,379</w:t>
            </w:r>
          </w:p>
        </w:tc>
        <w:tc>
          <w:tcPr>
            <w:tcW w:w="1310" w:type="dxa"/>
          </w:tcPr>
          <w:p w:rsidR="00C81A11" w:rsidRDefault="00C81A11" w:rsidP="00BC6BB4">
            <w:pPr>
              <w:jc w:val="center"/>
              <w:rPr>
                <w:rFonts w:ascii="Arial" w:hAnsi="Arial" w:cs="Arial"/>
                <w:sz w:val="24"/>
                <w:szCs w:val="24"/>
              </w:rPr>
            </w:pPr>
            <w:r>
              <w:rPr>
                <w:rFonts w:ascii="Arial" w:hAnsi="Arial" w:cs="Arial"/>
                <w:sz w:val="24"/>
                <w:szCs w:val="24"/>
              </w:rPr>
              <w:t>68</w:t>
            </w:r>
          </w:p>
        </w:tc>
      </w:tr>
      <w:tr w:rsidR="00C81A11" w:rsidTr="00C81A11">
        <w:tc>
          <w:tcPr>
            <w:tcW w:w="710" w:type="dxa"/>
            <w:vAlign w:val="center"/>
          </w:tcPr>
          <w:p w:rsidR="00C81A11" w:rsidRDefault="00C81A11" w:rsidP="00BC6BB4">
            <w:pPr>
              <w:jc w:val="center"/>
              <w:rPr>
                <w:rFonts w:ascii="Arial" w:hAnsi="Arial" w:cs="Arial"/>
                <w:sz w:val="24"/>
                <w:szCs w:val="24"/>
              </w:rPr>
            </w:pPr>
          </w:p>
        </w:tc>
        <w:tc>
          <w:tcPr>
            <w:tcW w:w="3550" w:type="dxa"/>
          </w:tcPr>
          <w:p w:rsidR="00C81A11" w:rsidRPr="00603CE3" w:rsidRDefault="00C81A11" w:rsidP="00BC6BB4">
            <w:pPr>
              <w:rPr>
                <w:rFonts w:ascii="Arial" w:hAnsi="Arial" w:cs="Arial"/>
                <w:sz w:val="24"/>
                <w:szCs w:val="24"/>
              </w:rPr>
            </w:pPr>
            <w:r w:rsidRPr="00603CE3">
              <w:rPr>
                <w:rFonts w:ascii="Arial" w:hAnsi="Arial" w:cs="Arial"/>
                <w:sz w:val="24"/>
                <w:szCs w:val="24"/>
              </w:rPr>
              <w:t>Depreciation (ring fenced)</w:t>
            </w:r>
          </w:p>
        </w:tc>
        <w:tc>
          <w:tcPr>
            <w:tcW w:w="1416" w:type="dxa"/>
            <w:vAlign w:val="center"/>
          </w:tcPr>
          <w:p w:rsidR="00C81A11" w:rsidRDefault="00C81A11" w:rsidP="00BC6BB4">
            <w:pPr>
              <w:tabs>
                <w:tab w:val="left" w:pos="1380"/>
              </w:tabs>
              <w:ind w:right="459"/>
              <w:jc w:val="right"/>
              <w:rPr>
                <w:rFonts w:ascii="Arial" w:hAnsi="Arial" w:cs="Arial"/>
                <w:sz w:val="24"/>
                <w:szCs w:val="24"/>
              </w:rPr>
            </w:pPr>
            <w:r>
              <w:rPr>
                <w:rFonts w:ascii="Arial" w:hAnsi="Arial" w:cs="Arial"/>
                <w:sz w:val="24"/>
                <w:szCs w:val="24"/>
              </w:rPr>
              <w:t>1,420</w:t>
            </w:r>
          </w:p>
        </w:tc>
        <w:tc>
          <w:tcPr>
            <w:tcW w:w="1310" w:type="dxa"/>
            <w:vAlign w:val="center"/>
          </w:tcPr>
          <w:p w:rsidR="00C81A11" w:rsidRDefault="00C81A11" w:rsidP="00BC6BB4">
            <w:pPr>
              <w:jc w:val="center"/>
              <w:rPr>
                <w:rFonts w:ascii="Arial" w:hAnsi="Arial" w:cs="Arial"/>
                <w:sz w:val="24"/>
                <w:szCs w:val="24"/>
              </w:rPr>
            </w:pPr>
            <w:r>
              <w:rPr>
                <w:rFonts w:ascii="Arial" w:hAnsi="Arial" w:cs="Arial"/>
                <w:sz w:val="24"/>
                <w:szCs w:val="24"/>
              </w:rPr>
              <w:t>5</w:t>
            </w:r>
          </w:p>
        </w:tc>
        <w:tc>
          <w:tcPr>
            <w:tcW w:w="1264" w:type="dxa"/>
          </w:tcPr>
          <w:p w:rsidR="00C81A11" w:rsidRDefault="00C81A11" w:rsidP="00BC6BB4">
            <w:pPr>
              <w:jc w:val="center"/>
              <w:rPr>
                <w:rFonts w:ascii="Arial" w:hAnsi="Arial" w:cs="Arial"/>
                <w:sz w:val="24"/>
                <w:szCs w:val="24"/>
              </w:rPr>
            </w:pPr>
            <w:r>
              <w:rPr>
                <w:rFonts w:ascii="Arial" w:hAnsi="Arial" w:cs="Arial"/>
                <w:sz w:val="24"/>
                <w:szCs w:val="24"/>
              </w:rPr>
              <w:t>1,420</w:t>
            </w:r>
          </w:p>
        </w:tc>
        <w:tc>
          <w:tcPr>
            <w:tcW w:w="1310" w:type="dxa"/>
          </w:tcPr>
          <w:p w:rsidR="00C81A11" w:rsidRDefault="00C81A11" w:rsidP="00BC6BB4">
            <w:pPr>
              <w:jc w:val="center"/>
              <w:rPr>
                <w:rFonts w:ascii="Arial" w:hAnsi="Arial" w:cs="Arial"/>
                <w:sz w:val="24"/>
                <w:szCs w:val="24"/>
              </w:rPr>
            </w:pPr>
            <w:r>
              <w:rPr>
                <w:rFonts w:ascii="Arial" w:hAnsi="Arial" w:cs="Arial"/>
                <w:sz w:val="24"/>
                <w:szCs w:val="24"/>
              </w:rPr>
              <w:t>5</w:t>
            </w:r>
          </w:p>
        </w:tc>
      </w:tr>
      <w:tr w:rsidR="00C81A11" w:rsidTr="00C81A11">
        <w:tc>
          <w:tcPr>
            <w:tcW w:w="710" w:type="dxa"/>
            <w:vAlign w:val="center"/>
          </w:tcPr>
          <w:p w:rsidR="00C81A11" w:rsidRDefault="00C81A11" w:rsidP="00BC6BB4">
            <w:pPr>
              <w:jc w:val="center"/>
              <w:rPr>
                <w:rFonts w:ascii="Arial" w:hAnsi="Arial" w:cs="Arial"/>
                <w:b/>
                <w:sz w:val="24"/>
                <w:szCs w:val="24"/>
              </w:rPr>
            </w:pPr>
          </w:p>
        </w:tc>
        <w:tc>
          <w:tcPr>
            <w:tcW w:w="3550" w:type="dxa"/>
          </w:tcPr>
          <w:p w:rsidR="00C81A11" w:rsidRPr="00603CE3" w:rsidRDefault="00C81A11" w:rsidP="00BC6BB4">
            <w:pPr>
              <w:rPr>
                <w:rFonts w:ascii="Arial" w:hAnsi="Arial" w:cs="Arial"/>
                <w:b/>
                <w:sz w:val="24"/>
                <w:szCs w:val="24"/>
              </w:rPr>
            </w:pPr>
            <w:r w:rsidRPr="00603CE3">
              <w:rPr>
                <w:rFonts w:ascii="Arial" w:hAnsi="Arial" w:cs="Arial"/>
                <w:b/>
                <w:sz w:val="24"/>
                <w:szCs w:val="24"/>
              </w:rPr>
              <w:t>Sub Total</w:t>
            </w:r>
          </w:p>
        </w:tc>
        <w:tc>
          <w:tcPr>
            <w:tcW w:w="1416" w:type="dxa"/>
            <w:vAlign w:val="center"/>
          </w:tcPr>
          <w:p w:rsidR="00C81A11" w:rsidRDefault="00C81A11" w:rsidP="00BC6BB4">
            <w:pPr>
              <w:tabs>
                <w:tab w:val="left" w:pos="1380"/>
              </w:tabs>
              <w:ind w:right="459"/>
              <w:jc w:val="right"/>
              <w:rPr>
                <w:rFonts w:ascii="Arial" w:hAnsi="Arial" w:cs="Arial"/>
                <w:b/>
                <w:sz w:val="24"/>
                <w:szCs w:val="24"/>
              </w:rPr>
            </w:pPr>
            <w:r>
              <w:rPr>
                <w:rFonts w:ascii="Arial" w:hAnsi="Arial" w:cs="Arial"/>
                <w:b/>
                <w:sz w:val="24"/>
                <w:szCs w:val="24"/>
              </w:rPr>
              <w:t>22,174</w:t>
            </w:r>
          </w:p>
        </w:tc>
        <w:tc>
          <w:tcPr>
            <w:tcW w:w="1310" w:type="dxa"/>
            <w:vAlign w:val="center"/>
          </w:tcPr>
          <w:p w:rsidR="00C81A11" w:rsidRDefault="00C81A11" w:rsidP="00BC6BB4">
            <w:pPr>
              <w:jc w:val="center"/>
              <w:rPr>
                <w:rFonts w:ascii="Arial" w:hAnsi="Arial" w:cs="Arial"/>
                <w:b/>
                <w:sz w:val="24"/>
                <w:szCs w:val="24"/>
              </w:rPr>
            </w:pPr>
            <w:r>
              <w:rPr>
                <w:rFonts w:ascii="Arial" w:hAnsi="Arial" w:cs="Arial"/>
                <w:b/>
                <w:sz w:val="24"/>
                <w:szCs w:val="24"/>
              </w:rPr>
              <w:t>72</w:t>
            </w:r>
          </w:p>
        </w:tc>
        <w:tc>
          <w:tcPr>
            <w:tcW w:w="1264" w:type="dxa"/>
          </w:tcPr>
          <w:p w:rsidR="00C81A11" w:rsidRDefault="00C81A11" w:rsidP="00BC6BB4">
            <w:pPr>
              <w:jc w:val="center"/>
              <w:rPr>
                <w:rFonts w:ascii="Arial" w:hAnsi="Arial" w:cs="Arial"/>
                <w:b/>
                <w:sz w:val="24"/>
                <w:szCs w:val="24"/>
              </w:rPr>
            </w:pPr>
            <w:r>
              <w:rPr>
                <w:rFonts w:ascii="Arial" w:hAnsi="Arial" w:cs="Arial"/>
                <w:b/>
                <w:sz w:val="24"/>
                <w:szCs w:val="24"/>
              </w:rPr>
              <w:t>22,799</w:t>
            </w:r>
          </w:p>
        </w:tc>
        <w:tc>
          <w:tcPr>
            <w:tcW w:w="1310" w:type="dxa"/>
          </w:tcPr>
          <w:p w:rsidR="00C81A11" w:rsidRDefault="00C81A11" w:rsidP="00BC6BB4">
            <w:pPr>
              <w:jc w:val="center"/>
              <w:rPr>
                <w:rFonts w:ascii="Arial" w:hAnsi="Arial" w:cs="Arial"/>
                <w:b/>
                <w:sz w:val="24"/>
                <w:szCs w:val="24"/>
              </w:rPr>
            </w:pPr>
            <w:r>
              <w:rPr>
                <w:rFonts w:ascii="Arial" w:hAnsi="Arial" w:cs="Arial"/>
                <w:b/>
                <w:sz w:val="24"/>
                <w:szCs w:val="24"/>
              </w:rPr>
              <w:t>73</w:t>
            </w:r>
          </w:p>
        </w:tc>
      </w:tr>
      <w:tr w:rsidR="00C81A11" w:rsidTr="00C81A11">
        <w:tc>
          <w:tcPr>
            <w:tcW w:w="710" w:type="dxa"/>
            <w:vAlign w:val="center"/>
          </w:tcPr>
          <w:p w:rsidR="00C81A11" w:rsidRDefault="00C81A11" w:rsidP="00BC6BB4">
            <w:pPr>
              <w:jc w:val="center"/>
              <w:rPr>
                <w:rFonts w:ascii="Arial" w:hAnsi="Arial" w:cs="Arial"/>
                <w:b/>
                <w:sz w:val="24"/>
                <w:szCs w:val="24"/>
              </w:rPr>
            </w:pPr>
          </w:p>
        </w:tc>
        <w:tc>
          <w:tcPr>
            <w:tcW w:w="3550" w:type="dxa"/>
          </w:tcPr>
          <w:p w:rsidR="00C81A11" w:rsidRPr="00603CE3" w:rsidRDefault="00C81A11" w:rsidP="00BC6BB4">
            <w:pPr>
              <w:rPr>
                <w:rFonts w:ascii="Arial" w:hAnsi="Arial" w:cs="Arial"/>
                <w:b/>
                <w:sz w:val="24"/>
                <w:szCs w:val="24"/>
              </w:rPr>
            </w:pPr>
            <w:r w:rsidRPr="00603CE3">
              <w:rPr>
                <w:rFonts w:ascii="Arial" w:hAnsi="Arial" w:cs="Arial"/>
                <w:b/>
                <w:sz w:val="24"/>
                <w:szCs w:val="24"/>
              </w:rPr>
              <w:t>Non salary and non ring fenced</w:t>
            </w:r>
          </w:p>
        </w:tc>
        <w:tc>
          <w:tcPr>
            <w:tcW w:w="1416" w:type="dxa"/>
            <w:vAlign w:val="center"/>
          </w:tcPr>
          <w:p w:rsidR="00C81A11" w:rsidRDefault="00C81A11" w:rsidP="00BC6BB4">
            <w:pPr>
              <w:tabs>
                <w:tab w:val="left" w:pos="1380"/>
              </w:tabs>
              <w:ind w:right="459"/>
              <w:jc w:val="right"/>
              <w:rPr>
                <w:rFonts w:ascii="Arial" w:hAnsi="Arial" w:cs="Arial"/>
                <w:b/>
                <w:sz w:val="24"/>
                <w:szCs w:val="24"/>
              </w:rPr>
            </w:pPr>
          </w:p>
        </w:tc>
        <w:tc>
          <w:tcPr>
            <w:tcW w:w="1310" w:type="dxa"/>
            <w:vAlign w:val="center"/>
          </w:tcPr>
          <w:p w:rsidR="00C81A11" w:rsidRDefault="00C81A11" w:rsidP="00BC6BB4">
            <w:pPr>
              <w:jc w:val="center"/>
              <w:rPr>
                <w:rFonts w:ascii="Arial" w:hAnsi="Arial" w:cs="Arial"/>
                <w:sz w:val="24"/>
                <w:szCs w:val="24"/>
              </w:rPr>
            </w:pPr>
          </w:p>
        </w:tc>
        <w:tc>
          <w:tcPr>
            <w:tcW w:w="1264" w:type="dxa"/>
          </w:tcPr>
          <w:p w:rsidR="00C81A11" w:rsidRDefault="00C81A11" w:rsidP="00BC6BB4">
            <w:pPr>
              <w:jc w:val="center"/>
              <w:rPr>
                <w:rFonts w:ascii="Arial" w:hAnsi="Arial" w:cs="Arial"/>
                <w:sz w:val="24"/>
                <w:szCs w:val="24"/>
              </w:rPr>
            </w:pPr>
          </w:p>
        </w:tc>
        <w:tc>
          <w:tcPr>
            <w:tcW w:w="1310" w:type="dxa"/>
          </w:tcPr>
          <w:p w:rsidR="00C81A11" w:rsidRDefault="00C81A11" w:rsidP="00BC6BB4">
            <w:pPr>
              <w:jc w:val="center"/>
              <w:rPr>
                <w:rFonts w:ascii="Arial" w:hAnsi="Arial" w:cs="Arial"/>
                <w:sz w:val="24"/>
                <w:szCs w:val="24"/>
              </w:rPr>
            </w:pPr>
          </w:p>
        </w:tc>
      </w:tr>
      <w:tr w:rsidR="00C81A11" w:rsidTr="00C81A11">
        <w:tc>
          <w:tcPr>
            <w:tcW w:w="710" w:type="dxa"/>
            <w:vAlign w:val="center"/>
          </w:tcPr>
          <w:p w:rsidR="00C81A11" w:rsidRDefault="00C81A11" w:rsidP="00BC6BB4">
            <w:pPr>
              <w:jc w:val="center"/>
              <w:rPr>
                <w:rFonts w:ascii="Arial" w:hAnsi="Arial" w:cs="Arial"/>
                <w:sz w:val="24"/>
                <w:szCs w:val="24"/>
              </w:rPr>
            </w:pPr>
            <w:r>
              <w:rPr>
                <w:rFonts w:ascii="Arial" w:hAnsi="Arial" w:cs="Arial"/>
                <w:sz w:val="24"/>
                <w:szCs w:val="24"/>
              </w:rPr>
              <w:t>2</w:t>
            </w:r>
          </w:p>
        </w:tc>
        <w:tc>
          <w:tcPr>
            <w:tcW w:w="3550" w:type="dxa"/>
          </w:tcPr>
          <w:p w:rsidR="00C81A11" w:rsidRPr="00603CE3" w:rsidRDefault="00C81A11" w:rsidP="00BC6BB4">
            <w:pPr>
              <w:rPr>
                <w:rFonts w:ascii="Arial" w:hAnsi="Arial" w:cs="Arial"/>
                <w:sz w:val="24"/>
                <w:szCs w:val="24"/>
              </w:rPr>
            </w:pPr>
            <w:r w:rsidRPr="00603CE3">
              <w:rPr>
                <w:rFonts w:ascii="Arial" w:hAnsi="Arial" w:cs="Arial"/>
                <w:sz w:val="24"/>
                <w:szCs w:val="24"/>
              </w:rPr>
              <w:t>GAE</w:t>
            </w:r>
          </w:p>
        </w:tc>
        <w:tc>
          <w:tcPr>
            <w:tcW w:w="1416" w:type="dxa"/>
            <w:vAlign w:val="center"/>
          </w:tcPr>
          <w:p w:rsidR="00C81A11" w:rsidRDefault="00C81A11" w:rsidP="00BC6BB4">
            <w:pPr>
              <w:tabs>
                <w:tab w:val="left" w:pos="1380"/>
              </w:tabs>
              <w:ind w:right="459"/>
              <w:jc w:val="right"/>
              <w:rPr>
                <w:rFonts w:ascii="Arial" w:hAnsi="Arial" w:cs="Arial"/>
                <w:sz w:val="24"/>
                <w:szCs w:val="24"/>
              </w:rPr>
            </w:pPr>
            <w:r>
              <w:rPr>
                <w:rFonts w:ascii="Arial" w:hAnsi="Arial" w:cs="Arial"/>
                <w:sz w:val="24"/>
                <w:szCs w:val="24"/>
              </w:rPr>
              <w:t>1,843</w:t>
            </w:r>
          </w:p>
        </w:tc>
        <w:tc>
          <w:tcPr>
            <w:tcW w:w="1310" w:type="dxa"/>
            <w:vAlign w:val="center"/>
          </w:tcPr>
          <w:p w:rsidR="00C81A11" w:rsidRDefault="00C81A11" w:rsidP="00BC6BB4">
            <w:pPr>
              <w:jc w:val="center"/>
              <w:rPr>
                <w:rFonts w:ascii="Arial" w:hAnsi="Arial" w:cs="Arial"/>
                <w:sz w:val="24"/>
                <w:szCs w:val="24"/>
              </w:rPr>
            </w:pPr>
            <w:r>
              <w:rPr>
                <w:rFonts w:ascii="Arial" w:hAnsi="Arial" w:cs="Arial"/>
                <w:sz w:val="24"/>
                <w:szCs w:val="24"/>
              </w:rPr>
              <w:t>6</w:t>
            </w:r>
          </w:p>
        </w:tc>
        <w:tc>
          <w:tcPr>
            <w:tcW w:w="1264" w:type="dxa"/>
          </w:tcPr>
          <w:p w:rsidR="00C81A11" w:rsidRDefault="00C81A11" w:rsidP="00BC6BB4">
            <w:pPr>
              <w:jc w:val="center"/>
              <w:rPr>
                <w:rFonts w:ascii="Arial" w:hAnsi="Arial" w:cs="Arial"/>
                <w:sz w:val="24"/>
                <w:szCs w:val="24"/>
              </w:rPr>
            </w:pPr>
            <w:r>
              <w:rPr>
                <w:rFonts w:ascii="Arial" w:hAnsi="Arial" w:cs="Arial"/>
                <w:sz w:val="24"/>
                <w:szCs w:val="24"/>
              </w:rPr>
              <w:t>1,849</w:t>
            </w:r>
          </w:p>
        </w:tc>
        <w:tc>
          <w:tcPr>
            <w:tcW w:w="1310" w:type="dxa"/>
          </w:tcPr>
          <w:p w:rsidR="00C81A11" w:rsidRDefault="00C81A11" w:rsidP="00BC6BB4">
            <w:pPr>
              <w:jc w:val="center"/>
              <w:rPr>
                <w:rFonts w:ascii="Arial" w:hAnsi="Arial" w:cs="Arial"/>
                <w:sz w:val="24"/>
                <w:szCs w:val="24"/>
              </w:rPr>
            </w:pPr>
          </w:p>
        </w:tc>
      </w:tr>
      <w:tr w:rsidR="00C81A11" w:rsidTr="00C81A11">
        <w:tc>
          <w:tcPr>
            <w:tcW w:w="710" w:type="dxa"/>
            <w:vAlign w:val="center"/>
          </w:tcPr>
          <w:p w:rsidR="00C81A11" w:rsidRDefault="00C81A11" w:rsidP="00BC6BB4">
            <w:pPr>
              <w:jc w:val="center"/>
              <w:rPr>
                <w:rFonts w:ascii="Arial" w:hAnsi="Arial" w:cs="Arial"/>
                <w:sz w:val="24"/>
                <w:szCs w:val="24"/>
              </w:rPr>
            </w:pPr>
            <w:r>
              <w:rPr>
                <w:rFonts w:ascii="Arial" w:hAnsi="Arial" w:cs="Arial"/>
                <w:sz w:val="24"/>
                <w:szCs w:val="24"/>
              </w:rPr>
              <w:t>3</w:t>
            </w:r>
          </w:p>
        </w:tc>
        <w:tc>
          <w:tcPr>
            <w:tcW w:w="3550" w:type="dxa"/>
          </w:tcPr>
          <w:p w:rsidR="00C81A11" w:rsidRPr="00603CE3" w:rsidRDefault="00C81A11" w:rsidP="00BC6BB4">
            <w:pPr>
              <w:rPr>
                <w:rFonts w:ascii="Arial" w:hAnsi="Arial" w:cs="Arial"/>
                <w:sz w:val="24"/>
                <w:szCs w:val="24"/>
              </w:rPr>
            </w:pPr>
            <w:r w:rsidRPr="00603CE3">
              <w:rPr>
                <w:rFonts w:ascii="Arial" w:hAnsi="Arial" w:cs="Arial"/>
                <w:sz w:val="24"/>
                <w:szCs w:val="24"/>
              </w:rPr>
              <w:t>Contracted Services</w:t>
            </w:r>
          </w:p>
        </w:tc>
        <w:tc>
          <w:tcPr>
            <w:tcW w:w="1416" w:type="dxa"/>
            <w:vAlign w:val="center"/>
          </w:tcPr>
          <w:p w:rsidR="00C81A11" w:rsidRDefault="00C81A11" w:rsidP="00BC6BB4">
            <w:pPr>
              <w:tabs>
                <w:tab w:val="left" w:pos="1380"/>
              </w:tabs>
              <w:ind w:right="459"/>
              <w:jc w:val="right"/>
              <w:rPr>
                <w:rFonts w:ascii="Arial" w:hAnsi="Arial" w:cs="Arial"/>
                <w:sz w:val="24"/>
                <w:szCs w:val="24"/>
              </w:rPr>
            </w:pPr>
            <w:r>
              <w:rPr>
                <w:rFonts w:ascii="Arial" w:hAnsi="Arial" w:cs="Arial"/>
                <w:sz w:val="24"/>
                <w:szCs w:val="24"/>
              </w:rPr>
              <w:t>4,086</w:t>
            </w:r>
          </w:p>
        </w:tc>
        <w:tc>
          <w:tcPr>
            <w:tcW w:w="1310" w:type="dxa"/>
            <w:vAlign w:val="center"/>
          </w:tcPr>
          <w:p w:rsidR="00C81A11" w:rsidRDefault="00C81A11" w:rsidP="00BC6BB4">
            <w:pPr>
              <w:jc w:val="center"/>
              <w:rPr>
                <w:rFonts w:ascii="Arial" w:hAnsi="Arial" w:cs="Arial"/>
                <w:sz w:val="24"/>
                <w:szCs w:val="24"/>
              </w:rPr>
            </w:pPr>
            <w:r>
              <w:rPr>
                <w:rFonts w:ascii="Arial" w:hAnsi="Arial" w:cs="Arial"/>
                <w:sz w:val="24"/>
                <w:szCs w:val="24"/>
              </w:rPr>
              <w:t>13</w:t>
            </w:r>
          </w:p>
        </w:tc>
        <w:tc>
          <w:tcPr>
            <w:tcW w:w="1264" w:type="dxa"/>
          </w:tcPr>
          <w:p w:rsidR="00C81A11" w:rsidRDefault="00C81A11" w:rsidP="00BC6BB4">
            <w:pPr>
              <w:jc w:val="center"/>
              <w:rPr>
                <w:rFonts w:ascii="Arial" w:hAnsi="Arial" w:cs="Arial"/>
                <w:sz w:val="24"/>
                <w:szCs w:val="24"/>
              </w:rPr>
            </w:pPr>
            <w:r>
              <w:rPr>
                <w:rFonts w:ascii="Arial" w:hAnsi="Arial" w:cs="Arial"/>
                <w:sz w:val="24"/>
                <w:szCs w:val="24"/>
              </w:rPr>
              <w:t>4,217</w:t>
            </w:r>
          </w:p>
        </w:tc>
        <w:tc>
          <w:tcPr>
            <w:tcW w:w="1310" w:type="dxa"/>
          </w:tcPr>
          <w:p w:rsidR="00C81A11" w:rsidRDefault="00C81A11" w:rsidP="00BC6BB4">
            <w:pPr>
              <w:jc w:val="center"/>
              <w:rPr>
                <w:rFonts w:ascii="Arial" w:hAnsi="Arial" w:cs="Arial"/>
                <w:sz w:val="24"/>
                <w:szCs w:val="24"/>
              </w:rPr>
            </w:pPr>
          </w:p>
        </w:tc>
      </w:tr>
      <w:tr w:rsidR="00C81A11" w:rsidTr="00C81A11">
        <w:tc>
          <w:tcPr>
            <w:tcW w:w="710" w:type="dxa"/>
            <w:vAlign w:val="center"/>
          </w:tcPr>
          <w:p w:rsidR="00C81A11" w:rsidRDefault="00C81A11" w:rsidP="00BC6BB4">
            <w:pPr>
              <w:jc w:val="center"/>
              <w:rPr>
                <w:rFonts w:ascii="Arial" w:hAnsi="Arial" w:cs="Arial"/>
                <w:sz w:val="24"/>
                <w:szCs w:val="24"/>
              </w:rPr>
            </w:pPr>
            <w:r>
              <w:rPr>
                <w:rFonts w:ascii="Arial" w:hAnsi="Arial" w:cs="Arial"/>
                <w:sz w:val="24"/>
                <w:szCs w:val="24"/>
              </w:rPr>
              <w:t>4</w:t>
            </w:r>
          </w:p>
        </w:tc>
        <w:tc>
          <w:tcPr>
            <w:tcW w:w="3550" w:type="dxa"/>
          </w:tcPr>
          <w:p w:rsidR="00C81A11" w:rsidRPr="00603CE3" w:rsidRDefault="00C81A11" w:rsidP="00BC6BB4">
            <w:pPr>
              <w:rPr>
                <w:rFonts w:ascii="Arial" w:hAnsi="Arial" w:cs="Arial"/>
                <w:sz w:val="24"/>
                <w:szCs w:val="24"/>
              </w:rPr>
            </w:pPr>
            <w:r w:rsidRPr="00603CE3">
              <w:rPr>
                <w:rFonts w:ascii="Arial" w:hAnsi="Arial" w:cs="Arial"/>
                <w:sz w:val="24"/>
                <w:szCs w:val="24"/>
              </w:rPr>
              <w:t>Grants</w:t>
            </w:r>
          </w:p>
        </w:tc>
        <w:tc>
          <w:tcPr>
            <w:tcW w:w="1416" w:type="dxa"/>
            <w:vAlign w:val="center"/>
          </w:tcPr>
          <w:p w:rsidR="00C81A11" w:rsidRDefault="00C81A11" w:rsidP="00BC6BB4">
            <w:pPr>
              <w:tabs>
                <w:tab w:val="left" w:pos="1380"/>
              </w:tabs>
              <w:ind w:right="459"/>
              <w:jc w:val="right"/>
              <w:rPr>
                <w:rFonts w:ascii="Arial" w:hAnsi="Arial" w:cs="Arial"/>
                <w:sz w:val="24"/>
                <w:szCs w:val="24"/>
              </w:rPr>
            </w:pPr>
            <w:r>
              <w:rPr>
                <w:rFonts w:ascii="Arial" w:hAnsi="Arial" w:cs="Arial"/>
                <w:sz w:val="24"/>
                <w:szCs w:val="24"/>
              </w:rPr>
              <w:t>2,713</w:t>
            </w:r>
          </w:p>
        </w:tc>
        <w:tc>
          <w:tcPr>
            <w:tcW w:w="1310" w:type="dxa"/>
            <w:vAlign w:val="center"/>
          </w:tcPr>
          <w:p w:rsidR="00C81A11" w:rsidRDefault="00C81A11" w:rsidP="00BC6BB4">
            <w:pPr>
              <w:jc w:val="center"/>
              <w:rPr>
                <w:rFonts w:ascii="Arial" w:hAnsi="Arial" w:cs="Arial"/>
                <w:sz w:val="24"/>
                <w:szCs w:val="24"/>
              </w:rPr>
            </w:pPr>
            <w:r>
              <w:rPr>
                <w:rFonts w:ascii="Arial" w:hAnsi="Arial" w:cs="Arial"/>
                <w:sz w:val="24"/>
                <w:szCs w:val="24"/>
              </w:rPr>
              <w:t>9</w:t>
            </w:r>
          </w:p>
        </w:tc>
        <w:tc>
          <w:tcPr>
            <w:tcW w:w="1264" w:type="dxa"/>
          </w:tcPr>
          <w:p w:rsidR="00C81A11" w:rsidRDefault="00C81A11" w:rsidP="00BC6BB4">
            <w:pPr>
              <w:jc w:val="center"/>
              <w:rPr>
                <w:rFonts w:ascii="Arial" w:hAnsi="Arial" w:cs="Arial"/>
                <w:sz w:val="24"/>
                <w:szCs w:val="24"/>
              </w:rPr>
            </w:pPr>
            <w:r>
              <w:rPr>
                <w:rFonts w:ascii="Arial" w:hAnsi="Arial" w:cs="Arial"/>
                <w:sz w:val="24"/>
                <w:szCs w:val="24"/>
              </w:rPr>
              <w:t>2,356</w:t>
            </w:r>
          </w:p>
        </w:tc>
        <w:tc>
          <w:tcPr>
            <w:tcW w:w="1310" w:type="dxa"/>
          </w:tcPr>
          <w:p w:rsidR="00C81A11" w:rsidRDefault="00C81A11" w:rsidP="00BC6BB4">
            <w:pPr>
              <w:jc w:val="center"/>
              <w:rPr>
                <w:rFonts w:ascii="Arial" w:hAnsi="Arial" w:cs="Arial"/>
                <w:sz w:val="24"/>
                <w:szCs w:val="24"/>
              </w:rPr>
            </w:pPr>
          </w:p>
        </w:tc>
      </w:tr>
      <w:tr w:rsidR="00C81A11" w:rsidTr="00C81A11">
        <w:tc>
          <w:tcPr>
            <w:tcW w:w="710" w:type="dxa"/>
            <w:vAlign w:val="center"/>
          </w:tcPr>
          <w:p w:rsidR="00C81A11" w:rsidRDefault="00C81A11" w:rsidP="00BC6BB4">
            <w:pPr>
              <w:jc w:val="center"/>
              <w:rPr>
                <w:rFonts w:ascii="Arial" w:hAnsi="Arial" w:cs="Arial"/>
                <w:b/>
                <w:sz w:val="24"/>
                <w:szCs w:val="24"/>
              </w:rPr>
            </w:pPr>
          </w:p>
        </w:tc>
        <w:tc>
          <w:tcPr>
            <w:tcW w:w="3550" w:type="dxa"/>
          </w:tcPr>
          <w:p w:rsidR="00C81A11" w:rsidRPr="00603CE3" w:rsidRDefault="00C81A11" w:rsidP="00BC6BB4">
            <w:pPr>
              <w:rPr>
                <w:rFonts w:ascii="Arial" w:hAnsi="Arial" w:cs="Arial"/>
                <w:b/>
                <w:sz w:val="24"/>
                <w:szCs w:val="24"/>
              </w:rPr>
            </w:pPr>
            <w:r w:rsidRPr="00603CE3">
              <w:rPr>
                <w:rFonts w:ascii="Arial" w:hAnsi="Arial" w:cs="Arial"/>
                <w:b/>
                <w:sz w:val="24"/>
                <w:szCs w:val="24"/>
              </w:rPr>
              <w:t>Sub Total</w:t>
            </w:r>
          </w:p>
        </w:tc>
        <w:tc>
          <w:tcPr>
            <w:tcW w:w="1416" w:type="dxa"/>
            <w:vAlign w:val="center"/>
          </w:tcPr>
          <w:p w:rsidR="00C81A11" w:rsidRDefault="00C81A11" w:rsidP="00BC6BB4">
            <w:pPr>
              <w:tabs>
                <w:tab w:val="left" w:pos="1380"/>
              </w:tabs>
              <w:ind w:right="459"/>
              <w:jc w:val="right"/>
              <w:rPr>
                <w:rFonts w:ascii="Arial" w:hAnsi="Arial" w:cs="Arial"/>
                <w:b/>
                <w:sz w:val="24"/>
                <w:szCs w:val="24"/>
              </w:rPr>
            </w:pPr>
            <w:r>
              <w:rPr>
                <w:rFonts w:ascii="Arial" w:hAnsi="Arial" w:cs="Arial"/>
                <w:b/>
                <w:sz w:val="24"/>
                <w:szCs w:val="24"/>
              </w:rPr>
              <w:t>8,642</w:t>
            </w:r>
          </w:p>
        </w:tc>
        <w:tc>
          <w:tcPr>
            <w:tcW w:w="1310" w:type="dxa"/>
            <w:vAlign w:val="center"/>
          </w:tcPr>
          <w:p w:rsidR="00C81A11" w:rsidRDefault="00C81A11" w:rsidP="00BC6BB4">
            <w:pPr>
              <w:jc w:val="center"/>
              <w:rPr>
                <w:rFonts w:ascii="Arial" w:hAnsi="Arial" w:cs="Arial"/>
                <w:b/>
                <w:sz w:val="24"/>
                <w:szCs w:val="24"/>
              </w:rPr>
            </w:pPr>
          </w:p>
        </w:tc>
        <w:tc>
          <w:tcPr>
            <w:tcW w:w="1264" w:type="dxa"/>
          </w:tcPr>
          <w:p w:rsidR="00C81A11" w:rsidRDefault="00C81A11" w:rsidP="00BC6BB4">
            <w:pPr>
              <w:jc w:val="center"/>
              <w:rPr>
                <w:rFonts w:ascii="Arial" w:hAnsi="Arial" w:cs="Arial"/>
                <w:b/>
                <w:sz w:val="24"/>
                <w:szCs w:val="24"/>
              </w:rPr>
            </w:pPr>
            <w:r>
              <w:rPr>
                <w:rFonts w:ascii="Arial" w:hAnsi="Arial" w:cs="Arial"/>
                <w:b/>
                <w:sz w:val="24"/>
                <w:szCs w:val="24"/>
              </w:rPr>
              <w:t>8,422</w:t>
            </w:r>
          </w:p>
        </w:tc>
        <w:tc>
          <w:tcPr>
            <w:tcW w:w="1310" w:type="dxa"/>
          </w:tcPr>
          <w:p w:rsidR="00C81A11" w:rsidRDefault="00C81A11" w:rsidP="00BC6BB4">
            <w:pPr>
              <w:jc w:val="center"/>
              <w:rPr>
                <w:rFonts w:ascii="Arial" w:hAnsi="Arial" w:cs="Arial"/>
                <w:b/>
                <w:sz w:val="24"/>
                <w:szCs w:val="24"/>
              </w:rPr>
            </w:pPr>
            <w:r>
              <w:rPr>
                <w:rFonts w:ascii="Arial" w:hAnsi="Arial" w:cs="Arial"/>
                <w:b/>
                <w:sz w:val="24"/>
                <w:szCs w:val="24"/>
              </w:rPr>
              <w:t>27</w:t>
            </w:r>
          </w:p>
        </w:tc>
      </w:tr>
      <w:tr w:rsidR="00C81A11" w:rsidTr="00C81A11">
        <w:tc>
          <w:tcPr>
            <w:tcW w:w="710" w:type="dxa"/>
            <w:vAlign w:val="center"/>
          </w:tcPr>
          <w:p w:rsidR="00C81A11" w:rsidRDefault="00C81A11" w:rsidP="00BC6BB4">
            <w:pPr>
              <w:jc w:val="center"/>
              <w:rPr>
                <w:rFonts w:ascii="Arial" w:hAnsi="Arial" w:cs="Arial"/>
                <w:b/>
                <w:sz w:val="24"/>
                <w:szCs w:val="24"/>
              </w:rPr>
            </w:pPr>
          </w:p>
        </w:tc>
        <w:tc>
          <w:tcPr>
            <w:tcW w:w="3550" w:type="dxa"/>
          </w:tcPr>
          <w:p w:rsidR="00C81A11" w:rsidRPr="00603CE3" w:rsidRDefault="00C81A11" w:rsidP="00BC6BB4">
            <w:pPr>
              <w:rPr>
                <w:rFonts w:ascii="Arial" w:hAnsi="Arial" w:cs="Arial"/>
                <w:b/>
                <w:sz w:val="24"/>
                <w:szCs w:val="24"/>
              </w:rPr>
            </w:pPr>
            <w:r w:rsidRPr="00603CE3">
              <w:rPr>
                <w:rFonts w:ascii="Arial" w:hAnsi="Arial" w:cs="Arial"/>
                <w:b/>
                <w:sz w:val="24"/>
                <w:szCs w:val="24"/>
              </w:rPr>
              <w:t>Gross Budgets allocated</w:t>
            </w:r>
          </w:p>
        </w:tc>
        <w:tc>
          <w:tcPr>
            <w:tcW w:w="1416" w:type="dxa"/>
            <w:vAlign w:val="center"/>
          </w:tcPr>
          <w:p w:rsidR="00C81A11" w:rsidRDefault="00C81A11" w:rsidP="00BC6BB4">
            <w:pPr>
              <w:tabs>
                <w:tab w:val="left" w:pos="1380"/>
              </w:tabs>
              <w:ind w:right="459"/>
              <w:jc w:val="right"/>
              <w:rPr>
                <w:rFonts w:ascii="Arial" w:hAnsi="Arial" w:cs="Arial"/>
                <w:b/>
                <w:sz w:val="24"/>
                <w:szCs w:val="24"/>
              </w:rPr>
            </w:pPr>
            <w:r>
              <w:rPr>
                <w:rFonts w:ascii="Arial" w:hAnsi="Arial" w:cs="Arial"/>
                <w:b/>
                <w:sz w:val="24"/>
                <w:szCs w:val="24"/>
              </w:rPr>
              <w:t>30,816</w:t>
            </w:r>
          </w:p>
        </w:tc>
        <w:tc>
          <w:tcPr>
            <w:tcW w:w="1310" w:type="dxa"/>
            <w:vAlign w:val="center"/>
          </w:tcPr>
          <w:p w:rsidR="00C81A11" w:rsidRDefault="00C81A11" w:rsidP="00BC6BB4">
            <w:pPr>
              <w:jc w:val="center"/>
              <w:rPr>
                <w:rFonts w:ascii="Arial" w:hAnsi="Arial" w:cs="Arial"/>
                <w:b/>
                <w:sz w:val="24"/>
                <w:szCs w:val="24"/>
              </w:rPr>
            </w:pPr>
            <w:r>
              <w:rPr>
                <w:rFonts w:ascii="Arial" w:hAnsi="Arial" w:cs="Arial"/>
                <w:b/>
                <w:sz w:val="24"/>
                <w:szCs w:val="24"/>
              </w:rPr>
              <w:t>100</w:t>
            </w:r>
          </w:p>
        </w:tc>
        <w:tc>
          <w:tcPr>
            <w:tcW w:w="1264" w:type="dxa"/>
          </w:tcPr>
          <w:p w:rsidR="00C81A11" w:rsidRDefault="00C81A11" w:rsidP="00BC6BB4">
            <w:pPr>
              <w:jc w:val="center"/>
              <w:rPr>
                <w:rFonts w:ascii="Arial" w:hAnsi="Arial" w:cs="Arial"/>
                <w:b/>
                <w:sz w:val="24"/>
                <w:szCs w:val="24"/>
              </w:rPr>
            </w:pPr>
            <w:r>
              <w:rPr>
                <w:rFonts w:ascii="Arial" w:hAnsi="Arial" w:cs="Arial"/>
                <w:b/>
                <w:sz w:val="24"/>
                <w:szCs w:val="24"/>
              </w:rPr>
              <w:t>31,221</w:t>
            </w:r>
          </w:p>
        </w:tc>
        <w:tc>
          <w:tcPr>
            <w:tcW w:w="1310" w:type="dxa"/>
          </w:tcPr>
          <w:p w:rsidR="00C81A11" w:rsidRDefault="00C81A11" w:rsidP="00BC6BB4">
            <w:pPr>
              <w:jc w:val="center"/>
              <w:rPr>
                <w:rFonts w:ascii="Arial" w:hAnsi="Arial" w:cs="Arial"/>
                <w:b/>
                <w:sz w:val="24"/>
                <w:szCs w:val="24"/>
              </w:rPr>
            </w:pPr>
            <w:r>
              <w:rPr>
                <w:rFonts w:ascii="Arial" w:hAnsi="Arial" w:cs="Arial"/>
                <w:b/>
                <w:sz w:val="24"/>
                <w:szCs w:val="24"/>
              </w:rPr>
              <w:t>100</w:t>
            </w:r>
          </w:p>
        </w:tc>
      </w:tr>
      <w:tr w:rsidR="00C81A11" w:rsidTr="00C81A11">
        <w:tc>
          <w:tcPr>
            <w:tcW w:w="710" w:type="dxa"/>
            <w:vAlign w:val="center"/>
          </w:tcPr>
          <w:p w:rsidR="00C81A11" w:rsidRDefault="00C81A11" w:rsidP="00BC6BB4">
            <w:pPr>
              <w:jc w:val="center"/>
              <w:rPr>
                <w:rFonts w:ascii="Arial" w:hAnsi="Arial" w:cs="Arial"/>
                <w:b/>
                <w:sz w:val="24"/>
                <w:szCs w:val="24"/>
              </w:rPr>
            </w:pPr>
          </w:p>
        </w:tc>
        <w:tc>
          <w:tcPr>
            <w:tcW w:w="3550" w:type="dxa"/>
          </w:tcPr>
          <w:p w:rsidR="00C81A11" w:rsidRPr="00603CE3" w:rsidRDefault="00C81A11" w:rsidP="00BC6BB4">
            <w:pPr>
              <w:rPr>
                <w:rFonts w:ascii="Arial" w:hAnsi="Arial" w:cs="Arial"/>
                <w:b/>
                <w:sz w:val="24"/>
                <w:szCs w:val="24"/>
              </w:rPr>
            </w:pPr>
          </w:p>
        </w:tc>
        <w:tc>
          <w:tcPr>
            <w:tcW w:w="1416" w:type="dxa"/>
            <w:vAlign w:val="center"/>
          </w:tcPr>
          <w:p w:rsidR="00C81A11" w:rsidRDefault="00C81A11" w:rsidP="00BC6BB4">
            <w:pPr>
              <w:tabs>
                <w:tab w:val="left" w:pos="1380"/>
              </w:tabs>
              <w:ind w:right="459"/>
              <w:jc w:val="right"/>
              <w:rPr>
                <w:rFonts w:ascii="Arial" w:hAnsi="Arial" w:cs="Arial"/>
                <w:b/>
                <w:sz w:val="24"/>
                <w:szCs w:val="24"/>
              </w:rPr>
            </w:pPr>
          </w:p>
        </w:tc>
        <w:tc>
          <w:tcPr>
            <w:tcW w:w="1310" w:type="dxa"/>
            <w:vAlign w:val="center"/>
          </w:tcPr>
          <w:p w:rsidR="00C81A11" w:rsidRDefault="00C81A11" w:rsidP="00BC6BB4">
            <w:pPr>
              <w:jc w:val="center"/>
              <w:rPr>
                <w:rFonts w:ascii="Arial" w:hAnsi="Arial" w:cs="Arial"/>
                <w:b/>
                <w:sz w:val="24"/>
                <w:szCs w:val="24"/>
              </w:rPr>
            </w:pPr>
          </w:p>
        </w:tc>
        <w:tc>
          <w:tcPr>
            <w:tcW w:w="1264" w:type="dxa"/>
          </w:tcPr>
          <w:p w:rsidR="00C81A11" w:rsidRDefault="00C81A11" w:rsidP="00BC6BB4">
            <w:pPr>
              <w:jc w:val="center"/>
              <w:rPr>
                <w:rFonts w:ascii="Arial" w:hAnsi="Arial" w:cs="Arial"/>
                <w:b/>
                <w:sz w:val="24"/>
                <w:szCs w:val="24"/>
              </w:rPr>
            </w:pPr>
          </w:p>
        </w:tc>
        <w:tc>
          <w:tcPr>
            <w:tcW w:w="1310" w:type="dxa"/>
          </w:tcPr>
          <w:p w:rsidR="00C81A11" w:rsidRDefault="00C81A11" w:rsidP="00BC6BB4">
            <w:pPr>
              <w:jc w:val="center"/>
              <w:rPr>
                <w:rFonts w:ascii="Arial" w:hAnsi="Arial" w:cs="Arial"/>
                <w:b/>
                <w:sz w:val="24"/>
                <w:szCs w:val="24"/>
              </w:rPr>
            </w:pPr>
          </w:p>
        </w:tc>
      </w:tr>
      <w:tr w:rsidR="00C81A11" w:rsidTr="00C81A11">
        <w:tc>
          <w:tcPr>
            <w:tcW w:w="710" w:type="dxa"/>
            <w:vAlign w:val="center"/>
          </w:tcPr>
          <w:p w:rsidR="00C81A11" w:rsidRDefault="00C81A11" w:rsidP="00BC6BB4">
            <w:pPr>
              <w:jc w:val="center"/>
              <w:rPr>
                <w:rFonts w:ascii="Arial" w:hAnsi="Arial" w:cs="Arial"/>
                <w:b/>
                <w:sz w:val="24"/>
                <w:szCs w:val="24"/>
              </w:rPr>
            </w:pPr>
          </w:p>
        </w:tc>
        <w:tc>
          <w:tcPr>
            <w:tcW w:w="3550" w:type="dxa"/>
          </w:tcPr>
          <w:p w:rsidR="00C81A11" w:rsidRPr="00603CE3" w:rsidRDefault="00C81A11" w:rsidP="00BC6BB4">
            <w:pPr>
              <w:rPr>
                <w:rFonts w:ascii="Arial" w:hAnsi="Arial" w:cs="Arial"/>
                <w:b/>
                <w:sz w:val="24"/>
                <w:szCs w:val="24"/>
              </w:rPr>
            </w:pPr>
            <w:r w:rsidRPr="00603CE3">
              <w:rPr>
                <w:rFonts w:ascii="Arial" w:hAnsi="Arial" w:cs="Arial"/>
                <w:b/>
                <w:sz w:val="24"/>
                <w:szCs w:val="24"/>
              </w:rPr>
              <w:t>Funded By:</w:t>
            </w:r>
          </w:p>
        </w:tc>
        <w:tc>
          <w:tcPr>
            <w:tcW w:w="1416" w:type="dxa"/>
            <w:vAlign w:val="center"/>
          </w:tcPr>
          <w:p w:rsidR="00C81A11" w:rsidRDefault="00C81A11" w:rsidP="00BC6BB4">
            <w:pPr>
              <w:tabs>
                <w:tab w:val="left" w:pos="1380"/>
              </w:tabs>
              <w:ind w:right="459"/>
              <w:jc w:val="right"/>
              <w:rPr>
                <w:rFonts w:ascii="Arial" w:hAnsi="Arial" w:cs="Arial"/>
                <w:sz w:val="24"/>
                <w:szCs w:val="24"/>
              </w:rPr>
            </w:pPr>
          </w:p>
        </w:tc>
        <w:tc>
          <w:tcPr>
            <w:tcW w:w="1310" w:type="dxa"/>
            <w:vAlign w:val="center"/>
          </w:tcPr>
          <w:p w:rsidR="00C81A11" w:rsidRDefault="00C81A11" w:rsidP="00BC6BB4">
            <w:pPr>
              <w:jc w:val="center"/>
              <w:rPr>
                <w:rFonts w:ascii="Arial" w:hAnsi="Arial" w:cs="Arial"/>
                <w:sz w:val="24"/>
                <w:szCs w:val="24"/>
              </w:rPr>
            </w:pPr>
          </w:p>
        </w:tc>
        <w:tc>
          <w:tcPr>
            <w:tcW w:w="1264" w:type="dxa"/>
          </w:tcPr>
          <w:p w:rsidR="00C81A11" w:rsidRDefault="00C81A11" w:rsidP="00BC6BB4">
            <w:pPr>
              <w:jc w:val="center"/>
              <w:rPr>
                <w:rFonts w:ascii="Arial" w:hAnsi="Arial" w:cs="Arial"/>
                <w:sz w:val="24"/>
                <w:szCs w:val="24"/>
              </w:rPr>
            </w:pPr>
          </w:p>
        </w:tc>
        <w:tc>
          <w:tcPr>
            <w:tcW w:w="1310" w:type="dxa"/>
          </w:tcPr>
          <w:p w:rsidR="00C81A11" w:rsidRDefault="00C81A11" w:rsidP="00BC6BB4">
            <w:pPr>
              <w:jc w:val="center"/>
              <w:rPr>
                <w:rFonts w:ascii="Arial" w:hAnsi="Arial" w:cs="Arial"/>
                <w:sz w:val="24"/>
                <w:szCs w:val="24"/>
              </w:rPr>
            </w:pPr>
          </w:p>
        </w:tc>
      </w:tr>
      <w:tr w:rsidR="00C81A11" w:rsidTr="00C81A11">
        <w:tc>
          <w:tcPr>
            <w:tcW w:w="710" w:type="dxa"/>
            <w:vAlign w:val="center"/>
          </w:tcPr>
          <w:p w:rsidR="00C81A11" w:rsidRDefault="00C81A11" w:rsidP="00BC6BB4">
            <w:pPr>
              <w:jc w:val="center"/>
              <w:rPr>
                <w:rFonts w:ascii="Arial" w:hAnsi="Arial" w:cs="Arial"/>
                <w:sz w:val="24"/>
                <w:szCs w:val="24"/>
              </w:rPr>
            </w:pPr>
          </w:p>
        </w:tc>
        <w:tc>
          <w:tcPr>
            <w:tcW w:w="3550" w:type="dxa"/>
          </w:tcPr>
          <w:p w:rsidR="00C81A11" w:rsidRPr="00603CE3" w:rsidRDefault="00C81A11" w:rsidP="00BC6BB4">
            <w:pPr>
              <w:rPr>
                <w:rFonts w:ascii="Arial" w:hAnsi="Arial" w:cs="Arial"/>
                <w:sz w:val="24"/>
                <w:szCs w:val="24"/>
              </w:rPr>
            </w:pPr>
            <w:r w:rsidRPr="00603CE3">
              <w:rPr>
                <w:rFonts w:ascii="Arial" w:hAnsi="Arial" w:cs="Arial"/>
                <w:sz w:val="24"/>
                <w:szCs w:val="24"/>
              </w:rPr>
              <w:t>I</w:t>
            </w:r>
            <w:r w:rsidRPr="00603CE3">
              <w:rPr>
                <w:rFonts w:ascii="Arial" w:hAnsi="Arial" w:cs="Arial"/>
                <w:b/>
                <w:sz w:val="24"/>
                <w:szCs w:val="24"/>
              </w:rPr>
              <w:t>ncome</w:t>
            </w:r>
          </w:p>
        </w:tc>
        <w:tc>
          <w:tcPr>
            <w:tcW w:w="1416" w:type="dxa"/>
            <w:vAlign w:val="center"/>
          </w:tcPr>
          <w:p w:rsidR="00C81A11" w:rsidRDefault="00C81A11" w:rsidP="00BC6BB4">
            <w:pPr>
              <w:tabs>
                <w:tab w:val="left" w:pos="1380"/>
              </w:tabs>
              <w:ind w:right="459"/>
              <w:jc w:val="right"/>
              <w:rPr>
                <w:rFonts w:ascii="Arial" w:hAnsi="Arial" w:cs="Arial"/>
                <w:sz w:val="24"/>
                <w:szCs w:val="24"/>
              </w:rPr>
            </w:pPr>
          </w:p>
        </w:tc>
        <w:tc>
          <w:tcPr>
            <w:tcW w:w="1310" w:type="dxa"/>
            <w:vAlign w:val="center"/>
          </w:tcPr>
          <w:p w:rsidR="00C81A11" w:rsidRDefault="00C81A11" w:rsidP="00BC6BB4">
            <w:pPr>
              <w:jc w:val="center"/>
              <w:rPr>
                <w:rFonts w:ascii="Arial" w:hAnsi="Arial" w:cs="Arial"/>
                <w:sz w:val="24"/>
                <w:szCs w:val="24"/>
              </w:rPr>
            </w:pPr>
          </w:p>
        </w:tc>
        <w:tc>
          <w:tcPr>
            <w:tcW w:w="1264" w:type="dxa"/>
          </w:tcPr>
          <w:p w:rsidR="00C81A11" w:rsidRDefault="00C81A11" w:rsidP="00BC6BB4">
            <w:pPr>
              <w:jc w:val="center"/>
              <w:rPr>
                <w:rFonts w:ascii="Arial" w:hAnsi="Arial" w:cs="Arial"/>
                <w:sz w:val="24"/>
                <w:szCs w:val="24"/>
              </w:rPr>
            </w:pPr>
          </w:p>
        </w:tc>
        <w:tc>
          <w:tcPr>
            <w:tcW w:w="1310" w:type="dxa"/>
          </w:tcPr>
          <w:p w:rsidR="00C81A11" w:rsidRDefault="00C81A11" w:rsidP="00BC6BB4">
            <w:pPr>
              <w:jc w:val="center"/>
              <w:rPr>
                <w:rFonts w:ascii="Arial" w:hAnsi="Arial" w:cs="Arial"/>
                <w:sz w:val="24"/>
                <w:szCs w:val="24"/>
              </w:rPr>
            </w:pPr>
          </w:p>
        </w:tc>
      </w:tr>
      <w:tr w:rsidR="00C81A11" w:rsidTr="00C81A11">
        <w:tc>
          <w:tcPr>
            <w:tcW w:w="710" w:type="dxa"/>
            <w:vAlign w:val="center"/>
          </w:tcPr>
          <w:p w:rsidR="00C81A11" w:rsidRDefault="00C81A11" w:rsidP="00BC6BB4">
            <w:pPr>
              <w:jc w:val="center"/>
              <w:rPr>
                <w:rFonts w:ascii="Arial" w:hAnsi="Arial" w:cs="Arial"/>
                <w:sz w:val="24"/>
                <w:szCs w:val="24"/>
              </w:rPr>
            </w:pPr>
          </w:p>
        </w:tc>
        <w:tc>
          <w:tcPr>
            <w:tcW w:w="3550" w:type="dxa"/>
          </w:tcPr>
          <w:p w:rsidR="00C81A11" w:rsidRPr="00603CE3" w:rsidRDefault="00C81A11" w:rsidP="00BC6BB4">
            <w:pPr>
              <w:rPr>
                <w:rFonts w:ascii="Arial" w:hAnsi="Arial" w:cs="Arial"/>
                <w:sz w:val="24"/>
                <w:szCs w:val="24"/>
              </w:rPr>
            </w:pPr>
            <w:r w:rsidRPr="00603CE3">
              <w:rPr>
                <w:rFonts w:ascii="Arial" w:hAnsi="Arial" w:cs="Arial"/>
                <w:sz w:val="24"/>
                <w:szCs w:val="24"/>
              </w:rPr>
              <w:t>Regulatory &amp; Commercial</w:t>
            </w:r>
          </w:p>
        </w:tc>
        <w:tc>
          <w:tcPr>
            <w:tcW w:w="1416" w:type="dxa"/>
            <w:vAlign w:val="center"/>
          </w:tcPr>
          <w:p w:rsidR="00C81A11" w:rsidRDefault="00C81A11" w:rsidP="00BC6BB4">
            <w:pPr>
              <w:tabs>
                <w:tab w:val="left" w:pos="1380"/>
              </w:tabs>
              <w:ind w:right="459"/>
              <w:jc w:val="right"/>
              <w:rPr>
                <w:rFonts w:ascii="Arial" w:hAnsi="Arial" w:cs="Arial"/>
                <w:sz w:val="24"/>
                <w:szCs w:val="24"/>
              </w:rPr>
            </w:pPr>
            <w:r>
              <w:rPr>
                <w:rFonts w:ascii="Arial" w:hAnsi="Arial" w:cs="Arial"/>
                <w:sz w:val="24"/>
                <w:szCs w:val="24"/>
              </w:rPr>
              <w:t>8,180</w:t>
            </w:r>
          </w:p>
        </w:tc>
        <w:tc>
          <w:tcPr>
            <w:tcW w:w="1310" w:type="dxa"/>
            <w:vAlign w:val="center"/>
          </w:tcPr>
          <w:p w:rsidR="00C81A11" w:rsidRDefault="00C81A11" w:rsidP="00BC6BB4">
            <w:pPr>
              <w:jc w:val="center"/>
              <w:rPr>
                <w:rFonts w:ascii="Arial" w:hAnsi="Arial" w:cs="Arial"/>
                <w:sz w:val="24"/>
                <w:szCs w:val="24"/>
              </w:rPr>
            </w:pPr>
          </w:p>
        </w:tc>
        <w:tc>
          <w:tcPr>
            <w:tcW w:w="1264" w:type="dxa"/>
          </w:tcPr>
          <w:p w:rsidR="00C81A11" w:rsidRDefault="00C81A11" w:rsidP="00BC6BB4">
            <w:pPr>
              <w:jc w:val="center"/>
              <w:rPr>
                <w:rFonts w:ascii="Arial" w:hAnsi="Arial" w:cs="Arial"/>
                <w:sz w:val="24"/>
                <w:szCs w:val="24"/>
              </w:rPr>
            </w:pPr>
            <w:r>
              <w:rPr>
                <w:rFonts w:ascii="Arial" w:hAnsi="Arial" w:cs="Arial"/>
                <w:sz w:val="24"/>
                <w:szCs w:val="24"/>
              </w:rPr>
              <w:t>7,900</w:t>
            </w:r>
          </w:p>
        </w:tc>
        <w:tc>
          <w:tcPr>
            <w:tcW w:w="1310" w:type="dxa"/>
          </w:tcPr>
          <w:p w:rsidR="00C81A11" w:rsidRDefault="00C81A11" w:rsidP="00BC6BB4">
            <w:pPr>
              <w:jc w:val="center"/>
              <w:rPr>
                <w:rFonts w:ascii="Arial" w:hAnsi="Arial" w:cs="Arial"/>
                <w:sz w:val="24"/>
                <w:szCs w:val="24"/>
              </w:rPr>
            </w:pPr>
          </w:p>
        </w:tc>
      </w:tr>
      <w:tr w:rsidR="00C81A11" w:rsidTr="00C81A11">
        <w:tc>
          <w:tcPr>
            <w:tcW w:w="710" w:type="dxa"/>
            <w:vAlign w:val="center"/>
          </w:tcPr>
          <w:p w:rsidR="00C81A11" w:rsidRDefault="00C81A11" w:rsidP="00BC6BB4">
            <w:pPr>
              <w:jc w:val="center"/>
              <w:rPr>
                <w:rFonts w:ascii="Arial" w:hAnsi="Arial" w:cs="Arial"/>
                <w:sz w:val="24"/>
                <w:szCs w:val="24"/>
              </w:rPr>
            </w:pPr>
          </w:p>
        </w:tc>
        <w:tc>
          <w:tcPr>
            <w:tcW w:w="3550" w:type="dxa"/>
          </w:tcPr>
          <w:p w:rsidR="00C81A11" w:rsidRPr="00603CE3" w:rsidRDefault="00C81A11" w:rsidP="00BC6BB4">
            <w:pPr>
              <w:rPr>
                <w:rFonts w:ascii="Arial" w:hAnsi="Arial" w:cs="Arial"/>
                <w:sz w:val="24"/>
                <w:szCs w:val="24"/>
              </w:rPr>
            </w:pPr>
            <w:r w:rsidRPr="00603CE3">
              <w:rPr>
                <w:rFonts w:ascii="Arial" w:hAnsi="Arial" w:cs="Arial"/>
                <w:sz w:val="24"/>
                <w:szCs w:val="24"/>
              </w:rPr>
              <w:t>Carrier bag levy</w:t>
            </w:r>
          </w:p>
        </w:tc>
        <w:tc>
          <w:tcPr>
            <w:tcW w:w="1416" w:type="dxa"/>
            <w:vAlign w:val="center"/>
          </w:tcPr>
          <w:p w:rsidR="00C81A11" w:rsidRDefault="00C81A11" w:rsidP="00BC6BB4">
            <w:pPr>
              <w:tabs>
                <w:tab w:val="left" w:pos="1380"/>
              </w:tabs>
              <w:ind w:right="459"/>
              <w:jc w:val="right"/>
              <w:rPr>
                <w:rFonts w:ascii="Arial" w:hAnsi="Arial" w:cs="Arial"/>
                <w:sz w:val="24"/>
                <w:szCs w:val="24"/>
              </w:rPr>
            </w:pPr>
            <w:r>
              <w:rPr>
                <w:rFonts w:ascii="Arial" w:hAnsi="Arial" w:cs="Arial"/>
                <w:sz w:val="24"/>
                <w:szCs w:val="24"/>
              </w:rPr>
              <w:t>2,804</w:t>
            </w:r>
          </w:p>
        </w:tc>
        <w:tc>
          <w:tcPr>
            <w:tcW w:w="1310" w:type="dxa"/>
            <w:vAlign w:val="center"/>
          </w:tcPr>
          <w:p w:rsidR="00C81A11" w:rsidRDefault="00C81A11" w:rsidP="00BC6BB4">
            <w:pPr>
              <w:jc w:val="center"/>
              <w:rPr>
                <w:rFonts w:ascii="Arial" w:hAnsi="Arial" w:cs="Arial"/>
                <w:sz w:val="24"/>
                <w:szCs w:val="24"/>
              </w:rPr>
            </w:pPr>
          </w:p>
        </w:tc>
        <w:tc>
          <w:tcPr>
            <w:tcW w:w="1264" w:type="dxa"/>
          </w:tcPr>
          <w:p w:rsidR="00C81A11" w:rsidRDefault="00C81A11" w:rsidP="00BC6BB4">
            <w:pPr>
              <w:jc w:val="center"/>
              <w:rPr>
                <w:rFonts w:ascii="Arial" w:hAnsi="Arial" w:cs="Arial"/>
                <w:sz w:val="24"/>
                <w:szCs w:val="24"/>
              </w:rPr>
            </w:pPr>
            <w:r>
              <w:rPr>
                <w:rFonts w:ascii="Arial" w:hAnsi="Arial" w:cs="Arial"/>
                <w:sz w:val="24"/>
                <w:szCs w:val="24"/>
              </w:rPr>
              <w:t>3,390</w:t>
            </w:r>
          </w:p>
        </w:tc>
        <w:tc>
          <w:tcPr>
            <w:tcW w:w="1310" w:type="dxa"/>
          </w:tcPr>
          <w:p w:rsidR="00C81A11" w:rsidRDefault="00C81A11" w:rsidP="00BC6BB4">
            <w:pPr>
              <w:jc w:val="center"/>
              <w:rPr>
                <w:rFonts w:ascii="Arial" w:hAnsi="Arial" w:cs="Arial"/>
                <w:sz w:val="24"/>
                <w:szCs w:val="24"/>
              </w:rPr>
            </w:pPr>
          </w:p>
        </w:tc>
      </w:tr>
      <w:tr w:rsidR="00C81A11" w:rsidTr="00C81A11">
        <w:tc>
          <w:tcPr>
            <w:tcW w:w="710" w:type="dxa"/>
          </w:tcPr>
          <w:p w:rsidR="00C81A11" w:rsidRPr="00603CE3" w:rsidRDefault="00C81A11" w:rsidP="00BC6BB4">
            <w:pPr>
              <w:rPr>
                <w:rFonts w:ascii="Arial" w:hAnsi="Arial" w:cs="Arial"/>
                <w:b/>
                <w:sz w:val="24"/>
                <w:szCs w:val="24"/>
              </w:rPr>
            </w:pPr>
          </w:p>
        </w:tc>
        <w:tc>
          <w:tcPr>
            <w:tcW w:w="3550" w:type="dxa"/>
          </w:tcPr>
          <w:p w:rsidR="00C81A11" w:rsidRPr="00603CE3" w:rsidRDefault="00C81A11" w:rsidP="00BC6BB4">
            <w:pPr>
              <w:rPr>
                <w:rFonts w:ascii="Arial" w:hAnsi="Arial" w:cs="Arial"/>
                <w:b/>
                <w:sz w:val="24"/>
                <w:szCs w:val="24"/>
              </w:rPr>
            </w:pPr>
            <w:r w:rsidRPr="00603CE3">
              <w:rPr>
                <w:rFonts w:ascii="Arial" w:hAnsi="Arial" w:cs="Arial"/>
                <w:b/>
                <w:sz w:val="24"/>
                <w:szCs w:val="24"/>
              </w:rPr>
              <w:t>Total Income</w:t>
            </w:r>
          </w:p>
        </w:tc>
        <w:tc>
          <w:tcPr>
            <w:tcW w:w="1416" w:type="dxa"/>
            <w:vAlign w:val="center"/>
          </w:tcPr>
          <w:p w:rsidR="00C81A11" w:rsidRDefault="00C81A11" w:rsidP="00BC6BB4">
            <w:pPr>
              <w:tabs>
                <w:tab w:val="left" w:pos="1380"/>
              </w:tabs>
              <w:ind w:right="459"/>
              <w:jc w:val="right"/>
              <w:rPr>
                <w:rFonts w:ascii="Arial" w:hAnsi="Arial" w:cs="Arial"/>
                <w:b/>
                <w:sz w:val="24"/>
                <w:szCs w:val="24"/>
              </w:rPr>
            </w:pPr>
            <w:r>
              <w:rPr>
                <w:rFonts w:ascii="Arial" w:hAnsi="Arial" w:cs="Arial"/>
                <w:b/>
                <w:sz w:val="24"/>
                <w:szCs w:val="24"/>
              </w:rPr>
              <w:t>10,984</w:t>
            </w:r>
          </w:p>
        </w:tc>
        <w:tc>
          <w:tcPr>
            <w:tcW w:w="1310" w:type="dxa"/>
            <w:vAlign w:val="center"/>
          </w:tcPr>
          <w:p w:rsidR="00C81A11" w:rsidRDefault="00C81A11" w:rsidP="00BC6BB4">
            <w:pPr>
              <w:jc w:val="center"/>
              <w:rPr>
                <w:rFonts w:ascii="Arial" w:hAnsi="Arial" w:cs="Arial"/>
                <w:b/>
                <w:sz w:val="24"/>
                <w:szCs w:val="24"/>
              </w:rPr>
            </w:pPr>
            <w:r>
              <w:rPr>
                <w:rFonts w:ascii="Arial" w:hAnsi="Arial" w:cs="Arial"/>
                <w:b/>
                <w:sz w:val="24"/>
                <w:szCs w:val="24"/>
              </w:rPr>
              <w:t>36</w:t>
            </w:r>
          </w:p>
        </w:tc>
        <w:tc>
          <w:tcPr>
            <w:tcW w:w="1264" w:type="dxa"/>
          </w:tcPr>
          <w:p w:rsidR="00C81A11" w:rsidRDefault="00C81A11" w:rsidP="00BC6BB4">
            <w:pPr>
              <w:jc w:val="center"/>
              <w:rPr>
                <w:rFonts w:ascii="Arial" w:hAnsi="Arial" w:cs="Arial"/>
                <w:b/>
                <w:sz w:val="24"/>
                <w:szCs w:val="24"/>
              </w:rPr>
            </w:pPr>
            <w:r>
              <w:rPr>
                <w:rFonts w:ascii="Arial" w:hAnsi="Arial" w:cs="Arial"/>
                <w:b/>
                <w:sz w:val="24"/>
                <w:szCs w:val="24"/>
              </w:rPr>
              <w:t>11,290</w:t>
            </w:r>
          </w:p>
        </w:tc>
        <w:tc>
          <w:tcPr>
            <w:tcW w:w="1310" w:type="dxa"/>
          </w:tcPr>
          <w:p w:rsidR="00C81A11" w:rsidRDefault="00C81A11" w:rsidP="00BC6BB4">
            <w:pPr>
              <w:jc w:val="center"/>
              <w:rPr>
                <w:rFonts w:ascii="Arial" w:hAnsi="Arial" w:cs="Arial"/>
                <w:b/>
                <w:sz w:val="24"/>
                <w:szCs w:val="24"/>
              </w:rPr>
            </w:pPr>
            <w:r>
              <w:rPr>
                <w:rFonts w:ascii="Arial" w:hAnsi="Arial" w:cs="Arial"/>
                <w:b/>
                <w:sz w:val="24"/>
                <w:szCs w:val="24"/>
              </w:rPr>
              <w:t>36</w:t>
            </w:r>
          </w:p>
        </w:tc>
      </w:tr>
      <w:tr w:rsidR="00C81A11" w:rsidTr="00C81A11">
        <w:tc>
          <w:tcPr>
            <w:tcW w:w="710" w:type="dxa"/>
          </w:tcPr>
          <w:p w:rsidR="00C81A11" w:rsidRPr="00603CE3" w:rsidRDefault="00C81A11" w:rsidP="00BC6BB4">
            <w:pPr>
              <w:rPr>
                <w:rFonts w:ascii="Arial" w:hAnsi="Arial" w:cs="Arial"/>
                <w:sz w:val="24"/>
                <w:szCs w:val="24"/>
              </w:rPr>
            </w:pPr>
          </w:p>
        </w:tc>
        <w:tc>
          <w:tcPr>
            <w:tcW w:w="3550" w:type="dxa"/>
          </w:tcPr>
          <w:p w:rsidR="00C81A11" w:rsidRPr="00603CE3" w:rsidRDefault="00C81A11" w:rsidP="00BC6BB4">
            <w:pPr>
              <w:rPr>
                <w:rFonts w:ascii="Arial" w:hAnsi="Arial" w:cs="Arial"/>
                <w:sz w:val="24"/>
                <w:szCs w:val="24"/>
              </w:rPr>
            </w:pPr>
          </w:p>
        </w:tc>
        <w:tc>
          <w:tcPr>
            <w:tcW w:w="1416" w:type="dxa"/>
            <w:vAlign w:val="center"/>
          </w:tcPr>
          <w:p w:rsidR="00C81A11" w:rsidRDefault="00C81A11" w:rsidP="00BC6BB4">
            <w:pPr>
              <w:tabs>
                <w:tab w:val="left" w:pos="1380"/>
              </w:tabs>
              <w:ind w:right="459"/>
              <w:jc w:val="right"/>
              <w:rPr>
                <w:rFonts w:ascii="Arial" w:hAnsi="Arial" w:cs="Arial"/>
                <w:sz w:val="24"/>
                <w:szCs w:val="24"/>
              </w:rPr>
            </w:pPr>
          </w:p>
        </w:tc>
        <w:tc>
          <w:tcPr>
            <w:tcW w:w="1310" w:type="dxa"/>
            <w:vAlign w:val="center"/>
          </w:tcPr>
          <w:p w:rsidR="00C81A11" w:rsidRDefault="00C81A11" w:rsidP="00BC6BB4">
            <w:pPr>
              <w:jc w:val="center"/>
              <w:rPr>
                <w:rFonts w:ascii="Arial" w:hAnsi="Arial" w:cs="Arial"/>
                <w:sz w:val="24"/>
                <w:szCs w:val="24"/>
              </w:rPr>
            </w:pPr>
          </w:p>
        </w:tc>
        <w:tc>
          <w:tcPr>
            <w:tcW w:w="1264" w:type="dxa"/>
          </w:tcPr>
          <w:p w:rsidR="00C81A11" w:rsidRDefault="00C81A11" w:rsidP="00BC6BB4">
            <w:pPr>
              <w:jc w:val="center"/>
              <w:rPr>
                <w:rFonts w:ascii="Arial" w:hAnsi="Arial" w:cs="Arial"/>
                <w:sz w:val="24"/>
                <w:szCs w:val="24"/>
              </w:rPr>
            </w:pPr>
          </w:p>
        </w:tc>
        <w:tc>
          <w:tcPr>
            <w:tcW w:w="1310" w:type="dxa"/>
          </w:tcPr>
          <w:p w:rsidR="00C81A11" w:rsidRDefault="00C81A11" w:rsidP="00BC6BB4">
            <w:pPr>
              <w:jc w:val="center"/>
              <w:rPr>
                <w:rFonts w:ascii="Arial" w:hAnsi="Arial" w:cs="Arial"/>
                <w:sz w:val="24"/>
                <w:szCs w:val="24"/>
              </w:rPr>
            </w:pPr>
          </w:p>
        </w:tc>
      </w:tr>
      <w:tr w:rsidR="00C81A11" w:rsidTr="00C81A11">
        <w:tc>
          <w:tcPr>
            <w:tcW w:w="710" w:type="dxa"/>
          </w:tcPr>
          <w:p w:rsidR="00C81A11" w:rsidRPr="00603CE3" w:rsidRDefault="00C81A11" w:rsidP="00BC6BB4">
            <w:pPr>
              <w:rPr>
                <w:rFonts w:ascii="Arial" w:hAnsi="Arial" w:cs="Arial"/>
                <w:b/>
                <w:sz w:val="24"/>
                <w:szCs w:val="24"/>
              </w:rPr>
            </w:pPr>
          </w:p>
        </w:tc>
        <w:tc>
          <w:tcPr>
            <w:tcW w:w="3550" w:type="dxa"/>
          </w:tcPr>
          <w:p w:rsidR="00C81A11" w:rsidRPr="00603CE3" w:rsidRDefault="00C81A11" w:rsidP="00BC6BB4">
            <w:pPr>
              <w:rPr>
                <w:rFonts w:ascii="Arial" w:hAnsi="Arial" w:cs="Arial"/>
                <w:b/>
                <w:sz w:val="24"/>
                <w:szCs w:val="24"/>
              </w:rPr>
            </w:pPr>
            <w:r w:rsidRPr="00603CE3">
              <w:rPr>
                <w:rFonts w:ascii="Arial" w:hAnsi="Arial" w:cs="Arial"/>
                <w:b/>
                <w:sz w:val="24"/>
                <w:szCs w:val="24"/>
              </w:rPr>
              <w:t xml:space="preserve">Net Resource DEL budget </w:t>
            </w:r>
          </w:p>
        </w:tc>
        <w:tc>
          <w:tcPr>
            <w:tcW w:w="1416" w:type="dxa"/>
            <w:vAlign w:val="center"/>
          </w:tcPr>
          <w:p w:rsidR="00C81A11" w:rsidRDefault="00C81A11" w:rsidP="00BC6BB4">
            <w:pPr>
              <w:tabs>
                <w:tab w:val="left" w:pos="1380"/>
              </w:tabs>
              <w:ind w:right="459"/>
              <w:jc w:val="right"/>
              <w:rPr>
                <w:rFonts w:ascii="Arial" w:hAnsi="Arial" w:cs="Arial"/>
                <w:b/>
                <w:sz w:val="24"/>
                <w:szCs w:val="24"/>
              </w:rPr>
            </w:pPr>
            <w:r>
              <w:rPr>
                <w:rFonts w:ascii="Arial" w:hAnsi="Arial" w:cs="Arial"/>
                <w:b/>
                <w:sz w:val="24"/>
                <w:szCs w:val="24"/>
              </w:rPr>
              <w:t>19,832</w:t>
            </w:r>
          </w:p>
        </w:tc>
        <w:tc>
          <w:tcPr>
            <w:tcW w:w="1310" w:type="dxa"/>
            <w:vAlign w:val="center"/>
          </w:tcPr>
          <w:p w:rsidR="00C81A11" w:rsidRDefault="00C81A11" w:rsidP="00BC6BB4">
            <w:pPr>
              <w:jc w:val="center"/>
              <w:rPr>
                <w:rFonts w:ascii="Arial" w:hAnsi="Arial" w:cs="Arial"/>
                <w:b/>
                <w:sz w:val="24"/>
                <w:szCs w:val="24"/>
              </w:rPr>
            </w:pPr>
            <w:r>
              <w:rPr>
                <w:rFonts w:ascii="Arial" w:hAnsi="Arial" w:cs="Arial"/>
                <w:b/>
                <w:sz w:val="24"/>
                <w:szCs w:val="24"/>
              </w:rPr>
              <w:t>64</w:t>
            </w:r>
          </w:p>
        </w:tc>
        <w:tc>
          <w:tcPr>
            <w:tcW w:w="1264" w:type="dxa"/>
          </w:tcPr>
          <w:p w:rsidR="00C81A11" w:rsidRDefault="00C81A11" w:rsidP="00BC6BB4">
            <w:pPr>
              <w:jc w:val="center"/>
              <w:rPr>
                <w:rFonts w:ascii="Arial" w:hAnsi="Arial" w:cs="Arial"/>
                <w:b/>
                <w:sz w:val="24"/>
                <w:szCs w:val="24"/>
              </w:rPr>
            </w:pPr>
          </w:p>
        </w:tc>
        <w:tc>
          <w:tcPr>
            <w:tcW w:w="1310" w:type="dxa"/>
          </w:tcPr>
          <w:p w:rsidR="00C81A11" w:rsidRDefault="00C81A11" w:rsidP="00BC6BB4">
            <w:pPr>
              <w:jc w:val="center"/>
              <w:rPr>
                <w:rFonts w:ascii="Arial" w:hAnsi="Arial" w:cs="Arial"/>
                <w:b/>
                <w:sz w:val="24"/>
                <w:szCs w:val="24"/>
              </w:rPr>
            </w:pPr>
            <w:r>
              <w:rPr>
                <w:rFonts w:ascii="Arial" w:hAnsi="Arial" w:cs="Arial"/>
                <w:b/>
                <w:sz w:val="24"/>
                <w:szCs w:val="24"/>
              </w:rPr>
              <w:t>64</w:t>
            </w:r>
          </w:p>
        </w:tc>
      </w:tr>
    </w:tbl>
    <w:p w:rsidR="00DB7EED" w:rsidRDefault="00DB7EED" w:rsidP="00DB7EED">
      <w:pPr>
        <w:rPr>
          <w:rFonts w:ascii="Arial" w:hAnsi="Arial" w:cs="Arial"/>
          <w:sz w:val="24"/>
          <w:szCs w:val="24"/>
          <w:lang w:val="en-US"/>
        </w:rPr>
      </w:pPr>
    </w:p>
    <w:p w:rsidR="00DB7EED" w:rsidRDefault="00DB7EED" w:rsidP="00DB7EED">
      <w:pPr>
        <w:rPr>
          <w:rFonts w:ascii="Arial" w:hAnsi="Arial" w:cs="Arial"/>
          <w:b/>
          <w:sz w:val="24"/>
          <w:szCs w:val="24"/>
          <w:lang w:val="en-US"/>
        </w:rPr>
      </w:pPr>
      <w:r>
        <w:rPr>
          <w:rFonts w:ascii="Arial" w:hAnsi="Arial" w:cs="Arial"/>
          <w:b/>
          <w:sz w:val="24"/>
          <w:szCs w:val="24"/>
          <w:lang w:val="en-US"/>
        </w:rPr>
        <w:t>Notes</w:t>
      </w:r>
    </w:p>
    <w:p w:rsidR="00DB7EED" w:rsidRDefault="00DB7EED" w:rsidP="00DB7EED">
      <w:pPr>
        <w:pStyle w:val="ListParagraph"/>
        <w:numPr>
          <w:ilvl w:val="0"/>
          <w:numId w:val="12"/>
        </w:numPr>
        <w:ind w:hanging="720"/>
        <w:rPr>
          <w:rFonts w:ascii="Arial" w:hAnsi="Arial" w:cs="Arial"/>
          <w:sz w:val="24"/>
          <w:szCs w:val="24"/>
          <w:lang w:val="en-US"/>
        </w:rPr>
      </w:pPr>
      <w:r>
        <w:rPr>
          <w:rFonts w:ascii="Arial" w:hAnsi="Arial" w:cs="Arial"/>
          <w:sz w:val="24"/>
          <w:szCs w:val="24"/>
          <w:lang w:val="en-US"/>
        </w:rPr>
        <w:t>Non industrial salaries, industrial wages, overtime and local council rivers officers.</w:t>
      </w:r>
    </w:p>
    <w:p w:rsidR="00DB7EED" w:rsidRDefault="00DB7EED" w:rsidP="00DB7EED">
      <w:pPr>
        <w:rPr>
          <w:rFonts w:ascii="Arial" w:hAnsi="Arial" w:cs="Arial"/>
          <w:sz w:val="24"/>
          <w:szCs w:val="24"/>
          <w:lang w:val="en-US"/>
        </w:rPr>
      </w:pPr>
    </w:p>
    <w:p w:rsidR="00DB7EED" w:rsidRDefault="00DB7EED" w:rsidP="00DB7EED">
      <w:pPr>
        <w:pStyle w:val="ListParagraph"/>
        <w:numPr>
          <w:ilvl w:val="0"/>
          <w:numId w:val="12"/>
        </w:numPr>
        <w:ind w:hanging="720"/>
        <w:rPr>
          <w:rFonts w:ascii="Arial" w:hAnsi="Arial" w:cs="Arial"/>
          <w:sz w:val="24"/>
          <w:szCs w:val="24"/>
          <w:lang w:val="en-US"/>
        </w:rPr>
      </w:pPr>
      <w:r>
        <w:rPr>
          <w:rFonts w:ascii="Arial" w:hAnsi="Arial" w:cs="Arial"/>
          <w:sz w:val="24"/>
          <w:szCs w:val="24"/>
          <w:lang w:val="en-US"/>
        </w:rPr>
        <w:t xml:space="preserve">Travel and subsistence and non salary running costs (including accommodation costs).  </w:t>
      </w:r>
    </w:p>
    <w:p w:rsidR="00DB7EED" w:rsidRDefault="00DB7EED" w:rsidP="00DB7EED">
      <w:pPr>
        <w:rPr>
          <w:rFonts w:ascii="Arial" w:hAnsi="Arial" w:cs="Arial"/>
          <w:sz w:val="24"/>
          <w:szCs w:val="24"/>
          <w:lang w:val="en-US"/>
        </w:rPr>
      </w:pPr>
    </w:p>
    <w:p w:rsidR="00DB7EED" w:rsidRDefault="00DB7EED" w:rsidP="00DB7EED">
      <w:pPr>
        <w:pStyle w:val="ListParagraph"/>
        <w:numPr>
          <w:ilvl w:val="0"/>
          <w:numId w:val="12"/>
        </w:numPr>
        <w:ind w:hanging="720"/>
        <w:rPr>
          <w:rFonts w:ascii="Arial" w:hAnsi="Arial" w:cs="Arial"/>
          <w:sz w:val="24"/>
          <w:szCs w:val="24"/>
          <w:lang w:val="en-US"/>
        </w:rPr>
      </w:pPr>
      <w:r>
        <w:rPr>
          <w:rFonts w:ascii="Arial" w:hAnsi="Arial" w:cs="Arial"/>
          <w:sz w:val="24"/>
          <w:szCs w:val="24"/>
          <w:lang w:val="en-US"/>
        </w:rPr>
        <w:t>Management agreements in respect of designated sites; maintenance of country parks and nature reserves; environmental sampling, monitoring and analysis; mapping services; and vehicle running costs.</w:t>
      </w:r>
    </w:p>
    <w:p w:rsidR="00DB7EED" w:rsidRDefault="00DB7EED" w:rsidP="00DB7EED">
      <w:pPr>
        <w:pStyle w:val="ListParagraph"/>
        <w:rPr>
          <w:rFonts w:ascii="Arial" w:hAnsi="Arial" w:cs="Arial"/>
          <w:sz w:val="24"/>
          <w:szCs w:val="24"/>
          <w:lang w:val="en-US"/>
        </w:rPr>
      </w:pPr>
    </w:p>
    <w:p w:rsidR="00DB7EED" w:rsidRDefault="00DB7EED" w:rsidP="00DB7EED">
      <w:pPr>
        <w:pStyle w:val="ListParagraph"/>
        <w:numPr>
          <w:ilvl w:val="0"/>
          <w:numId w:val="12"/>
        </w:numPr>
        <w:ind w:hanging="720"/>
        <w:rPr>
          <w:rFonts w:ascii="Arial" w:hAnsi="Arial" w:cs="Arial"/>
          <w:sz w:val="24"/>
          <w:szCs w:val="24"/>
          <w:lang w:val="en-US"/>
        </w:rPr>
      </w:pPr>
      <w:r>
        <w:rPr>
          <w:rFonts w:ascii="Arial" w:hAnsi="Arial" w:cs="Arial"/>
          <w:sz w:val="24"/>
          <w:szCs w:val="24"/>
          <w:lang w:val="en-US"/>
        </w:rPr>
        <w:t xml:space="preserve">Environmental grants funded from the carrier bag levy income and disbursed mainly through the competitive Environment </w:t>
      </w:r>
      <w:r w:rsidR="00067B35">
        <w:rPr>
          <w:rFonts w:ascii="Arial" w:hAnsi="Arial" w:cs="Arial"/>
          <w:sz w:val="24"/>
          <w:szCs w:val="24"/>
          <w:lang w:val="en-US"/>
        </w:rPr>
        <w:t>F</w:t>
      </w:r>
      <w:r>
        <w:rPr>
          <w:rFonts w:ascii="Arial" w:hAnsi="Arial" w:cs="Arial"/>
          <w:sz w:val="24"/>
          <w:szCs w:val="24"/>
          <w:lang w:val="en-US"/>
        </w:rPr>
        <w:t>und.</w:t>
      </w:r>
    </w:p>
    <w:p w:rsidR="004C3099" w:rsidRDefault="004C3099">
      <w:pPr>
        <w:pStyle w:val="ListParagraph"/>
        <w:rPr>
          <w:rFonts w:ascii="Arial" w:hAnsi="Arial" w:cs="Arial"/>
          <w:sz w:val="24"/>
          <w:szCs w:val="24"/>
          <w:lang w:val="en-US"/>
        </w:rPr>
      </w:pPr>
    </w:p>
    <w:p w:rsidR="00561154" w:rsidRDefault="00561154" w:rsidP="00DB7EED">
      <w:pPr>
        <w:pStyle w:val="ListParagraph"/>
        <w:numPr>
          <w:ilvl w:val="0"/>
          <w:numId w:val="12"/>
        </w:numPr>
        <w:ind w:hanging="720"/>
        <w:rPr>
          <w:rFonts w:ascii="Arial" w:hAnsi="Arial" w:cs="Arial"/>
          <w:sz w:val="24"/>
          <w:szCs w:val="24"/>
          <w:lang w:val="en-US"/>
        </w:rPr>
      </w:pPr>
      <w:r>
        <w:rPr>
          <w:rFonts w:ascii="Arial" w:hAnsi="Arial" w:cs="Arial"/>
          <w:sz w:val="24"/>
          <w:szCs w:val="24"/>
          <w:lang w:val="en-US"/>
        </w:rPr>
        <w:t>The 2017-18 figures reflect the opening indicative budgets.</w:t>
      </w:r>
    </w:p>
    <w:p w:rsidR="00DB7EED" w:rsidRDefault="00DB7EED" w:rsidP="00DB7EED">
      <w:pPr>
        <w:rPr>
          <w:rFonts w:ascii="Arial" w:hAnsi="Arial" w:cs="Arial"/>
          <w:b/>
          <w:color w:val="365F91"/>
          <w:sz w:val="24"/>
          <w:szCs w:val="24"/>
          <w:lang w:val="en-US"/>
        </w:rPr>
      </w:pPr>
    </w:p>
    <w:p w:rsidR="00DB7EED" w:rsidRDefault="00DB7EED" w:rsidP="00DB7EED">
      <w:pPr>
        <w:rPr>
          <w:rFonts w:ascii="Arial" w:hAnsi="Arial" w:cs="Arial"/>
          <w:b/>
          <w:sz w:val="24"/>
          <w:szCs w:val="24"/>
          <w:lang w:val="en-US"/>
        </w:rPr>
      </w:pPr>
      <w:r w:rsidRPr="005946F5">
        <w:rPr>
          <w:rFonts w:ascii="Arial" w:hAnsi="Arial" w:cs="Arial"/>
          <w:b/>
          <w:color w:val="365F91"/>
          <w:sz w:val="24"/>
          <w:szCs w:val="24"/>
          <w:lang w:val="en-US"/>
        </w:rPr>
        <w:t>C</w:t>
      </w:r>
      <w:r>
        <w:rPr>
          <w:rFonts w:ascii="Arial" w:hAnsi="Arial" w:cs="Arial"/>
          <w:b/>
          <w:color w:val="365F91"/>
          <w:sz w:val="24"/>
          <w:szCs w:val="24"/>
          <w:lang w:val="en-US"/>
        </w:rPr>
        <w:t>APITAL INVESTMENT</w:t>
      </w:r>
      <w:r w:rsidRPr="005946F5">
        <w:rPr>
          <w:rFonts w:ascii="Arial" w:hAnsi="Arial" w:cs="Arial"/>
          <w:b/>
          <w:color w:val="365F91"/>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843"/>
      </w:tblGrid>
      <w:tr w:rsidR="00561154" w:rsidTr="00561154">
        <w:tc>
          <w:tcPr>
            <w:tcW w:w="5353" w:type="dxa"/>
            <w:tcBorders>
              <w:top w:val="single" w:sz="4" w:space="0" w:color="auto"/>
              <w:left w:val="single" w:sz="4" w:space="0" w:color="auto"/>
              <w:bottom w:val="single" w:sz="4" w:space="0" w:color="auto"/>
              <w:right w:val="single" w:sz="4" w:space="0" w:color="auto"/>
            </w:tcBorders>
          </w:tcPr>
          <w:p w:rsidR="00561154" w:rsidRPr="00524A07" w:rsidRDefault="00561154" w:rsidP="00BC6BB4">
            <w:pPr>
              <w:rPr>
                <w:rFonts w:ascii="Arial" w:hAnsi="Arial" w:cs="Arial"/>
                <w:sz w:val="28"/>
                <w:szCs w:val="24"/>
                <w:lang w:val="en-US"/>
              </w:rPr>
            </w:pPr>
          </w:p>
        </w:tc>
        <w:tc>
          <w:tcPr>
            <w:tcW w:w="1276" w:type="dxa"/>
            <w:tcBorders>
              <w:top w:val="single" w:sz="4" w:space="0" w:color="auto"/>
              <w:left w:val="single" w:sz="4" w:space="0" w:color="auto"/>
              <w:bottom w:val="single" w:sz="4" w:space="0" w:color="auto"/>
              <w:right w:val="single" w:sz="4" w:space="0" w:color="auto"/>
            </w:tcBorders>
            <w:hideMark/>
          </w:tcPr>
          <w:p w:rsidR="00561154" w:rsidRPr="00524A07" w:rsidRDefault="00561154" w:rsidP="00BC6BB4">
            <w:pPr>
              <w:jc w:val="center"/>
              <w:rPr>
                <w:rFonts w:ascii="Arial" w:hAnsi="Arial" w:cs="Arial"/>
                <w:b/>
                <w:sz w:val="24"/>
                <w:szCs w:val="24"/>
                <w:lang w:val="en-US"/>
              </w:rPr>
            </w:pPr>
            <w:r w:rsidRPr="00524A07">
              <w:rPr>
                <w:rFonts w:ascii="Arial" w:hAnsi="Arial" w:cs="Arial"/>
                <w:b/>
                <w:sz w:val="24"/>
                <w:szCs w:val="24"/>
                <w:lang w:val="en-US"/>
              </w:rPr>
              <w:t>201</w:t>
            </w:r>
            <w:r>
              <w:rPr>
                <w:rFonts w:ascii="Arial" w:hAnsi="Arial" w:cs="Arial"/>
                <w:b/>
                <w:sz w:val="24"/>
                <w:szCs w:val="24"/>
                <w:lang w:val="en-US"/>
              </w:rPr>
              <w:t>7</w:t>
            </w:r>
            <w:r w:rsidRPr="00524A07">
              <w:rPr>
                <w:rFonts w:ascii="Arial" w:hAnsi="Arial" w:cs="Arial"/>
                <w:b/>
                <w:sz w:val="24"/>
                <w:szCs w:val="24"/>
                <w:lang w:val="en-US"/>
              </w:rPr>
              <w:t>-1</w:t>
            </w:r>
            <w:r>
              <w:rPr>
                <w:rFonts w:ascii="Arial" w:hAnsi="Arial" w:cs="Arial"/>
                <w:b/>
                <w:sz w:val="24"/>
                <w:szCs w:val="24"/>
                <w:lang w:val="en-US"/>
              </w:rPr>
              <w:t>8</w:t>
            </w:r>
          </w:p>
          <w:p w:rsidR="00561154" w:rsidRPr="00524A07" w:rsidRDefault="00561154" w:rsidP="00BC6BB4">
            <w:pPr>
              <w:jc w:val="center"/>
              <w:rPr>
                <w:rFonts w:ascii="Arial" w:hAnsi="Arial" w:cs="Arial"/>
                <w:sz w:val="28"/>
                <w:szCs w:val="24"/>
                <w:lang w:val="en-US"/>
              </w:rPr>
            </w:pPr>
            <w:r w:rsidRPr="00524A07">
              <w:rPr>
                <w:rFonts w:ascii="Arial" w:hAnsi="Arial" w:cs="Arial"/>
                <w:b/>
                <w:sz w:val="24"/>
                <w:szCs w:val="24"/>
                <w:lang w:val="en-US"/>
              </w:rPr>
              <w:t>£’000s</w:t>
            </w:r>
          </w:p>
        </w:tc>
        <w:tc>
          <w:tcPr>
            <w:tcW w:w="1843" w:type="dxa"/>
            <w:tcBorders>
              <w:top w:val="single" w:sz="4" w:space="0" w:color="auto"/>
              <w:left w:val="single" w:sz="4" w:space="0" w:color="auto"/>
              <w:bottom w:val="single" w:sz="4" w:space="0" w:color="auto"/>
              <w:right w:val="single" w:sz="4" w:space="0" w:color="auto"/>
            </w:tcBorders>
          </w:tcPr>
          <w:p w:rsidR="000E610C" w:rsidRDefault="00561154">
            <w:pPr>
              <w:jc w:val="center"/>
              <w:rPr>
                <w:rFonts w:ascii="Arial" w:hAnsi="Arial" w:cs="Arial"/>
                <w:b/>
                <w:sz w:val="24"/>
                <w:szCs w:val="24"/>
              </w:rPr>
            </w:pPr>
            <w:r>
              <w:rPr>
                <w:rFonts w:ascii="Arial" w:hAnsi="Arial" w:cs="Arial"/>
                <w:b/>
                <w:sz w:val="24"/>
                <w:szCs w:val="24"/>
              </w:rPr>
              <w:t xml:space="preserve">2016-17 </w:t>
            </w:r>
          </w:p>
          <w:p w:rsidR="000E610C" w:rsidRDefault="00F9183C">
            <w:pPr>
              <w:jc w:val="center"/>
              <w:rPr>
                <w:rFonts w:ascii="Arial" w:hAnsi="Arial" w:cs="Arial"/>
                <w:b/>
                <w:sz w:val="24"/>
                <w:szCs w:val="24"/>
              </w:rPr>
            </w:pPr>
            <w:r>
              <w:rPr>
                <w:rFonts w:ascii="Arial" w:hAnsi="Arial" w:cs="Arial"/>
                <w:b/>
                <w:sz w:val="24"/>
                <w:szCs w:val="24"/>
              </w:rPr>
              <w:t>Opening Budget</w:t>
            </w:r>
          </w:p>
          <w:p w:rsidR="000E610C" w:rsidRDefault="00561154">
            <w:pPr>
              <w:jc w:val="center"/>
              <w:rPr>
                <w:rFonts w:ascii="Arial" w:hAnsi="Arial" w:cs="Arial"/>
                <w:b/>
                <w:sz w:val="24"/>
                <w:szCs w:val="24"/>
                <w:lang w:val="en-US"/>
              </w:rPr>
            </w:pPr>
            <w:r>
              <w:rPr>
                <w:rFonts w:ascii="Arial" w:hAnsi="Arial" w:cs="Arial"/>
                <w:b/>
                <w:sz w:val="24"/>
                <w:szCs w:val="24"/>
              </w:rPr>
              <w:t>£,000s</w:t>
            </w:r>
          </w:p>
        </w:tc>
      </w:tr>
      <w:tr w:rsidR="00561154" w:rsidTr="00561154">
        <w:trPr>
          <w:trHeight w:val="401"/>
        </w:trPr>
        <w:tc>
          <w:tcPr>
            <w:tcW w:w="5353" w:type="dxa"/>
            <w:tcBorders>
              <w:top w:val="single" w:sz="4" w:space="0" w:color="auto"/>
              <w:left w:val="single" w:sz="4" w:space="0" w:color="auto"/>
              <w:bottom w:val="single" w:sz="4" w:space="0" w:color="auto"/>
              <w:right w:val="single" w:sz="4" w:space="0" w:color="auto"/>
            </w:tcBorders>
            <w:vAlign w:val="center"/>
            <w:hideMark/>
          </w:tcPr>
          <w:p w:rsidR="00561154" w:rsidRPr="00524A07" w:rsidRDefault="00561154" w:rsidP="00BC6BB4">
            <w:pPr>
              <w:rPr>
                <w:rFonts w:ascii="Arial" w:hAnsi="Arial" w:cs="Arial"/>
                <w:sz w:val="24"/>
                <w:szCs w:val="24"/>
                <w:lang w:val="en-US"/>
              </w:rPr>
            </w:pPr>
            <w:r w:rsidRPr="00524A07">
              <w:rPr>
                <w:rFonts w:ascii="Arial" w:hAnsi="Arial" w:cs="Arial"/>
                <w:sz w:val="24"/>
                <w:szCs w:val="24"/>
                <w:lang w:val="en-US"/>
              </w:rPr>
              <w:t>Vehicles, machinery, equipment</w:t>
            </w:r>
            <w:r>
              <w:rPr>
                <w:rFonts w:ascii="Arial" w:hAnsi="Arial" w:cs="Arial"/>
                <w:sz w:val="24"/>
                <w:szCs w:val="24"/>
                <w:lang w:val="en-US"/>
              </w:rPr>
              <w:t xml:space="preserve"> and capital works at country parks</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154" w:rsidRDefault="00561154" w:rsidP="00BC6BB4">
            <w:pPr>
              <w:jc w:val="center"/>
              <w:rPr>
                <w:rFonts w:ascii="Arial" w:hAnsi="Arial" w:cs="Arial"/>
                <w:b/>
                <w:sz w:val="24"/>
                <w:szCs w:val="24"/>
                <w:lang w:val="en-US"/>
              </w:rPr>
            </w:pPr>
            <w:r>
              <w:rPr>
                <w:rFonts w:ascii="Arial" w:hAnsi="Arial" w:cs="Arial"/>
                <w:b/>
                <w:sz w:val="24"/>
                <w:szCs w:val="24"/>
                <w:lang w:val="en-US"/>
              </w:rPr>
              <w:t>Nil</w:t>
            </w:r>
          </w:p>
        </w:tc>
        <w:tc>
          <w:tcPr>
            <w:tcW w:w="1843" w:type="dxa"/>
            <w:tcBorders>
              <w:top w:val="single" w:sz="4" w:space="0" w:color="auto"/>
              <w:left w:val="single" w:sz="4" w:space="0" w:color="auto"/>
              <w:bottom w:val="single" w:sz="4" w:space="0" w:color="auto"/>
              <w:right w:val="single" w:sz="4" w:space="0" w:color="auto"/>
            </w:tcBorders>
          </w:tcPr>
          <w:p w:rsidR="00561154" w:rsidRDefault="00561154" w:rsidP="00BC6BB4">
            <w:pPr>
              <w:jc w:val="center"/>
              <w:rPr>
                <w:rFonts w:ascii="Arial" w:hAnsi="Arial" w:cs="Arial"/>
                <w:b/>
                <w:sz w:val="24"/>
                <w:szCs w:val="24"/>
                <w:lang w:val="en-US"/>
              </w:rPr>
            </w:pPr>
            <w:r>
              <w:rPr>
                <w:rFonts w:ascii="Arial" w:hAnsi="Arial" w:cs="Arial"/>
                <w:b/>
                <w:sz w:val="24"/>
                <w:szCs w:val="24"/>
                <w:lang w:val="en-US"/>
              </w:rPr>
              <w:t>1,255</w:t>
            </w:r>
          </w:p>
        </w:tc>
      </w:tr>
    </w:tbl>
    <w:p w:rsidR="00D21DBC" w:rsidRPr="00420908" w:rsidRDefault="00D21DBC" w:rsidP="00DB7EED">
      <w:pPr>
        <w:pStyle w:val="default"/>
        <w:autoSpaceDE/>
        <w:autoSpaceDN/>
        <w:rPr>
          <w:b/>
          <w:lang w:val="en-US"/>
        </w:rPr>
      </w:pPr>
    </w:p>
    <w:sectPr w:rsidR="00D21DBC" w:rsidRPr="00420908" w:rsidSect="0035413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90D" w:rsidRDefault="007C590D" w:rsidP="00EA3D17">
      <w:r>
        <w:separator/>
      </w:r>
    </w:p>
  </w:endnote>
  <w:endnote w:type="continuationSeparator" w:id="0">
    <w:p w:rsidR="007C590D" w:rsidRDefault="007C590D" w:rsidP="00EA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22" w:rsidRDefault="005A7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E8" w:rsidRDefault="006F59E8">
    <w:pPr>
      <w:pStyle w:val="Footer"/>
      <w:jc w:val="center"/>
    </w:pPr>
    <w:r>
      <w:t xml:space="preserve">Page </w:t>
    </w:r>
    <w:r w:rsidR="00982258">
      <w:rPr>
        <w:b/>
        <w:sz w:val="24"/>
        <w:szCs w:val="24"/>
      </w:rPr>
      <w:fldChar w:fldCharType="begin"/>
    </w:r>
    <w:r>
      <w:rPr>
        <w:b/>
      </w:rPr>
      <w:instrText xml:space="preserve"> PAGE </w:instrText>
    </w:r>
    <w:r w:rsidR="00982258">
      <w:rPr>
        <w:b/>
        <w:sz w:val="24"/>
        <w:szCs w:val="24"/>
      </w:rPr>
      <w:fldChar w:fldCharType="separate"/>
    </w:r>
    <w:r w:rsidR="005A7222">
      <w:rPr>
        <w:b/>
        <w:noProof/>
      </w:rPr>
      <w:t>2</w:t>
    </w:r>
    <w:r w:rsidR="00982258">
      <w:rPr>
        <w:b/>
        <w:sz w:val="24"/>
        <w:szCs w:val="24"/>
      </w:rPr>
      <w:fldChar w:fldCharType="end"/>
    </w:r>
    <w:r>
      <w:t xml:space="preserve"> of </w:t>
    </w:r>
    <w:r w:rsidR="00982258">
      <w:rPr>
        <w:b/>
        <w:sz w:val="24"/>
        <w:szCs w:val="24"/>
      </w:rPr>
      <w:fldChar w:fldCharType="begin"/>
    </w:r>
    <w:r>
      <w:rPr>
        <w:b/>
      </w:rPr>
      <w:instrText xml:space="preserve"> NUMPAGES  </w:instrText>
    </w:r>
    <w:r w:rsidR="00982258">
      <w:rPr>
        <w:b/>
        <w:sz w:val="24"/>
        <w:szCs w:val="24"/>
      </w:rPr>
      <w:fldChar w:fldCharType="separate"/>
    </w:r>
    <w:r w:rsidR="005A7222">
      <w:rPr>
        <w:b/>
        <w:noProof/>
      </w:rPr>
      <w:t>15</w:t>
    </w:r>
    <w:r w:rsidR="00982258">
      <w:rPr>
        <w:b/>
        <w:sz w:val="24"/>
        <w:szCs w:val="24"/>
      </w:rPr>
      <w:fldChar w:fldCharType="end"/>
    </w:r>
  </w:p>
  <w:p w:rsidR="006F59E8" w:rsidRDefault="006F59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22" w:rsidRDefault="005A72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E8" w:rsidRDefault="006F59E8">
    <w:pPr>
      <w:pStyle w:val="Footer"/>
      <w:jc w:val="center"/>
    </w:pPr>
    <w:r>
      <w:t xml:space="preserve">Page </w:t>
    </w:r>
    <w:r w:rsidR="00982258">
      <w:rPr>
        <w:b/>
        <w:sz w:val="24"/>
        <w:szCs w:val="24"/>
      </w:rPr>
      <w:fldChar w:fldCharType="begin"/>
    </w:r>
    <w:r>
      <w:rPr>
        <w:b/>
      </w:rPr>
      <w:instrText xml:space="preserve"> PAGE </w:instrText>
    </w:r>
    <w:r w:rsidR="00982258">
      <w:rPr>
        <w:b/>
        <w:sz w:val="24"/>
        <w:szCs w:val="24"/>
      </w:rPr>
      <w:fldChar w:fldCharType="separate"/>
    </w:r>
    <w:r w:rsidR="005A7222">
      <w:rPr>
        <w:b/>
        <w:noProof/>
      </w:rPr>
      <w:t>15</w:t>
    </w:r>
    <w:r w:rsidR="00982258">
      <w:rPr>
        <w:b/>
        <w:sz w:val="24"/>
        <w:szCs w:val="24"/>
      </w:rPr>
      <w:fldChar w:fldCharType="end"/>
    </w:r>
    <w:r>
      <w:t xml:space="preserve"> of </w:t>
    </w:r>
    <w:r w:rsidR="00982258">
      <w:rPr>
        <w:b/>
        <w:sz w:val="24"/>
        <w:szCs w:val="24"/>
      </w:rPr>
      <w:fldChar w:fldCharType="begin"/>
    </w:r>
    <w:r>
      <w:rPr>
        <w:b/>
      </w:rPr>
      <w:instrText xml:space="preserve"> NUMPAGES  </w:instrText>
    </w:r>
    <w:r w:rsidR="00982258">
      <w:rPr>
        <w:b/>
        <w:sz w:val="24"/>
        <w:szCs w:val="24"/>
      </w:rPr>
      <w:fldChar w:fldCharType="separate"/>
    </w:r>
    <w:r w:rsidR="005A7222">
      <w:rPr>
        <w:b/>
        <w:noProof/>
      </w:rPr>
      <w:t>15</w:t>
    </w:r>
    <w:r w:rsidR="00982258">
      <w:rPr>
        <w:b/>
        <w:sz w:val="24"/>
        <w:szCs w:val="24"/>
      </w:rPr>
      <w:fldChar w:fldCharType="end"/>
    </w:r>
  </w:p>
  <w:p w:rsidR="006F59E8" w:rsidRDefault="006F5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90D" w:rsidRDefault="007C590D" w:rsidP="00EA3D17">
      <w:r>
        <w:separator/>
      </w:r>
    </w:p>
  </w:footnote>
  <w:footnote w:type="continuationSeparator" w:id="0">
    <w:p w:rsidR="007C590D" w:rsidRDefault="007C590D" w:rsidP="00EA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22" w:rsidRDefault="005A7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E8" w:rsidRDefault="005A7222" w:rsidP="005A722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22" w:rsidRDefault="005A72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E8" w:rsidRDefault="006F5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ABF"/>
    <w:multiLevelType w:val="hybridMultilevel"/>
    <w:tmpl w:val="E298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239E7"/>
    <w:multiLevelType w:val="hybridMultilevel"/>
    <w:tmpl w:val="E86E79B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8D76079"/>
    <w:multiLevelType w:val="hybridMultilevel"/>
    <w:tmpl w:val="AD6CB62A"/>
    <w:lvl w:ilvl="0" w:tplc="BC383E12">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D5C39D1"/>
    <w:multiLevelType w:val="hybridMultilevel"/>
    <w:tmpl w:val="BD82CE28"/>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1608B"/>
    <w:multiLevelType w:val="hybridMultilevel"/>
    <w:tmpl w:val="09D0C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74D4B"/>
    <w:multiLevelType w:val="hybridMultilevel"/>
    <w:tmpl w:val="A13C05F6"/>
    <w:lvl w:ilvl="0" w:tplc="E87A4D7C">
      <w:start w:val="1"/>
      <w:numFmt w:val="decimal"/>
      <w:lvlText w:val="%1."/>
      <w:lvlJc w:val="left"/>
      <w:pPr>
        <w:ind w:left="786" w:hanging="360"/>
      </w:pPr>
      <w:rPr>
        <w:rFonts w:hint="default"/>
        <w:b w:val="0"/>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F357C"/>
    <w:multiLevelType w:val="hybridMultilevel"/>
    <w:tmpl w:val="174E840E"/>
    <w:lvl w:ilvl="0" w:tplc="B74A3FF6">
      <w:start w:val="1"/>
      <w:numFmt w:val="decimal"/>
      <w:lvlText w:val="%1."/>
      <w:lvlJc w:val="left"/>
      <w:pPr>
        <w:ind w:left="786" w:hanging="360"/>
      </w:pPr>
      <w:rPr>
        <w:rFonts w:hint="default"/>
        <w:b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15A15"/>
    <w:multiLevelType w:val="hybridMultilevel"/>
    <w:tmpl w:val="654811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355D1"/>
    <w:multiLevelType w:val="hybridMultilevel"/>
    <w:tmpl w:val="8D4E7C1E"/>
    <w:lvl w:ilvl="0" w:tplc="BAC01282">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D5958"/>
    <w:multiLevelType w:val="hybridMultilevel"/>
    <w:tmpl w:val="174E840E"/>
    <w:lvl w:ilvl="0" w:tplc="B74A3FF6">
      <w:start w:val="1"/>
      <w:numFmt w:val="decimal"/>
      <w:lvlText w:val="%1."/>
      <w:lvlJc w:val="left"/>
      <w:pPr>
        <w:ind w:left="786" w:hanging="360"/>
      </w:pPr>
      <w:rPr>
        <w:rFonts w:hint="default"/>
        <w:b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E3372"/>
    <w:multiLevelType w:val="hybridMultilevel"/>
    <w:tmpl w:val="2410EF08"/>
    <w:lvl w:ilvl="0" w:tplc="018816E8">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E4905"/>
    <w:multiLevelType w:val="hybridMultilevel"/>
    <w:tmpl w:val="FB20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32040"/>
    <w:multiLevelType w:val="hybridMultilevel"/>
    <w:tmpl w:val="F8FC7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A866C3"/>
    <w:multiLevelType w:val="hybridMultilevel"/>
    <w:tmpl w:val="23DC2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02246C"/>
    <w:multiLevelType w:val="hybridMultilevel"/>
    <w:tmpl w:val="C2BE79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559CF"/>
    <w:multiLevelType w:val="hybridMultilevel"/>
    <w:tmpl w:val="0F14E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6E2120"/>
    <w:multiLevelType w:val="hybridMultilevel"/>
    <w:tmpl w:val="B142A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51297"/>
    <w:multiLevelType w:val="hybridMultilevel"/>
    <w:tmpl w:val="CF4897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62C100B"/>
    <w:multiLevelType w:val="hybridMultilevel"/>
    <w:tmpl w:val="4E48B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D1A36"/>
    <w:multiLevelType w:val="multilevel"/>
    <w:tmpl w:val="A01E2D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FD6568E"/>
    <w:multiLevelType w:val="hybridMultilevel"/>
    <w:tmpl w:val="DF5A197A"/>
    <w:lvl w:ilvl="0" w:tplc="C78E39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847EDE"/>
    <w:multiLevelType w:val="hybridMultilevel"/>
    <w:tmpl w:val="174E840E"/>
    <w:lvl w:ilvl="0" w:tplc="B74A3FF6">
      <w:start w:val="1"/>
      <w:numFmt w:val="decimal"/>
      <w:lvlText w:val="%1."/>
      <w:lvlJc w:val="left"/>
      <w:pPr>
        <w:ind w:left="786" w:hanging="360"/>
      </w:pPr>
      <w:rPr>
        <w:rFonts w:hint="default"/>
        <w:b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55778E"/>
    <w:multiLevelType w:val="hybridMultilevel"/>
    <w:tmpl w:val="CE4E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4"/>
  </w:num>
  <w:num w:numId="4">
    <w:abstractNumId w:val="13"/>
  </w:num>
  <w:num w:numId="5">
    <w:abstractNumId w:val="8"/>
  </w:num>
  <w:num w:numId="6">
    <w:abstractNumId w:val="17"/>
  </w:num>
  <w:num w:numId="7">
    <w:abstractNumId w:val="10"/>
  </w:num>
  <w:num w:numId="8">
    <w:abstractNumId w:val="16"/>
  </w:num>
  <w:num w:numId="9">
    <w:abstractNumId w:val="12"/>
  </w:num>
  <w:num w:numId="10">
    <w:abstractNumId w:val="2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5"/>
  </w:num>
  <w:num w:numId="19">
    <w:abstractNumId w:val="7"/>
  </w:num>
  <w:num w:numId="20">
    <w:abstractNumId w:val="4"/>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0"/>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084"/>
    <w:rsid w:val="00002654"/>
    <w:rsid w:val="00002868"/>
    <w:rsid w:val="0000320F"/>
    <w:rsid w:val="000034B5"/>
    <w:rsid w:val="00006624"/>
    <w:rsid w:val="0000680A"/>
    <w:rsid w:val="000100C7"/>
    <w:rsid w:val="00010A71"/>
    <w:rsid w:val="00011CB1"/>
    <w:rsid w:val="00012F99"/>
    <w:rsid w:val="0001326A"/>
    <w:rsid w:val="00021A18"/>
    <w:rsid w:val="000222EA"/>
    <w:rsid w:val="0002267F"/>
    <w:rsid w:val="0002328F"/>
    <w:rsid w:val="00025E1D"/>
    <w:rsid w:val="000262F3"/>
    <w:rsid w:val="0003215E"/>
    <w:rsid w:val="000339EB"/>
    <w:rsid w:val="00035282"/>
    <w:rsid w:val="000358F7"/>
    <w:rsid w:val="00036DCF"/>
    <w:rsid w:val="000414B4"/>
    <w:rsid w:val="00043941"/>
    <w:rsid w:val="000474E2"/>
    <w:rsid w:val="00047D3F"/>
    <w:rsid w:val="00057289"/>
    <w:rsid w:val="000601CF"/>
    <w:rsid w:val="0006083A"/>
    <w:rsid w:val="00060D85"/>
    <w:rsid w:val="000666C4"/>
    <w:rsid w:val="000668AD"/>
    <w:rsid w:val="00067B35"/>
    <w:rsid w:val="00073815"/>
    <w:rsid w:val="00073B66"/>
    <w:rsid w:val="000744C5"/>
    <w:rsid w:val="00075FBC"/>
    <w:rsid w:val="000801AD"/>
    <w:rsid w:val="00084EF8"/>
    <w:rsid w:val="00086BEA"/>
    <w:rsid w:val="000877B7"/>
    <w:rsid w:val="0009228B"/>
    <w:rsid w:val="000957A0"/>
    <w:rsid w:val="000A3A39"/>
    <w:rsid w:val="000A68E2"/>
    <w:rsid w:val="000B1125"/>
    <w:rsid w:val="000B2530"/>
    <w:rsid w:val="000B33FB"/>
    <w:rsid w:val="000B42D2"/>
    <w:rsid w:val="000B6294"/>
    <w:rsid w:val="000C23E3"/>
    <w:rsid w:val="000C2477"/>
    <w:rsid w:val="000C34D3"/>
    <w:rsid w:val="000C3A86"/>
    <w:rsid w:val="000C44FD"/>
    <w:rsid w:val="000C7F31"/>
    <w:rsid w:val="000D246A"/>
    <w:rsid w:val="000D281D"/>
    <w:rsid w:val="000D2BBE"/>
    <w:rsid w:val="000D4F8D"/>
    <w:rsid w:val="000D7BFA"/>
    <w:rsid w:val="000E3CF5"/>
    <w:rsid w:val="000E610C"/>
    <w:rsid w:val="000F22F0"/>
    <w:rsid w:val="000F308E"/>
    <w:rsid w:val="000F34BC"/>
    <w:rsid w:val="000F3BF3"/>
    <w:rsid w:val="000F481F"/>
    <w:rsid w:val="000F4D4B"/>
    <w:rsid w:val="00101D09"/>
    <w:rsid w:val="00101F56"/>
    <w:rsid w:val="00102D69"/>
    <w:rsid w:val="0010585F"/>
    <w:rsid w:val="00123821"/>
    <w:rsid w:val="00126CEA"/>
    <w:rsid w:val="00126D69"/>
    <w:rsid w:val="00135425"/>
    <w:rsid w:val="00136956"/>
    <w:rsid w:val="00143D75"/>
    <w:rsid w:val="00147DE9"/>
    <w:rsid w:val="0015188E"/>
    <w:rsid w:val="00151CE7"/>
    <w:rsid w:val="0015770E"/>
    <w:rsid w:val="00162247"/>
    <w:rsid w:val="00162388"/>
    <w:rsid w:val="001653EC"/>
    <w:rsid w:val="001669A7"/>
    <w:rsid w:val="00166B03"/>
    <w:rsid w:val="00167B5B"/>
    <w:rsid w:val="0017270D"/>
    <w:rsid w:val="00175370"/>
    <w:rsid w:val="00176BF7"/>
    <w:rsid w:val="00176C74"/>
    <w:rsid w:val="00177198"/>
    <w:rsid w:val="001815FB"/>
    <w:rsid w:val="00182D3B"/>
    <w:rsid w:val="0018339E"/>
    <w:rsid w:val="00184EAA"/>
    <w:rsid w:val="00185E6B"/>
    <w:rsid w:val="0018719D"/>
    <w:rsid w:val="00191DDD"/>
    <w:rsid w:val="00193B97"/>
    <w:rsid w:val="00194277"/>
    <w:rsid w:val="00194E5B"/>
    <w:rsid w:val="00195671"/>
    <w:rsid w:val="001A122D"/>
    <w:rsid w:val="001A70AF"/>
    <w:rsid w:val="001A7C0D"/>
    <w:rsid w:val="001B0929"/>
    <w:rsid w:val="001B31F4"/>
    <w:rsid w:val="001B51CC"/>
    <w:rsid w:val="001B5F73"/>
    <w:rsid w:val="001C6EAB"/>
    <w:rsid w:val="001C78A3"/>
    <w:rsid w:val="001C7ACB"/>
    <w:rsid w:val="001D07C1"/>
    <w:rsid w:val="001D2C57"/>
    <w:rsid w:val="001D5103"/>
    <w:rsid w:val="001E0D7C"/>
    <w:rsid w:val="001E455F"/>
    <w:rsid w:val="001E5F39"/>
    <w:rsid w:val="001E704B"/>
    <w:rsid w:val="001E7DF1"/>
    <w:rsid w:val="001F2210"/>
    <w:rsid w:val="001F3855"/>
    <w:rsid w:val="001F4C7B"/>
    <w:rsid w:val="001F65BF"/>
    <w:rsid w:val="001F7606"/>
    <w:rsid w:val="002001D2"/>
    <w:rsid w:val="002005E6"/>
    <w:rsid w:val="002008B4"/>
    <w:rsid w:val="002015ED"/>
    <w:rsid w:val="00202561"/>
    <w:rsid w:val="00203933"/>
    <w:rsid w:val="002055D3"/>
    <w:rsid w:val="00207D9A"/>
    <w:rsid w:val="0021030C"/>
    <w:rsid w:val="0021604E"/>
    <w:rsid w:val="00216F19"/>
    <w:rsid w:val="00217CF2"/>
    <w:rsid w:val="00222B5B"/>
    <w:rsid w:val="0022339C"/>
    <w:rsid w:val="00223754"/>
    <w:rsid w:val="002307F6"/>
    <w:rsid w:val="00232750"/>
    <w:rsid w:val="00232D18"/>
    <w:rsid w:val="002339A3"/>
    <w:rsid w:val="00237703"/>
    <w:rsid w:val="002408D5"/>
    <w:rsid w:val="00242C1B"/>
    <w:rsid w:val="00244C82"/>
    <w:rsid w:val="00246DB5"/>
    <w:rsid w:val="002500BC"/>
    <w:rsid w:val="00255767"/>
    <w:rsid w:val="00256645"/>
    <w:rsid w:val="00260E1A"/>
    <w:rsid w:val="002702AE"/>
    <w:rsid w:val="0027293B"/>
    <w:rsid w:val="00274381"/>
    <w:rsid w:val="002819CD"/>
    <w:rsid w:val="00281F81"/>
    <w:rsid w:val="002821A0"/>
    <w:rsid w:val="00284662"/>
    <w:rsid w:val="0029139B"/>
    <w:rsid w:val="00291418"/>
    <w:rsid w:val="00293A91"/>
    <w:rsid w:val="00293E2D"/>
    <w:rsid w:val="002956D6"/>
    <w:rsid w:val="00295B06"/>
    <w:rsid w:val="002A3CB8"/>
    <w:rsid w:val="002A5BE5"/>
    <w:rsid w:val="002A72CC"/>
    <w:rsid w:val="002B3D44"/>
    <w:rsid w:val="002B79A0"/>
    <w:rsid w:val="002C7B26"/>
    <w:rsid w:val="002D1710"/>
    <w:rsid w:val="002D19FA"/>
    <w:rsid w:val="002D5F93"/>
    <w:rsid w:val="002E2EDB"/>
    <w:rsid w:val="002E348C"/>
    <w:rsid w:val="002E361E"/>
    <w:rsid w:val="002E44CF"/>
    <w:rsid w:val="002E4643"/>
    <w:rsid w:val="002E4671"/>
    <w:rsid w:val="002E4A84"/>
    <w:rsid w:val="002E5D8D"/>
    <w:rsid w:val="002E7078"/>
    <w:rsid w:val="003001AF"/>
    <w:rsid w:val="00301206"/>
    <w:rsid w:val="00301652"/>
    <w:rsid w:val="00303389"/>
    <w:rsid w:val="00311B49"/>
    <w:rsid w:val="00311B67"/>
    <w:rsid w:val="00314976"/>
    <w:rsid w:val="00314AD2"/>
    <w:rsid w:val="00314FA3"/>
    <w:rsid w:val="003208F9"/>
    <w:rsid w:val="003236BE"/>
    <w:rsid w:val="00324032"/>
    <w:rsid w:val="00327737"/>
    <w:rsid w:val="003303E8"/>
    <w:rsid w:val="00341E55"/>
    <w:rsid w:val="00345343"/>
    <w:rsid w:val="0035413A"/>
    <w:rsid w:val="00354385"/>
    <w:rsid w:val="00354A14"/>
    <w:rsid w:val="00354A2E"/>
    <w:rsid w:val="00354E48"/>
    <w:rsid w:val="00361EF7"/>
    <w:rsid w:val="00363038"/>
    <w:rsid w:val="00370EE7"/>
    <w:rsid w:val="0037185F"/>
    <w:rsid w:val="003723AD"/>
    <w:rsid w:val="00373123"/>
    <w:rsid w:val="00374E2B"/>
    <w:rsid w:val="00375CE1"/>
    <w:rsid w:val="003774B9"/>
    <w:rsid w:val="00377A5A"/>
    <w:rsid w:val="00383BAA"/>
    <w:rsid w:val="0038682B"/>
    <w:rsid w:val="003868B2"/>
    <w:rsid w:val="00386AE5"/>
    <w:rsid w:val="0039199D"/>
    <w:rsid w:val="00394939"/>
    <w:rsid w:val="003A0C21"/>
    <w:rsid w:val="003A1C62"/>
    <w:rsid w:val="003A37E3"/>
    <w:rsid w:val="003A6538"/>
    <w:rsid w:val="003A7CFD"/>
    <w:rsid w:val="003B067E"/>
    <w:rsid w:val="003B1900"/>
    <w:rsid w:val="003C218E"/>
    <w:rsid w:val="003C2F34"/>
    <w:rsid w:val="003C7109"/>
    <w:rsid w:val="003C7E81"/>
    <w:rsid w:val="003D0C8E"/>
    <w:rsid w:val="003D377A"/>
    <w:rsid w:val="003E2E1D"/>
    <w:rsid w:val="003E5604"/>
    <w:rsid w:val="003F2648"/>
    <w:rsid w:val="003F5623"/>
    <w:rsid w:val="003F5EDB"/>
    <w:rsid w:val="003F6D11"/>
    <w:rsid w:val="003F7CF3"/>
    <w:rsid w:val="004023B9"/>
    <w:rsid w:val="00406C8B"/>
    <w:rsid w:val="004129F2"/>
    <w:rsid w:val="00413675"/>
    <w:rsid w:val="00415168"/>
    <w:rsid w:val="00415C9A"/>
    <w:rsid w:val="00415E74"/>
    <w:rsid w:val="00420908"/>
    <w:rsid w:val="0042455E"/>
    <w:rsid w:val="00424D94"/>
    <w:rsid w:val="004305D9"/>
    <w:rsid w:val="004309D8"/>
    <w:rsid w:val="00430D58"/>
    <w:rsid w:val="00431DA4"/>
    <w:rsid w:val="004400B2"/>
    <w:rsid w:val="00440198"/>
    <w:rsid w:val="004408E8"/>
    <w:rsid w:val="00440A98"/>
    <w:rsid w:val="00440B47"/>
    <w:rsid w:val="00443D27"/>
    <w:rsid w:val="00445834"/>
    <w:rsid w:val="00445970"/>
    <w:rsid w:val="004565AA"/>
    <w:rsid w:val="00456A60"/>
    <w:rsid w:val="00460B6C"/>
    <w:rsid w:val="0046119E"/>
    <w:rsid w:val="0046164C"/>
    <w:rsid w:val="00467198"/>
    <w:rsid w:val="00467ED3"/>
    <w:rsid w:val="00470743"/>
    <w:rsid w:val="00471504"/>
    <w:rsid w:val="00480880"/>
    <w:rsid w:val="00481100"/>
    <w:rsid w:val="00481BB7"/>
    <w:rsid w:val="00483D9F"/>
    <w:rsid w:val="004855D7"/>
    <w:rsid w:val="00486892"/>
    <w:rsid w:val="004869A8"/>
    <w:rsid w:val="00491411"/>
    <w:rsid w:val="00492B9B"/>
    <w:rsid w:val="00495D1D"/>
    <w:rsid w:val="00497C8C"/>
    <w:rsid w:val="004A340B"/>
    <w:rsid w:val="004A4416"/>
    <w:rsid w:val="004A743B"/>
    <w:rsid w:val="004B4B9C"/>
    <w:rsid w:val="004B7513"/>
    <w:rsid w:val="004C0A7E"/>
    <w:rsid w:val="004C3099"/>
    <w:rsid w:val="004C6A4B"/>
    <w:rsid w:val="004D01E7"/>
    <w:rsid w:val="004D103E"/>
    <w:rsid w:val="004D12E1"/>
    <w:rsid w:val="004D35C8"/>
    <w:rsid w:val="004D4500"/>
    <w:rsid w:val="004D53A1"/>
    <w:rsid w:val="004E2429"/>
    <w:rsid w:val="004E6131"/>
    <w:rsid w:val="004E6B85"/>
    <w:rsid w:val="004E6D1A"/>
    <w:rsid w:val="004E779B"/>
    <w:rsid w:val="004F043B"/>
    <w:rsid w:val="004F4103"/>
    <w:rsid w:val="004F4F1C"/>
    <w:rsid w:val="00504398"/>
    <w:rsid w:val="00504F98"/>
    <w:rsid w:val="00513D70"/>
    <w:rsid w:val="005168D1"/>
    <w:rsid w:val="0052176E"/>
    <w:rsid w:val="00522A13"/>
    <w:rsid w:val="00523110"/>
    <w:rsid w:val="005234B8"/>
    <w:rsid w:val="00524A07"/>
    <w:rsid w:val="00526771"/>
    <w:rsid w:val="0052740B"/>
    <w:rsid w:val="005325F7"/>
    <w:rsid w:val="00533D64"/>
    <w:rsid w:val="005353AC"/>
    <w:rsid w:val="005361F9"/>
    <w:rsid w:val="005408CC"/>
    <w:rsid w:val="00541E59"/>
    <w:rsid w:val="0055042E"/>
    <w:rsid w:val="00551E32"/>
    <w:rsid w:val="00554E42"/>
    <w:rsid w:val="00561154"/>
    <w:rsid w:val="00562627"/>
    <w:rsid w:val="00563D11"/>
    <w:rsid w:val="0056522A"/>
    <w:rsid w:val="0056778A"/>
    <w:rsid w:val="00570B7C"/>
    <w:rsid w:val="005718ED"/>
    <w:rsid w:val="005766CD"/>
    <w:rsid w:val="00577973"/>
    <w:rsid w:val="00577B7F"/>
    <w:rsid w:val="00586CC6"/>
    <w:rsid w:val="00587E8C"/>
    <w:rsid w:val="00590DC6"/>
    <w:rsid w:val="00593A27"/>
    <w:rsid w:val="005946F5"/>
    <w:rsid w:val="00594779"/>
    <w:rsid w:val="0059641E"/>
    <w:rsid w:val="00596476"/>
    <w:rsid w:val="00596F87"/>
    <w:rsid w:val="005A1807"/>
    <w:rsid w:val="005A5C55"/>
    <w:rsid w:val="005A68B6"/>
    <w:rsid w:val="005A6D38"/>
    <w:rsid w:val="005A6D41"/>
    <w:rsid w:val="005A7222"/>
    <w:rsid w:val="005B0501"/>
    <w:rsid w:val="005B27A4"/>
    <w:rsid w:val="005B2D12"/>
    <w:rsid w:val="005B509B"/>
    <w:rsid w:val="005B7319"/>
    <w:rsid w:val="005C0198"/>
    <w:rsid w:val="005C3A85"/>
    <w:rsid w:val="005C4CB9"/>
    <w:rsid w:val="005C6F30"/>
    <w:rsid w:val="005D109C"/>
    <w:rsid w:val="005D41D3"/>
    <w:rsid w:val="005D7C25"/>
    <w:rsid w:val="005E0052"/>
    <w:rsid w:val="005E1655"/>
    <w:rsid w:val="005E4152"/>
    <w:rsid w:val="005E5106"/>
    <w:rsid w:val="005E76EC"/>
    <w:rsid w:val="005E7A76"/>
    <w:rsid w:val="005F6F23"/>
    <w:rsid w:val="006012C6"/>
    <w:rsid w:val="00603CE3"/>
    <w:rsid w:val="0060711D"/>
    <w:rsid w:val="00610399"/>
    <w:rsid w:val="006123B8"/>
    <w:rsid w:val="00615C67"/>
    <w:rsid w:val="00623140"/>
    <w:rsid w:val="00623165"/>
    <w:rsid w:val="00633BC7"/>
    <w:rsid w:val="00634FB3"/>
    <w:rsid w:val="0063513F"/>
    <w:rsid w:val="00635FED"/>
    <w:rsid w:val="00642950"/>
    <w:rsid w:val="0064302A"/>
    <w:rsid w:val="006430A6"/>
    <w:rsid w:val="00643743"/>
    <w:rsid w:val="0064498B"/>
    <w:rsid w:val="006458DD"/>
    <w:rsid w:val="00645BF4"/>
    <w:rsid w:val="00646EC9"/>
    <w:rsid w:val="006501B0"/>
    <w:rsid w:val="0065427C"/>
    <w:rsid w:val="00654B85"/>
    <w:rsid w:val="00655849"/>
    <w:rsid w:val="0065668C"/>
    <w:rsid w:val="00661FEB"/>
    <w:rsid w:val="00664643"/>
    <w:rsid w:val="00665489"/>
    <w:rsid w:val="00665D88"/>
    <w:rsid w:val="00667152"/>
    <w:rsid w:val="0066768A"/>
    <w:rsid w:val="00667769"/>
    <w:rsid w:val="006731DD"/>
    <w:rsid w:val="00673B11"/>
    <w:rsid w:val="00677142"/>
    <w:rsid w:val="006773EA"/>
    <w:rsid w:val="00681E25"/>
    <w:rsid w:val="0068324D"/>
    <w:rsid w:val="0068327F"/>
    <w:rsid w:val="00692917"/>
    <w:rsid w:val="00692933"/>
    <w:rsid w:val="00693521"/>
    <w:rsid w:val="00693DE1"/>
    <w:rsid w:val="006A00CB"/>
    <w:rsid w:val="006A0392"/>
    <w:rsid w:val="006A207F"/>
    <w:rsid w:val="006A3446"/>
    <w:rsid w:val="006A4BB9"/>
    <w:rsid w:val="006A57A5"/>
    <w:rsid w:val="006A7058"/>
    <w:rsid w:val="006B1DEA"/>
    <w:rsid w:val="006B40F6"/>
    <w:rsid w:val="006B416C"/>
    <w:rsid w:val="006B65D8"/>
    <w:rsid w:val="006C0624"/>
    <w:rsid w:val="006C09F3"/>
    <w:rsid w:val="006C185B"/>
    <w:rsid w:val="006C1B26"/>
    <w:rsid w:val="006C2576"/>
    <w:rsid w:val="006C31C9"/>
    <w:rsid w:val="006C4F09"/>
    <w:rsid w:val="006C673E"/>
    <w:rsid w:val="006D0430"/>
    <w:rsid w:val="006D0F34"/>
    <w:rsid w:val="006D641B"/>
    <w:rsid w:val="006E28BE"/>
    <w:rsid w:val="006F3E51"/>
    <w:rsid w:val="006F59E8"/>
    <w:rsid w:val="00701785"/>
    <w:rsid w:val="00702460"/>
    <w:rsid w:val="00704B84"/>
    <w:rsid w:val="00705699"/>
    <w:rsid w:val="00705E86"/>
    <w:rsid w:val="007106A9"/>
    <w:rsid w:val="00711F63"/>
    <w:rsid w:val="00712418"/>
    <w:rsid w:val="00712CB8"/>
    <w:rsid w:val="0071465A"/>
    <w:rsid w:val="007150F2"/>
    <w:rsid w:val="0071770D"/>
    <w:rsid w:val="00721475"/>
    <w:rsid w:val="0072321B"/>
    <w:rsid w:val="00735513"/>
    <w:rsid w:val="00735F5D"/>
    <w:rsid w:val="00736632"/>
    <w:rsid w:val="00737B45"/>
    <w:rsid w:val="0074100B"/>
    <w:rsid w:val="0074667E"/>
    <w:rsid w:val="007544BD"/>
    <w:rsid w:val="00762A11"/>
    <w:rsid w:val="00766669"/>
    <w:rsid w:val="00766F70"/>
    <w:rsid w:val="0077052E"/>
    <w:rsid w:val="00774624"/>
    <w:rsid w:val="007757B9"/>
    <w:rsid w:val="0078118B"/>
    <w:rsid w:val="00782143"/>
    <w:rsid w:val="00782A78"/>
    <w:rsid w:val="00792518"/>
    <w:rsid w:val="007927AB"/>
    <w:rsid w:val="00794352"/>
    <w:rsid w:val="007A3601"/>
    <w:rsid w:val="007A3788"/>
    <w:rsid w:val="007A41FB"/>
    <w:rsid w:val="007A6C25"/>
    <w:rsid w:val="007A7923"/>
    <w:rsid w:val="007B02B3"/>
    <w:rsid w:val="007B02CA"/>
    <w:rsid w:val="007B222C"/>
    <w:rsid w:val="007C0A1D"/>
    <w:rsid w:val="007C0FEE"/>
    <w:rsid w:val="007C4A1E"/>
    <w:rsid w:val="007C4D48"/>
    <w:rsid w:val="007C590D"/>
    <w:rsid w:val="007D3340"/>
    <w:rsid w:val="007D5669"/>
    <w:rsid w:val="007D578F"/>
    <w:rsid w:val="007E12C9"/>
    <w:rsid w:val="007E288D"/>
    <w:rsid w:val="007E349D"/>
    <w:rsid w:val="007E7FE0"/>
    <w:rsid w:val="007F1877"/>
    <w:rsid w:val="007F47D3"/>
    <w:rsid w:val="007F4BBE"/>
    <w:rsid w:val="007F5735"/>
    <w:rsid w:val="007F616C"/>
    <w:rsid w:val="007F6708"/>
    <w:rsid w:val="008023D9"/>
    <w:rsid w:val="00805BA0"/>
    <w:rsid w:val="008068D9"/>
    <w:rsid w:val="00816758"/>
    <w:rsid w:val="00816BCE"/>
    <w:rsid w:val="008176AD"/>
    <w:rsid w:val="00820126"/>
    <w:rsid w:val="00823893"/>
    <w:rsid w:val="008258D8"/>
    <w:rsid w:val="00825E54"/>
    <w:rsid w:val="00832C0F"/>
    <w:rsid w:val="0083360E"/>
    <w:rsid w:val="00833677"/>
    <w:rsid w:val="00835C86"/>
    <w:rsid w:val="008374B1"/>
    <w:rsid w:val="008376FD"/>
    <w:rsid w:val="00846C70"/>
    <w:rsid w:val="00847612"/>
    <w:rsid w:val="008478D4"/>
    <w:rsid w:val="00847CDF"/>
    <w:rsid w:val="00854DF3"/>
    <w:rsid w:val="00856C0F"/>
    <w:rsid w:val="008616F4"/>
    <w:rsid w:val="008621D8"/>
    <w:rsid w:val="008645EE"/>
    <w:rsid w:val="008666D2"/>
    <w:rsid w:val="00872592"/>
    <w:rsid w:val="0087772F"/>
    <w:rsid w:val="0088037E"/>
    <w:rsid w:val="00883717"/>
    <w:rsid w:val="008854B3"/>
    <w:rsid w:val="008862B8"/>
    <w:rsid w:val="008913DA"/>
    <w:rsid w:val="00891B50"/>
    <w:rsid w:val="00891CFA"/>
    <w:rsid w:val="00891F9F"/>
    <w:rsid w:val="00894532"/>
    <w:rsid w:val="00894B32"/>
    <w:rsid w:val="00895B93"/>
    <w:rsid w:val="00896026"/>
    <w:rsid w:val="008960C0"/>
    <w:rsid w:val="008A0936"/>
    <w:rsid w:val="008A480C"/>
    <w:rsid w:val="008B6950"/>
    <w:rsid w:val="008B6BF4"/>
    <w:rsid w:val="008B6DD7"/>
    <w:rsid w:val="008B7F16"/>
    <w:rsid w:val="008C181F"/>
    <w:rsid w:val="008C2B60"/>
    <w:rsid w:val="008C5C5B"/>
    <w:rsid w:val="008D01FE"/>
    <w:rsid w:val="008D058B"/>
    <w:rsid w:val="008D128B"/>
    <w:rsid w:val="008D2318"/>
    <w:rsid w:val="008D3858"/>
    <w:rsid w:val="008D4E69"/>
    <w:rsid w:val="008D7794"/>
    <w:rsid w:val="008E00AC"/>
    <w:rsid w:val="008E1DB2"/>
    <w:rsid w:val="008E2318"/>
    <w:rsid w:val="008E58E3"/>
    <w:rsid w:val="008E6BFB"/>
    <w:rsid w:val="008E7E7A"/>
    <w:rsid w:val="008F3FA9"/>
    <w:rsid w:val="008F3FF9"/>
    <w:rsid w:val="008F7AA8"/>
    <w:rsid w:val="009008BA"/>
    <w:rsid w:val="00904C20"/>
    <w:rsid w:val="00905C85"/>
    <w:rsid w:val="009137E4"/>
    <w:rsid w:val="009147E7"/>
    <w:rsid w:val="00915019"/>
    <w:rsid w:val="00917573"/>
    <w:rsid w:val="00917B1D"/>
    <w:rsid w:val="00922064"/>
    <w:rsid w:val="009240D9"/>
    <w:rsid w:val="00924BA7"/>
    <w:rsid w:val="00927AD6"/>
    <w:rsid w:val="00933112"/>
    <w:rsid w:val="00935895"/>
    <w:rsid w:val="00935ADB"/>
    <w:rsid w:val="00935C60"/>
    <w:rsid w:val="00935CF2"/>
    <w:rsid w:val="00937BF3"/>
    <w:rsid w:val="0094014F"/>
    <w:rsid w:val="009405FA"/>
    <w:rsid w:val="009516A1"/>
    <w:rsid w:val="00951BEC"/>
    <w:rsid w:val="0095706D"/>
    <w:rsid w:val="009619CE"/>
    <w:rsid w:val="009646BC"/>
    <w:rsid w:val="00965606"/>
    <w:rsid w:val="009710FD"/>
    <w:rsid w:val="009723E9"/>
    <w:rsid w:val="00972BA9"/>
    <w:rsid w:val="0097412B"/>
    <w:rsid w:val="0097417C"/>
    <w:rsid w:val="00974A02"/>
    <w:rsid w:val="00974D0A"/>
    <w:rsid w:val="00976E2F"/>
    <w:rsid w:val="00976FB6"/>
    <w:rsid w:val="00977B5F"/>
    <w:rsid w:val="00982258"/>
    <w:rsid w:val="009837D7"/>
    <w:rsid w:val="00984337"/>
    <w:rsid w:val="00987CEC"/>
    <w:rsid w:val="009914D8"/>
    <w:rsid w:val="00992327"/>
    <w:rsid w:val="00993E98"/>
    <w:rsid w:val="009A02FA"/>
    <w:rsid w:val="009A2D3F"/>
    <w:rsid w:val="009A4348"/>
    <w:rsid w:val="009A67DC"/>
    <w:rsid w:val="009A6C2E"/>
    <w:rsid w:val="009B5AB5"/>
    <w:rsid w:val="009C1193"/>
    <w:rsid w:val="009C1C2A"/>
    <w:rsid w:val="009C1CE3"/>
    <w:rsid w:val="009D1BCC"/>
    <w:rsid w:val="009D7952"/>
    <w:rsid w:val="009E280B"/>
    <w:rsid w:val="009E4D84"/>
    <w:rsid w:val="009E59EB"/>
    <w:rsid w:val="009E5ACA"/>
    <w:rsid w:val="009E782E"/>
    <w:rsid w:val="009F06E5"/>
    <w:rsid w:val="009F4C15"/>
    <w:rsid w:val="009F712F"/>
    <w:rsid w:val="00A02DA7"/>
    <w:rsid w:val="00A030BD"/>
    <w:rsid w:val="00A044CC"/>
    <w:rsid w:val="00A0588F"/>
    <w:rsid w:val="00A07146"/>
    <w:rsid w:val="00A107C8"/>
    <w:rsid w:val="00A125A2"/>
    <w:rsid w:val="00A14531"/>
    <w:rsid w:val="00A15169"/>
    <w:rsid w:val="00A15F06"/>
    <w:rsid w:val="00A16596"/>
    <w:rsid w:val="00A23C63"/>
    <w:rsid w:val="00A24F36"/>
    <w:rsid w:val="00A3326C"/>
    <w:rsid w:val="00A33D2B"/>
    <w:rsid w:val="00A3644F"/>
    <w:rsid w:val="00A37AFF"/>
    <w:rsid w:val="00A4189D"/>
    <w:rsid w:val="00A4211E"/>
    <w:rsid w:val="00A455FF"/>
    <w:rsid w:val="00A47F2C"/>
    <w:rsid w:val="00A51B01"/>
    <w:rsid w:val="00A55C1E"/>
    <w:rsid w:val="00A55FAE"/>
    <w:rsid w:val="00A60806"/>
    <w:rsid w:val="00A60F6D"/>
    <w:rsid w:val="00A63664"/>
    <w:rsid w:val="00A6461C"/>
    <w:rsid w:val="00A65BD2"/>
    <w:rsid w:val="00A679CA"/>
    <w:rsid w:val="00A7480D"/>
    <w:rsid w:val="00A76843"/>
    <w:rsid w:val="00A77712"/>
    <w:rsid w:val="00A80EB1"/>
    <w:rsid w:val="00A81BBA"/>
    <w:rsid w:val="00A93385"/>
    <w:rsid w:val="00A93604"/>
    <w:rsid w:val="00A94211"/>
    <w:rsid w:val="00AA11AE"/>
    <w:rsid w:val="00AA208C"/>
    <w:rsid w:val="00AA2107"/>
    <w:rsid w:val="00AA27E7"/>
    <w:rsid w:val="00AB022D"/>
    <w:rsid w:val="00AB2AB8"/>
    <w:rsid w:val="00AB2F06"/>
    <w:rsid w:val="00AB34A4"/>
    <w:rsid w:val="00AB403D"/>
    <w:rsid w:val="00AB5222"/>
    <w:rsid w:val="00AB5B65"/>
    <w:rsid w:val="00AC0C1C"/>
    <w:rsid w:val="00AC16AE"/>
    <w:rsid w:val="00AC3F55"/>
    <w:rsid w:val="00AC465D"/>
    <w:rsid w:val="00AC496D"/>
    <w:rsid w:val="00AC6762"/>
    <w:rsid w:val="00AC7CB1"/>
    <w:rsid w:val="00AD0CFF"/>
    <w:rsid w:val="00AD6151"/>
    <w:rsid w:val="00AD7039"/>
    <w:rsid w:val="00AE3115"/>
    <w:rsid w:val="00AE40FA"/>
    <w:rsid w:val="00AE7842"/>
    <w:rsid w:val="00AE7AEE"/>
    <w:rsid w:val="00AF4942"/>
    <w:rsid w:val="00B04977"/>
    <w:rsid w:val="00B11C8D"/>
    <w:rsid w:val="00B1215A"/>
    <w:rsid w:val="00B124D3"/>
    <w:rsid w:val="00B148DB"/>
    <w:rsid w:val="00B22D1A"/>
    <w:rsid w:val="00B24317"/>
    <w:rsid w:val="00B24AB2"/>
    <w:rsid w:val="00B256B9"/>
    <w:rsid w:val="00B25927"/>
    <w:rsid w:val="00B3396C"/>
    <w:rsid w:val="00B33A07"/>
    <w:rsid w:val="00B35032"/>
    <w:rsid w:val="00B36EA9"/>
    <w:rsid w:val="00B40C42"/>
    <w:rsid w:val="00B44C70"/>
    <w:rsid w:val="00B452EB"/>
    <w:rsid w:val="00B47D78"/>
    <w:rsid w:val="00B51373"/>
    <w:rsid w:val="00B5219A"/>
    <w:rsid w:val="00B5674D"/>
    <w:rsid w:val="00B62030"/>
    <w:rsid w:val="00B62C30"/>
    <w:rsid w:val="00B70811"/>
    <w:rsid w:val="00B7095D"/>
    <w:rsid w:val="00B73743"/>
    <w:rsid w:val="00B802F2"/>
    <w:rsid w:val="00B806EF"/>
    <w:rsid w:val="00B80C76"/>
    <w:rsid w:val="00B8160B"/>
    <w:rsid w:val="00B82B96"/>
    <w:rsid w:val="00B83189"/>
    <w:rsid w:val="00B832D6"/>
    <w:rsid w:val="00B855A3"/>
    <w:rsid w:val="00B87C74"/>
    <w:rsid w:val="00B91188"/>
    <w:rsid w:val="00B9225D"/>
    <w:rsid w:val="00B93F3C"/>
    <w:rsid w:val="00BA1E68"/>
    <w:rsid w:val="00BA3B68"/>
    <w:rsid w:val="00BA69A7"/>
    <w:rsid w:val="00BC53CF"/>
    <w:rsid w:val="00BC5B19"/>
    <w:rsid w:val="00BC65C9"/>
    <w:rsid w:val="00BD16E6"/>
    <w:rsid w:val="00BD1752"/>
    <w:rsid w:val="00BD6EF2"/>
    <w:rsid w:val="00BD783D"/>
    <w:rsid w:val="00BE07E2"/>
    <w:rsid w:val="00BE0F45"/>
    <w:rsid w:val="00BE12DD"/>
    <w:rsid w:val="00BE2F4E"/>
    <w:rsid w:val="00BE2FAC"/>
    <w:rsid w:val="00BF0C64"/>
    <w:rsid w:val="00BF0E54"/>
    <w:rsid w:val="00C025A5"/>
    <w:rsid w:val="00C02A23"/>
    <w:rsid w:val="00C050C8"/>
    <w:rsid w:val="00C06474"/>
    <w:rsid w:val="00C105C9"/>
    <w:rsid w:val="00C12641"/>
    <w:rsid w:val="00C13094"/>
    <w:rsid w:val="00C1496B"/>
    <w:rsid w:val="00C16890"/>
    <w:rsid w:val="00C17B96"/>
    <w:rsid w:val="00C20EAF"/>
    <w:rsid w:val="00C2197A"/>
    <w:rsid w:val="00C252CB"/>
    <w:rsid w:val="00C252EC"/>
    <w:rsid w:val="00C34683"/>
    <w:rsid w:val="00C34A8F"/>
    <w:rsid w:val="00C3667F"/>
    <w:rsid w:val="00C407DB"/>
    <w:rsid w:val="00C40F87"/>
    <w:rsid w:val="00C41C6E"/>
    <w:rsid w:val="00C43A8D"/>
    <w:rsid w:val="00C46303"/>
    <w:rsid w:val="00C51DE8"/>
    <w:rsid w:val="00C549FA"/>
    <w:rsid w:val="00C605E5"/>
    <w:rsid w:val="00C608B0"/>
    <w:rsid w:val="00C647B5"/>
    <w:rsid w:val="00C65611"/>
    <w:rsid w:val="00C67750"/>
    <w:rsid w:val="00C73377"/>
    <w:rsid w:val="00C74188"/>
    <w:rsid w:val="00C768E8"/>
    <w:rsid w:val="00C81A11"/>
    <w:rsid w:val="00C8330F"/>
    <w:rsid w:val="00C8464D"/>
    <w:rsid w:val="00C850C9"/>
    <w:rsid w:val="00C92C87"/>
    <w:rsid w:val="00C94B25"/>
    <w:rsid w:val="00C9652C"/>
    <w:rsid w:val="00C96994"/>
    <w:rsid w:val="00CA0EBC"/>
    <w:rsid w:val="00CA3742"/>
    <w:rsid w:val="00CA3B3F"/>
    <w:rsid w:val="00CA43F4"/>
    <w:rsid w:val="00CA6C7D"/>
    <w:rsid w:val="00CB0305"/>
    <w:rsid w:val="00CB199C"/>
    <w:rsid w:val="00CB1E63"/>
    <w:rsid w:val="00CB40CD"/>
    <w:rsid w:val="00CB6BC7"/>
    <w:rsid w:val="00CB7050"/>
    <w:rsid w:val="00CC208B"/>
    <w:rsid w:val="00CC609F"/>
    <w:rsid w:val="00CD0538"/>
    <w:rsid w:val="00CD0B92"/>
    <w:rsid w:val="00CD10B4"/>
    <w:rsid w:val="00CE08C0"/>
    <w:rsid w:val="00CE1D98"/>
    <w:rsid w:val="00CE2646"/>
    <w:rsid w:val="00CE3A51"/>
    <w:rsid w:val="00CE624A"/>
    <w:rsid w:val="00CF18EE"/>
    <w:rsid w:val="00CF50BB"/>
    <w:rsid w:val="00CF50F7"/>
    <w:rsid w:val="00CF649D"/>
    <w:rsid w:val="00D00B94"/>
    <w:rsid w:val="00D01605"/>
    <w:rsid w:val="00D02CEC"/>
    <w:rsid w:val="00D064BA"/>
    <w:rsid w:val="00D06623"/>
    <w:rsid w:val="00D12039"/>
    <w:rsid w:val="00D16226"/>
    <w:rsid w:val="00D169C4"/>
    <w:rsid w:val="00D17988"/>
    <w:rsid w:val="00D179B5"/>
    <w:rsid w:val="00D17F1D"/>
    <w:rsid w:val="00D21DBC"/>
    <w:rsid w:val="00D2373E"/>
    <w:rsid w:val="00D238C7"/>
    <w:rsid w:val="00D25961"/>
    <w:rsid w:val="00D34D30"/>
    <w:rsid w:val="00D378E3"/>
    <w:rsid w:val="00D502C6"/>
    <w:rsid w:val="00D5088D"/>
    <w:rsid w:val="00D52700"/>
    <w:rsid w:val="00D64362"/>
    <w:rsid w:val="00D66123"/>
    <w:rsid w:val="00D72D96"/>
    <w:rsid w:val="00D7628F"/>
    <w:rsid w:val="00D76AB7"/>
    <w:rsid w:val="00D80AEA"/>
    <w:rsid w:val="00D81E79"/>
    <w:rsid w:val="00D877BB"/>
    <w:rsid w:val="00D87A80"/>
    <w:rsid w:val="00D96AA3"/>
    <w:rsid w:val="00DA4AE9"/>
    <w:rsid w:val="00DA693F"/>
    <w:rsid w:val="00DA774F"/>
    <w:rsid w:val="00DB367E"/>
    <w:rsid w:val="00DB52EC"/>
    <w:rsid w:val="00DB6092"/>
    <w:rsid w:val="00DB7EED"/>
    <w:rsid w:val="00DC1D98"/>
    <w:rsid w:val="00DC22F7"/>
    <w:rsid w:val="00DC24A2"/>
    <w:rsid w:val="00DD0D90"/>
    <w:rsid w:val="00DD169D"/>
    <w:rsid w:val="00DD45EC"/>
    <w:rsid w:val="00DD6F5A"/>
    <w:rsid w:val="00DE1887"/>
    <w:rsid w:val="00DE28B2"/>
    <w:rsid w:val="00DE7068"/>
    <w:rsid w:val="00DF5841"/>
    <w:rsid w:val="00E0388D"/>
    <w:rsid w:val="00E07436"/>
    <w:rsid w:val="00E10006"/>
    <w:rsid w:val="00E13FD6"/>
    <w:rsid w:val="00E14474"/>
    <w:rsid w:val="00E14483"/>
    <w:rsid w:val="00E16747"/>
    <w:rsid w:val="00E22508"/>
    <w:rsid w:val="00E253E4"/>
    <w:rsid w:val="00E25AD8"/>
    <w:rsid w:val="00E267CF"/>
    <w:rsid w:val="00E30B56"/>
    <w:rsid w:val="00E31774"/>
    <w:rsid w:val="00E317DE"/>
    <w:rsid w:val="00E31AC5"/>
    <w:rsid w:val="00E323B2"/>
    <w:rsid w:val="00E36E5F"/>
    <w:rsid w:val="00E4142D"/>
    <w:rsid w:val="00E45D18"/>
    <w:rsid w:val="00E47933"/>
    <w:rsid w:val="00E535F4"/>
    <w:rsid w:val="00E5631F"/>
    <w:rsid w:val="00E5716D"/>
    <w:rsid w:val="00E6352F"/>
    <w:rsid w:val="00E6393C"/>
    <w:rsid w:val="00E64A09"/>
    <w:rsid w:val="00E65889"/>
    <w:rsid w:val="00E71728"/>
    <w:rsid w:val="00E726C3"/>
    <w:rsid w:val="00E727E0"/>
    <w:rsid w:val="00E833CB"/>
    <w:rsid w:val="00E83C53"/>
    <w:rsid w:val="00E8457A"/>
    <w:rsid w:val="00E847F5"/>
    <w:rsid w:val="00E8487C"/>
    <w:rsid w:val="00E907DA"/>
    <w:rsid w:val="00E90A1D"/>
    <w:rsid w:val="00E95EFE"/>
    <w:rsid w:val="00EA3D17"/>
    <w:rsid w:val="00EA6317"/>
    <w:rsid w:val="00EA6980"/>
    <w:rsid w:val="00EB0236"/>
    <w:rsid w:val="00EB151A"/>
    <w:rsid w:val="00EB3255"/>
    <w:rsid w:val="00EB6E95"/>
    <w:rsid w:val="00EB6F59"/>
    <w:rsid w:val="00EC0EB9"/>
    <w:rsid w:val="00EC12F5"/>
    <w:rsid w:val="00EC17C7"/>
    <w:rsid w:val="00EC323C"/>
    <w:rsid w:val="00EC6E89"/>
    <w:rsid w:val="00EC7448"/>
    <w:rsid w:val="00EC75AA"/>
    <w:rsid w:val="00ED196F"/>
    <w:rsid w:val="00ED6470"/>
    <w:rsid w:val="00ED6903"/>
    <w:rsid w:val="00ED7084"/>
    <w:rsid w:val="00EE0533"/>
    <w:rsid w:val="00EE38BC"/>
    <w:rsid w:val="00EE3AD7"/>
    <w:rsid w:val="00EE6251"/>
    <w:rsid w:val="00EE649C"/>
    <w:rsid w:val="00EE649D"/>
    <w:rsid w:val="00EF0690"/>
    <w:rsid w:val="00EF2B66"/>
    <w:rsid w:val="00EF34FE"/>
    <w:rsid w:val="00EF3585"/>
    <w:rsid w:val="00EF36F7"/>
    <w:rsid w:val="00EF409E"/>
    <w:rsid w:val="00EF493E"/>
    <w:rsid w:val="00F027AC"/>
    <w:rsid w:val="00F02BDC"/>
    <w:rsid w:val="00F034EF"/>
    <w:rsid w:val="00F03503"/>
    <w:rsid w:val="00F040FD"/>
    <w:rsid w:val="00F04448"/>
    <w:rsid w:val="00F07CAC"/>
    <w:rsid w:val="00F107DD"/>
    <w:rsid w:val="00F1423C"/>
    <w:rsid w:val="00F14327"/>
    <w:rsid w:val="00F16A6A"/>
    <w:rsid w:val="00F2148A"/>
    <w:rsid w:val="00F30516"/>
    <w:rsid w:val="00F31E1A"/>
    <w:rsid w:val="00F32904"/>
    <w:rsid w:val="00F43DFC"/>
    <w:rsid w:val="00F45006"/>
    <w:rsid w:val="00F47914"/>
    <w:rsid w:val="00F50C9E"/>
    <w:rsid w:val="00F56243"/>
    <w:rsid w:val="00F628D4"/>
    <w:rsid w:val="00F65020"/>
    <w:rsid w:val="00F663AD"/>
    <w:rsid w:val="00F73473"/>
    <w:rsid w:val="00F747EE"/>
    <w:rsid w:val="00F755DA"/>
    <w:rsid w:val="00F82BE4"/>
    <w:rsid w:val="00F844FB"/>
    <w:rsid w:val="00F85314"/>
    <w:rsid w:val="00F9183C"/>
    <w:rsid w:val="00F91D43"/>
    <w:rsid w:val="00F91ECE"/>
    <w:rsid w:val="00F94766"/>
    <w:rsid w:val="00FA06D5"/>
    <w:rsid w:val="00FA08AA"/>
    <w:rsid w:val="00FA4486"/>
    <w:rsid w:val="00FA5752"/>
    <w:rsid w:val="00FA5F84"/>
    <w:rsid w:val="00FB0E33"/>
    <w:rsid w:val="00FB2AAF"/>
    <w:rsid w:val="00FB43C5"/>
    <w:rsid w:val="00FB5111"/>
    <w:rsid w:val="00FC20AF"/>
    <w:rsid w:val="00FC4086"/>
    <w:rsid w:val="00FC7C24"/>
    <w:rsid w:val="00FD1EF4"/>
    <w:rsid w:val="00FD2741"/>
    <w:rsid w:val="00FD2B68"/>
    <w:rsid w:val="00FD7182"/>
    <w:rsid w:val="00FD7300"/>
    <w:rsid w:val="00FD7E03"/>
    <w:rsid w:val="00FE0300"/>
    <w:rsid w:val="00FE1CD6"/>
    <w:rsid w:val="00FE2F38"/>
    <w:rsid w:val="00FE3C4E"/>
    <w:rsid w:val="00FF13DF"/>
    <w:rsid w:val="00FF5D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DF00DDF-5E33-4255-A657-D50573DC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084"/>
    <w:rPr>
      <w:rFonts w:ascii="Times New Roman" w:eastAsia="Times New Roman" w:hAnsi="Times New Roman"/>
      <w:lang w:eastAsia="en-US"/>
    </w:rPr>
  </w:style>
  <w:style w:type="paragraph" w:styleId="Heading1">
    <w:name w:val="heading 1"/>
    <w:basedOn w:val="Normal"/>
    <w:next w:val="Normal"/>
    <w:link w:val="Heading1Char"/>
    <w:uiPriority w:val="9"/>
    <w:qFormat/>
    <w:rsid w:val="00176C74"/>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0F308E"/>
    <w:pPr>
      <w:keepNext/>
      <w:spacing w:line="360" w:lineRule="auto"/>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7084"/>
    <w:rPr>
      <w:rFonts w:cs="Times New Roman"/>
      <w:color w:val="0000FF"/>
      <w:u w:val="single"/>
    </w:rPr>
  </w:style>
  <w:style w:type="paragraph" w:customStyle="1" w:styleId="Pa1">
    <w:name w:val="Pa1"/>
    <w:basedOn w:val="Normal"/>
    <w:next w:val="Normal"/>
    <w:rsid w:val="00ED7084"/>
    <w:pPr>
      <w:autoSpaceDE w:val="0"/>
      <w:autoSpaceDN w:val="0"/>
      <w:adjustRightInd w:val="0"/>
      <w:spacing w:line="241" w:lineRule="atLeast"/>
    </w:pPr>
    <w:rPr>
      <w:rFonts w:ascii="Times New Roman PS" w:hAnsi="Times New Roman PS"/>
      <w:sz w:val="24"/>
      <w:szCs w:val="24"/>
      <w:lang w:val="en-US"/>
    </w:rPr>
  </w:style>
  <w:style w:type="paragraph" w:styleId="BalloonText">
    <w:name w:val="Balloon Text"/>
    <w:basedOn w:val="Normal"/>
    <w:link w:val="BalloonTextChar"/>
    <w:uiPriority w:val="99"/>
    <w:semiHidden/>
    <w:unhideWhenUsed/>
    <w:rsid w:val="00AC496D"/>
    <w:rPr>
      <w:rFonts w:ascii="Tahoma" w:hAnsi="Tahoma" w:cs="Tahoma"/>
      <w:sz w:val="16"/>
      <w:szCs w:val="16"/>
    </w:rPr>
  </w:style>
  <w:style w:type="character" w:customStyle="1" w:styleId="BalloonTextChar">
    <w:name w:val="Balloon Text Char"/>
    <w:link w:val="BalloonText"/>
    <w:uiPriority w:val="99"/>
    <w:semiHidden/>
    <w:rsid w:val="00AC496D"/>
    <w:rPr>
      <w:rFonts w:ascii="Tahoma" w:eastAsia="Times New Roman" w:hAnsi="Tahoma" w:cs="Tahoma"/>
      <w:sz w:val="16"/>
      <w:szCs w:val="16"/>
    </w:rPr>
  </w:style>
  <w:style w:type="paragraph" w:customStyle="1" w:styleId="default">
    <w:name w:val="default"/>
    <w:basedOn w:val="Normal"/>
    <w:uiPriority w:val="99"/>
    <w:rsid w:val="00002868"/>
    <w:pPr>
      <w:autoSpaceDE w:val="0"/>
      <w:autoSpaceDN w:val="0"/>
    </w:pPr>
    <w:rPr>
      <w:rFonts w:ascii="Arial" w:hAnsi="Arial" w:cs="Arial"/>
      <w:color w:val="000000"/>
      <w:sz w:val="24"/>
      <w:szCs w:val="24"/>
      <w:lang w:eastAsia="en-GB"/>
    </w:rPr>
  </w:style>
  <w:style w:type="character" w:customStyle="1" w:styleId="Heading5Char">
    <w:name w:val="Heading 5 Char"/>
    <w:link w:val="Heading5"/>
    <w:uiPriority w:val="99"/>
    <w:rsid w:val="000F308E"/>
    <w:rPr>
      <w:rFonts w:ascii="Times New Roman" w:eastAsia="Times New Roman" w:hAnsi="Times New Roman" w:cs="Times New Roman"/>
      <w:sz w:val="24"/>
      <w:szCs w:val="20"/>
    </w:rPr>
  </w:style>
  <w:style w:type="paragraph" w:customStyle="1" w:styleId="Default0">
    <w:name w:val="Default"/>
    <w:rsid w:val="00B9225D"/>
    <w:pPr>
      <w:autoSpaceDE w:val="0"/>
      <w:autoSpaceDN w:val="0"/>
      <w:adjustRightInd w:val="0"/>
    </w:pPr>
    <w:rPr>
      <w:rFonts w:ascii="Times New Roman PS" w:eastAsia="Times New Roman" w:hAnsi="Times New Roman PS" w:cs="Times New Roman PS"/>
      <w:color w:val="000000"/>
      <w:sz w:val="24"/>
      <w:szCs w:val="24"/>
      <w:lang w:val="en-US" w:eastAsia="en-US"/>
    </w:rPr>
  </w:style>
  <w:style w:type="character" w:customStyle="1" w:styleId="Heading1Char">
    <w:name w:val="Heading 1 Char"/>
    <w:link w:val="Heading1"/>
    <w:uiPriority w:val="9"/>
    <w:rsid w:val="00176C74"/>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176C74"/>
    <w:pPr>
      <w:tabs>
        <w:tab w:val="center" w:pos="4513"/>
        <w:tab w:val="right" w:pos="9026"/>
      </w:tabs>
    </w:pPr>
  </w:style>
  <w:style w:type="character" w:customStyle="1" w:styleId="FooterChar">
    <w:name w:val="Footer Char"/>
    <w:link w:val="Footer"/>
    <w:uiPriority w:val="99"/>
    <w:rsid w:val="00176C74"/>
    <w:rPr>
      <w:rFonts w:ascii="Times New Roman" w:eastAsia="Times New Roman" w:hAnsi="Times New Roman" w:cs="Times New Roman"/>
      <w:sz w:val="20"/>
      <w:szCs w:val="20"/>
    </w:rPr>
  </w:style>
  <w:style w:type="table" w:styleId="TableGrid">
    <w:name w:val="Table Grid"/>
    <w:basedOn w:val="TableNormal"/>
    <w:uiPriority w:val="39"/>
    <w:rsid w:val="00176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47"/>
    <w:pPr>
      <w:tabs>
        <w:tab w:val="center" w:pos="4513"/>
        <w:tab w:val="right" w:pos="9026"/>
      </w:tabs>
    </w:pPr>
  </w:style>
  <w:style w:type="character" w:customStyle="1" w:styleId="HeaderChar">
    <w:name w:val="Header Char"/>
    <w:link w:val="Header"/>
    <w:uiPriority w:val="99"/>
    <w:rsid w:val="00440B47"/>
    <w:rPr>
      <w:rFonts w:ascii="Times New Roman" w:eastAsia="Times New Roman" w:hAnsi="Times New Roman" w:cs="Times New Roman"/>
      <w:sz w:val="20"/>
      <w:szCs w:val="20"/>
    </w:rPr>
  </w:style>
  <w:style w:type="character" w:styleId="CommentReference">
    <w:name w:val="annotation reference"/>
    <w:uiPriority w:val="99"/>
    <w:semiHidden/>
    <w:unhideWhenUsed/>
    <w:rsid w:val="009A02FA"/>
    <w:rPr>
      <w:sz w:val="16"/>
      <w:szCs w:val="16"/>
    </w:rPr>
  </w:style>
  <w:style w:type="paragraph" w:styleId="CommentText">
    <w:name w:val="annotation text"/>
    <w:basedOn w:val="Normal"/>
    <w:link w:val="CommentTextChar"/>
    <w:uiPriority w:val="99"/>
    <w:semiHidden/>
    <w:unhideWhenUsed/>
    <w:rsid w:val="009A02FA"/>
  </w:style>
  <w:style w:type="character" w:customStyle="1" w:styleId="CommentTextChar">
    <w:name w:val="Comment Text Char"/>
    <w:link w:val="CommentText"/>
    <w:uiPriority w:val="99"/>
    <w:semiHidden/>
    <w:rsid w:val="009A02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02FA"/>
    <w:rPr>
      <w:b/>
      <w:bCs/>
    </w:rPr>
  </w:style>
  <w:style w:type="character" w:customStyle="1" w:styleId="CommentSubjectChar">
    <w:name w:val="Comment Subject Char"/>
    <w:link w:val="CommentSubject"/>
    <w:uiPriority w:val="99"/>
    <w:semiHidden/>
    <w:rsid w:val="009A02FA"/>
    <w:rPr>
      <w:rFonts w:ascii="Times New Roman" w:eastAsia="Times New Roman" w:hAnsi="Times New Roman" w:cs="Times New Roman"/>
      <w:b/>
      <w:bCs/>
      <w:sz w:val="20"/>
      <w:szCs w:val="20"/>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2E5D8D"/>
    <w:pPr>
      <w:ind w:left="720"/>
      <w:contextualSpacing/>
    </w:pPr>
  </w:style>
  <w:style w:type="paragraph" w:styleId="Revision">
    <w:name w:val="Revision"/>
    <w:hidden/>
    <w:uiPriority w:val="99"/>
    <w:semiHidden/>
    <w:rsid w:val="00A044CC"/>
    <w:rPr>
      <w:rFonts w:ascii="Times New Roman" w:eastAsia="Times New Roman" w:hAnsi="Times New Roman"/>
      <w:lang w:eastAsia="en-US"/>
    </w:rPr>
  </w:style>
  <w:style w:type="paragraph" w:customStyle="1" w:styleId="Body">
    <w:name w:val="Body"/>
    <w:rsid w:val="00E36E5F"/>
    <w:rPr>
      <w:rFonts w:ascii="Helvetica" w:eastAsia="Arial Unicode MS" w:hAnsi="Helvetica" w:cs="Arial Unicode MS"/>
      <w:color w:val="000000"/>
      <w:sz w:val="22"/>
      <w:szCs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E36E5F"/>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50291">
      <w:bodyDiv w:val="1"/>
      <w:marLeft w:val="0"/>
      <w:marRight w:val="0"/>
      <w:marTop w:val="0"/>
      <w:marBottom w:val="0"/>
      <w:divBdr>
        <w:top w:val="none" w:sz="0" w:space="0" w:color="auto"/>
        <w:left w:val="none" w:sz="0" w:space="0" w:color="auto"/>
        <w:bottom w:val="none" w:sz="0" w:space="0" w:color="auto"/>
        <w:right w:val="none" w:sz="0" w:space="0" w:color="auto"/>
      </w:divBdr>
    </w:div>
    <w:div w:id="497888351">
      <w:bodyDiv w:val="1"/>
      <w:marLeft w:val="0"/>
      <w:marRight w:val="0"/>
      <w:marTop w:val="0"/>
      <w:marBottom w:val="0"/>
      <w:divBdr>
        <w:top w:val="none" w:sz="0" w:space="0" w:color="auto"/>
        <w:left w:val="none" w:sz="0" w:space="0" w:color="auto"/>
        <w:bottom w:val="none" w:sz="0" w:space="0" w:color="auto"/>
        <w:right w:val="none" w:sz="0" w:space="0" w:color="auto"/>
      </w:divBdr>
    </w:div>
    <w:div w:id="555091826">
      <w:bodyDiv w:val="1"/>
      <w:marLeft w:val="0"/>
      <w:marRight w:val="0"/>
      <w:marTop w:val="0"/>
      <w:marBottom w:val="0"/>
      <w:divBdr>
        <w:top w:val="none" w:sz="0" w:space="0" w:color="auto"/>
        <w:left w:val="none" w:sz="0" w:space="0" w:color="auto"/>
        <w:bottom w:val="none" w:sz="0" w:space="0" w:color="auto"/>
        <w:right w:val="none" w:sz="0" w:space="0" w:color="auto"/>
      </w:divBdr>
    </w:div>
    <w:div w:id="581641371">
      <w:bodyDiv w:val="1"/>
      <w:marLeft w:val="0"/>
      <w:marRight w:val="0"/>
      <w:marTop w:val="0"/>
      <w:marBottom w:val="0"/>
      <w:divBdr>
        <w:top w:val="none" w:sz="0" w:space="0" w:color="auto"/>
        <w:left w:val="none" w:sz="0" w:space="0" w:color="auto"/>
        <w:bottom w:val="none" w:sz="0" w:space="0" w:color="auto"/>
        <w:right w:val="none" w:sz="0" w:space="0" w:color="auto"/>
      </w:divBdr>
    </w:div>
    <w:div w:id="796262743">
      <w:bodyDiv w:val="1"/>
      <w:marLeft w:val="0"/>
      <w:marRight w:val="0"/>
      <w:marTop w:val="0"/>
      <w:marBottom w:val="0"/>
      <w:divBdr>
        <w:top w:val="none" w:sz="0" w:space="0" w:color="auto"/>
        <w:left w:val="none" w:sz="0" w:space="0" w:color="auto"/>
        <w:bottom w:val="none" w:sz="0" w:space="0" w:color="auto"/>
        <w:right w:val="none" w:sz="0" w:space="0" w:color="auto"/>
      </w:divBdr>
    </w:div>
    <w:div w:id="893733912">
      <w:bodyDiv w:val="1"/>
      <w:marLeft w:val="0"/>
      <w:marRight w:val="0"/>
      <w:marTop w:val="0"/>
      <w:marBottom w:val="0"/>
      <w:divBdr>
        <w:top w:val="none" w:sz="0" w:space="0" w:color="auto"/>
        <w:left w:val="none" w:sz="0" w:space="0" w:color="auto"/>
        <w:bottom w:val="none" w:sz="0" w:space="0" w:color="auto"/>
        <w:right w:val="none" w:sz="0" w:space="0" w:color="auto"/>
      </w:divBdr>
    </w:div>
    <w:div w:id="1124301698">
      <w:bodyDiv w:val="1"/>
      <w:marLeft w:val="0"/>
      <w:marRight w:val="0"/>
      <w:marTop w:val="0"/>
      <w:marBottom w:val="0"/>
      <w:divBdr>
        <w:top w:val="none" w:sz="0" w:space="0" w:color="auto"/>
        <w:left w:val="none" w:sz="0" w:space="0" w:color="auto"/>
        <w:bottom w:val="none" w:sz="0" w:space="0" w:color="auto"/>
        <w:right w:val="none" w:sz="0" w:space="0" w:color="auto"/>
      </w:divBdr>
    </w:div>
    <w:div w:id="1385178024">
      <w:bodyDiv w:val="1"/>
      <w:marLeft w:val="0"/>
      <w:marRight w:val="0"/>
      <w:marTop w:val="0"/>
      <w:marBottom w:val="0"/>
      <w:divBdr>
        <w:top w:val="none" w:sz="0" w:space="0" w:color="auto"/>
        <w:left w:val="none" w:sz="0" w:space="0" w:color="auto"/>
        <w:bottom w:val="none" w:sz="0" w:space="0" w:color="auto"/>
        <w:right w:val="none" w:sz="0" w:space="0" w:color="auto"/>
      </w:divBdr>
    </w:div>
    <w:div w:id="1505247964">
      <w:bodyDiv w:val="1"/>
      <w:marLeft w:val="0"/>
      <w:marRight w:val="0"/>
      <w:marTop w:val="0"/>
      <w:marBottom w:val="0"/>
      <w:divBdr>
        <w:top w:val="none" w:sz="0" w:space="0" w:color="auto"/>
        <w:left w:val="none" w:sz="0" w:space="0" w:color="auto"/>
        <w:bottom w:val="none" w:sz="0" w:space="0" w:color="auto"/>
        <w:right w:val="none" w:sz="0" w:space="0" w:color="auto"/>
      </w:divBdr>
    </w:div>
    <w:div w:id="1528105739">
      <w:bodyDiv w:val="1"/>
      <w:marLeft w:val="0"/>
      <w:marRight w:val="0"/>
      <w:marTop w:val="0"/>
      <w:marBottom w:val="0"/>
      <w:divBdr>
        <w:top w:val="none" w:sz="0" w:space="0" w:color="auto"/>
        <w:left w:val="none" w:sz="0" w:space="0" w:color="auto"/>
        <w:bottom w:val="none" w:sz="0" w:space="0" w:color="auto"/>
        <w:right w:val="none" w:sz="0" w:space="0" w:color="auto"/>
      </w:divBdr>
    </w:div>
    <w:div w:id="1555503640">
      <w:bodyDiv w:val="1"/>
      <w:marLeft w:val="0"/>
      <w:marRight w:val="0"/>
      <w:marTop w:val="0"/>
      <w:marBottom w:val="0"/>
      <w:divBdr>
        <w:top w:val="none" w:sz="0" w:space="0" w:color="auto"/>
        <w:left w:val="none" w:sz="0" w:space="0" w:color="auto"/>
        <w:bottom w:val="none" w:sz="0" w:space="0" w:color="auto"/>
        <w:right w:val="none" w:sz="0" w:space="0" w:color="auto"/>
      </w:divBdr>
    </w:div>
    <w:div w:id="20635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3C547-AA94-49B7-AF93-43AB6C8B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19164</CharactersWithSpaces>
  <SharedDoc>false</SharedDoc>
  <HLinks>
    <vt:vector size="6" baseType="variant">
      <vt:variant>
        <vt:i4>524373</vt:i4>
      </vt:variant>
      <vt:variant>
        <vt:i4>0</vt:i4>
      </vt:variant>
      <vt:variant>
        <vt:i4>0</vt:i4>
      </vt:variant>
      <vt:variant>
        <vt:i4>5</vt:i4>
      </vt:variant>
      <vt:variant>
        <vt:lpwstr>http://www.doeni.gov.uk/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0910002</dc:creator>
  <cp:keywords/>
  <dc:description/>
  <cp:lastModifiedBy>Diane Richardson</cp:lastModifiedBy>
  <cp:revision>171</cp:revision>
  <cp:lastPrinted>2017-06-12T11:21:00Z</cp:lastPrinted>
  <dcterms:created xsi:type="dcterms:W3CDTF">2016-08-24T15:55:00Z</dcterms:created>
  <dcterms:modified xsi:type="dcterms:W3CDTF">2018-11-06T16:49:00Z</dcterms:modified>
</cp:coreProperties>
</file>