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AD" w:rsidRPr="00995359" w:rsidRDefault="00DD0DAD" w:rsidP="00995359">
      <w:pPr>
        <w:spacing w:before="100" w:beforeAutospacing="1" w:after="100" w:afterAutospacing="1"/>
        <w:ind w:left="0"/>
        <w:jc w:val="center"/>
        <w:outlineLvl w:val="1"/>
        <w:rPr>
          <w:rFonts w:ascii="Arial" w:hAnsi="Arial" w:cs="Arial"/>
          <w:b/>
          <w:bCs/>
          <w:sz w:val="40"/>
          <w:szCs w:val="40"/>
          <w:lang w:eastAsia="en-GB"/>
        </w:rPr>
      </w:pPr>
      <w:bookmarkStart w:id="0" w:name="_GoBack"/>
      <w:bookmarkEnd w:id="0"/>
      <w:r w:rsidRPr="00995359">
        <w:rPr>
          <w:rFonts w:ascii="Arial" w:hAnsi="Arial" w:cs="Arial"/>
          <w:b/>
          <w:bCs/>
          <w:sz w:val="40"/>
          <w:szCs w:val="40"/>
          <w:lang w:eastAsia="en-GB"/>
        </w:rPr>
        <w:t>Statement of administrative sources used for statistical purposes</w:t>
      </w:r>
    </w:p>
    <w:p w:rsidR="00995359" w:rsidRDefault="00995359" w:rsidP="0041118A">
      <w:pPr>
        <w:spacing w:before="100" w:beforeAutospacing="1" w:after="100" w:afterAutospacing="1"/>
        <w:ind w:left="0"/>
        <w:outlineLvl w:val="2"/>
        <w:rPr>
          <w:rFonts w:ascii="Arial" w:hAnsi="Arial" w:cs="Arial"/>
          <w:b/>
          <w:bCs/>
          <w:sz w:val="24"/>
          <w:szCs w:val="24"/>
          <w:lang w:eastAsia="en-GB"/>
        </w:rPr>
      </w:pPr>
    </w:p>
    <w:p w:rsidR="0041118A" w:rsidRDefault="00DD0DAD" w:rsidP="0041118A">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b/>
          <w:bCs/>
          <w:sz w:val="24"/>
          <w:szCs w:val="24"/>
          <w:lang w:eastAsia="en-GB"/>
        </w:rPr>
        <w:t>Data sources</w:t>
      </w:r>
    </w:p>
    <w:p w:rsidR="00DD0DAD" w:rsidRPr="0041118A" w:rsidRDefault="00DD0DAD" w:rsidP="0041118A">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sz w:val="24"/>
          <w:szCs w:val="24"/>
          <w:lang w:eastAsia="en-GB"/>
        </w:rPr>
        <w:t xml:space="preserve">When compiling official statistics staff within </w:t>
      </w:r>
      <w:r>
        <w:rPr>
          <w:rFonts w:ascii="Arial" w:hAnsi="Arial" w:cs="Arial"/>
          <w:sz w:val="24"/>
          <w:szCs w:val="24"/>
          <w:lang w:eastAsia="en-GB"/>
        </w:rPr>
        <w:t>DAERA</w:t>
      </w:r>
      <w:r w:rsidRPr="00DD0DAD">
        <w:rPr>
          <w:rFonts w:ascii="Arial" w:hAnsi="Arial" w:cs="Arial"/>
          <w:sz w:val="24"/>
          <w:szCs w:val="24"/>
          <w:lang w:eastAsia="en-GB"/>
        </w:rPr>
        <w:t xml:space="preserve"> utilise the data held in the following administrative systems</w:t>
      </w:r>
      <w:r w:rsidR="0041118A">
        <w:rPr>
          <w:rFonts w:ascii="Arial" w:hAnsi="Arial" w:cs="Arial"/>
          <w:sz w:val="24"/>
          <w:szCs w:val="24"/>
          <w:lang w:eastAsia="en-GB"/>
        </w:rPr>
        <w:t>.</w:t>
      </w:r>
    </w:p>
    <w:p w:rsidR="00995359" w:rsidRDefault="00995359">
      <w:pPr>
        <w:spacing w:before="100" w:beforeAutospacing="1" w:after="100" w:afterAutospacing="1"/>
        <w:ind w:left="0"/>
        <w:rPr>
          <w:rFonts w:ascii="Arial" w:hAnsi="Arial" w:cs="Arial"/>
          <w:b/>
          <w:bCs/>
          <w:sz w:val="24"/>
          <w:szCs w:val="24"/>
        </w:rPr>
      </w:pPr>
    </w:p>
    <w:p w:rsidR="004F7FDE" w:rsidRDefault="00DC4DC4">
      <w:pPr>
        <w:spacing w:before="100" w:beforeAutospacing="1" w:after="100" w:afterAutospacing="1"/>
        <w:ind w:left="0"/>
        <w:rPr>
          <w:rFonts w:ascii="Arial" w:hAnsi="Arial" w:cs="Arial"/>
          <w:b/>
          <w:bCs/>
          <w:sz w:val="24"/>
          <w:szCs w:val="24"/>
        </w:rPr>
      </w:pPr>
      <w:r>
        <w:rPr>
          <w:rFonts w:ascii="Arial" w:hAnsi="Arial" w:cs="Arial"/>
          <w:b/>
          <w:bCs/>
          <w:sz w:val="24"/>
          <w:szCs w:val="24"/>
        </w:rPr>
        <w:t>Table 1: S</w:t>
      </w:r>
      <w:r w:rsidR="00D44EB8" w:rsidRPr="00D44EB8">
        <w:rPr>
          <w:rFonts w:ascii="Arial" w:hAnsi="Arial" w:cs="Arial"/>
          <w:b/>
          <w:bCs/>
          <w:sz w:val="24"/>
          <w:szCs w:val="24"/>
        </w:rPr>
        <w:t>tatistical usage of our own organisation’s administrative or management sources</w:t>
      </w:r>
    </w:p>
    <w:p w:rsidR="00995359" w:rsidRPr="00F66B15" w:rsidRDefault="00995359">
      <w:pPr>
        <w:spacing w:before="100" w:beforeAutospacing="1" w:after="100" w:afterAutospacing="1"/>
        <w:ind w:left="0"/>
        <w:rPr>
          <w:rFonts w:ascii="Arial" w:hAnsi="Arial" w:cs="Arial"/>
          <w:sz w:val="16"/>
          <w:szCs w:val="16"/>
          <w:lang w:eastAsia="en-GB"/>
        </w:rPr>
      </w:pP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4005"/>
        <w:gridCol w:w="1237"/>
        <w:gridCol w:w="3401"/>
      </w:tblGrid>
      <w:tr w:rsidR="00DD0DAD" w:rsidRPr="00DD0DAD" w:rsidTr="00F66B15">
        <w:trPr>
          <w:trHeight w:val="300"/>
        </w:trPr>
        <w:tc>
          <w:tcPr>
            <w:tcW w:w="1824" w:type="dxa"/>
            <w:shd w:val="clear" w:color="auto" w:fill="auto"/>
            <w:noWrap/>
            <w:vAlign w:val="bottom"/>
            <w:hideMark/>
          </w:tcPr>
          <w:p w:rsidR="00DD0DAD" w:rsidRPr="00DD0DAD" w:rsidRDefault="00DD0DAD" w:rsidP="00DD0DAD">
            <w:pPr>
              <w:ind w:left="0"/>
              <w:rPr>
                <w:rFonts w:ascii="Calibri" w:hAnsi="Calibri"/>
                <w:sz w:val="22"/>
                <w:szCs w:val="22"/>
                <w:lang w:eastAsia="en-GB"/>
              </w:rPr>
            </w:pPr>
            <w:r w:rsidRPr="00DD0DAD">
              <w:rPr>
                <w:rFonts w:ascii="Calibri" w:hAnsi="Calibri"/>
                <w:b/>
                <w:bCs/>
                <w:color w:val="000000"/>
                <w:sz w:val="23"/>
                <w:szCs w:val="23"/>
                <w:lang w:eastAsia="en-GB"/>
              </w:rPr>
              <w:t>Name of Administrative Data</w:t>
            </w:r>
            <w:r w:rsidRPr="00DD0DAD">
              <w:rPr>
                <w:rFonts w:ascii="Calibri" w:hAnsi="Calibri"/>
                <w:color w:val="000000"/>
                <w:sz w:val="23"/>
                <w:szCs w:val="23"/>
                <w:lang w:eastAsia="en-GB"/>
              </w:rPr>
              <w:t xml:space="preserve"> </w:t>
            </w:r>
            <w:r w:rsidRPr="00DD0DAD">
              <w:rPr>
                <w:rFonts w:ascii="Calibri" w:hAnsi="Calibri"/>
                <w:b/>
                <w:bCs/>
                <w:color w:val="000000"/>
                <w:sz w:val="23"/>
                <w:szCs w:val="23"/>
                <w:lang w:eastAsia="en-GB"/>
              </w:rPr>
              <w:t>Source</w:t>
            </w:r>
            <w:r w:rsidRPr="00DD0DAD">
              <w:rPr>
                <w:rFonts w:ascii="Calibri" w:hAnsi="Calibri"/>
                <w:color w:val="000000"/>
                <w:sz w:val="23"/>
                <w:szCs w:val="23"/>
                <w:lang w:eastAsia="en-GB"/>
              </w:rPr>
              <w:t xml:space="preserve"> </w:t>
            </w:r>
            <w:r w:rsidRPr="00DD0DAD">
              <w:rPr>
                <w:rFonts w:ascii="Calibri" w:hAnsi="Calibri"/>
                <w:sz w:val="22"/>
                <w:szCs w:val="22"/>
                <w:lang w:eastAsia="en-GB"/>
              </w:rPr>
              <w:t xml:space="preserve"> </w:t>
            </w:r>
          </w:p>
        </w:tc>
        <w:tc>
          <w:tcPr>
            <w:tcW w:w="4005" w:type="dxa"/>
            <w:shd w:val="clear" w:color="auto" w:fill="auto"/>
            <w:noWrap/>
            <w:vAlign w:val="bottom"/>
            <w:hideMark/>
          </w:tcPr>
          <w:p w:rsidR="00DD0DAD" w:rsidRPr="00DD0DAD" w:rsidRDefault="00DD0DAD" w:rsidP="00DD0DAD">
            <w:pPr>
              <w:ind w:left="0"/>
              <w:rPr>
                <w:rFonts w:ascii="Calibri" w:hAnsi="Calibri"/>
                <w:sz w:val="22"/>
                <w:szCs w:val="22"/>
                <w:lang w:eastAsia="en-GB"/>
              </w:rPr>
            </w:pPr>
            <w:r w:rsidRPr="00DD0DAD">
              <w:rPr>
                <w:rFonts w:ascii="Calibri" w:hAnsi="Calibri"/>
                <w:sz w:val="22"/>
                <w:szCs w:val="22"/>
                <w:lang w:eastAsia="en-GB"/>
              </w:rPr>
              <w:t xml:space="preserve"> </w:t>
            </w:r>
            <w:r w:rsidRPr="00DD0DAD">
              <w:rPr>
                <w:rFonts w:ascii="Calibri" w:hAnsi="Calibri"/>
                <w:b/>
                <w:bCs/>
                <w:color w:val="000000"/>
                <w:sz w:val="23"/>
                <w:szCs w:val="23"/>
                <w:lang w:eastAsia="en-GB"/>
              </w:rPr>
              <w:t>Main administrative purpose of this source/system</w:t>
            </w:r>
          </w:p>
        </w:tc>
        <w:tc>
          <w:tcPr>
            <w:tcW w:w="1237" w:type="dxa"/>
            <w:shd w:val="clear" w:color="auto" w:fill="auto"/>
            <w:noWrap/>
            <w:vAlign w:val="bottom"/>
            <w:hideMark/>
          </w:tcPr>
          <w:p w:rsidR="00DD0DAD" w:rsidRPr="00DD0DAD" w:rsidRDefault="00DD0DAD" w:rsidP="00DD0DAD">
            <w:pPr>
              <w:ind w:left="0"/>
              <w:rPr>
                <w:rFonts w:ascii="Calibri" w:hAnsi="Calibri"/>
                <w:sz w:val="22"/>
                <w:szCs w:val="22"/>
                <w:lang w:eastAsia="en-GB"/>
              </w:rPr>
            </w:pPr>
            <w:r w:rsidRPr="00DD0DAD">
              <w:rPr>
                <w:rFonts w:ascii="Calibri" w:hAnsi="Calibri"/>
                <w:sz w:val="22"/>
                <w:szCs w:val="22"/>
                <w:lang w:eastAsia="en-GB"/>
              </w:rPr>
              <w:t xml:space="preserve"> </w:t>
            </w:r>
            <w:r w:rsidRPr="00DD0DAD">
              <w:rPr>
                <w:rFonts w:ascii="Calibri" w:hAnsi="Calibri"/>
                <w:b/>
                <w:bCs/>
                <w:color w:val="000000"/>
                <w:sz w:val="23"/>
                <w:szCs w:val="23"/>
                <w:lang w:eastAsia="en-GB"/>
              </w:rPr>
              <w:t>Geospatial Coverage</w:t>
            </w:r>
            <w:r w:rsidRPr="00DD0DAD">
              <w:rPr>
                <w:rFonts w:ascii="Calibri" w:hAnsi="Calibri"/>
                <w:color w:val="000000"/>
                <w:sz w:val="23"/>
                <w:szCs w:val="23"/>
                <w:lang w:eastAsia="en-GB"/>
              </w:rPr>
              <w:t xml:space="preserve"> </w:t>
            </w:r>
            <w:r w:rsidRPr="00DD0DAD">
              <w:rPr>
                <w:rFonts w:ascii="Calibri" w:hAnsi="Calibri"/>
                <w:sz w:val="22"/>
                <w:szCs w:val="22"/>
                <w:lang w:eastAsia="en-GB"/>
              </w:rPr>
              <w:t xml:space="preserve"> </w:t>
            </w:r>
          </w:p>
        </w:tc>
        <w:tc>
          <w:tcPr>
            <w:tcW w:w="3401" w:type="dxa"/>
            <w:shd w:val="clear" w:color="auto" w:fill="auto"/>
            <w:noWrap/>
            <w:vAlign w:val="bottom"/>
            <w:hideMark/>
          </w:tcPr>
          <w:p w:rsidR="00DD0DAD" w:rsidRPr="00DD0DAD" w:rsidRDefault="00DD0DAD" w:rsidP="00DD0DAD">
            <w:pPr>
              <w:ind w:left="0"/>
              <w:rPr>
                <w:rFonts w:ascii="Calibri" w:hAnsi="Calibri"/>
                <w:sz w:val="22"/>
                <w:szCs w:val="22"/>
                <w:lang w:eastAsia="en-GB"/>
              </w:rPr>
            </w:pPr>
            <w:r w:rsidRPr="00DD0DAD">
              <w:rPr>
                <w:rFonts w:ascii="Calibri" w:hAnsi="Calibri"/>
                <w:sz w:val="22"/>
                <w:szCs w:val="22"/>
                <w:lang w:eastAsia="en-GB"/>
              </w:rPr>
              <w:t xml:space="preserve"> </w:t>
            </w:r>
            <w:r w:rsidRPr="00DD0DAD">
              <w:rPr>
                <w:rFonts w:ascii="Calibri" w:hAnsi="Calibri"/>
                <w:b/>
                <w:bCs/>
                <w:color w:val="000000"/>
                <w:sz w:val="23"/>
                <w:szCs w:val="23"/>
                <w:lang w:eastAsia="en-GB"/>
              </w:rPr>
              <w:t>Title(s) of all Statistical Products derived from this Source</w:t>
            </w:r>
            <w:r w:rsidRPr="00DD0DAD">
              <w:rPr>
                <w:rFonts w:ascii="Calibri" w:hAnsi="Calibri"/>
                <w:b/>
                <w:bCs/>
                <w:color w:val="000000"/>
                <w:sz w:val="15"/>
                <w:szCs w:val="15"/>
                <w:lang w:eastAsia="en-GB"/>
              </w:rPr>
              <w:t>1</w:t>
            </w:r>
            <w:r w:rsidRPr="00DD0DAD">
              <w:rPr>
                <w:rFonts w:ascii="Calibri" w:hAnsi="Calibri"/>
                <w:color w:val="000000"/>
                <w:sz w:val="15"/>
                <w:szCs w:val="15"/>
                <w:lang w:eastAsia="en-GB"/>
              </w:rPr>
              <w:t xml:space="preserve"> </w:t>
            </w:r>
            <w:r w:rsidRPr="00DD0DAD">
              <w:rPr>
                <w:rFonts w:ascii="Calibri" w:hAnsi="Calibri"/>
                <w:sz w:val="22"/>
                <w:szCs w:val="22"/>
                <w:lang w:eastAsia="en-GB"/>
              </w:rPr>
              <w:t xml:space="preserve"> </w:t>
            </w:r>
          </w:p>
        </w:tc>
      </w:tr>
      <w:tr w:rsidR="00D519CA" w:rsidRPr="00DD0DAD" w:rsidTr="00F66B15">
        <w:trPr>
          <w:trHeight w:val="315"/>
        </w:trPr>
        <w:tc>
          <w:tcPr>
            <w:tcW w:w="1824" w:type="dxa"/>
            <w:shd w:val="clear" w:color="auto" w:fill="auto"/>
            <w:noWrap/>
            <w:vAlign w:val="bottom"/>
            <w:hideMark/>
          </w:tcPr>
          <w:p w:rsidR="00D519CA" w:rsidRPr="00250CE6" w:rsidRDefault="00D519CA" w:rsidP="00DD0DAD">
            <w:pPr>
              <w:ind w:left="0"/>
              <w:rPr>
                <w:rFonts w:ascii="Calibri" w:hAnsi="Calibri"/>
                <w:sz w:val="22"/>
                <w:szCs w:val="22"/>
                <w:lang w:eastAsia="en-GB"/>
              </w:rPr>
            </w:pPr>
            <w:r w:rsidRPr="00250CE6">
              <w:rPr>
                <w:rFonts w:ascii="Calibri" w:hAnsi="Calibri"/>
                <w:sz w:val="22"/>
                <w:szCs w:val="22"/>
                <w:lang w:eastAsia="en-GB"/>
              </w:rPr>
              <w:t>Grants and Subsidies system</w:t>
            </w:r>
          </w:p>
        </w:tc>
        <w:tc>
          <w:tcPr>
            <w:tcW w:w="4005" w:type="dxa"/>
            <w:shd w:val="clear" w:color="auto" w:fill="auto"/>
            <w:noWrap/>
            <w:vAlign w:val="bottom"/>
            <w:hideMark/>
          </w:tcPr>
          <w:p w:rsidR="00D519CA" w:rsidRPr="00250CE6" w:rsidRDefault="00F66B15" w:rsidP="00F66B15">
            <w:pPr>
              <w:ind w:left="0"/>
              <w:rPr>
                <w:rFonts w:ascii="Calibri" w:hAnsi="Calibri"/>
                <w:sz w:val="22"/>
                <w:szCs w:val="22"/>
                <w:lang w:eastAsia="en-GB"/>
              </w:rPr>
            </w:pPr>
            <w:r>
              <w:rPr>
                <w:rFonts w:ascii="Calibri" w:hAnsi="Calibri"/>
                <w:sz w:val="22"/>
                <w:szCs w:val="22"/>
                <w:lang w:eastAsia="en-GB"/>
              </w:rPr>
              <w:t>Record of Farm Businesses for the p</w:t>
            </w:r>
            <w:r w:rsidR="00D519CA" w:rsidRPr="00250CE6">
              <w:rPr>
                <w:rFonts w:ascii="Calibri" w:hAnsi="Calibri"/>
                <w:sz w:val="22"/>
                <w:szCs w:val="22"/>
                <w:lang w:eastAsia="en-GB"/>
              </w:rPr>
              <w:t>ayment of EU subsidies</w:t>
            </w:r>
            <w:r w:rsidR="0041118A">
              <w:rPr>
                <w:rFonts w:ascii="Calibri" w:hAnsi="Calibri"/>
                <w:sz w:val="22"/>
                <w:szCs w:val="22"/>
                <w:lang w:eastAsia="en-GB"/>
              </w:rPr>
              <w:t>.</w:t>
            </w:r>
          </w:p>
        </w:tc>
        <w:tc>
          <w:tcPr>
            <w:tcW w:w="1237" w:type="dxa"/>
            <w:shd w:val="clear" w:color="auto" w:fill="auto"/>
            <w:noWrap/>
            <w:vAlign w:val="bottom"/>
            <w:hideMark/>
          </w:tcPr>
          <w:p w:rsidR="00D519CA" w:rsidRPr="00DD0DAD" w:rsidRDefault="00D519CA" w:rsidP="00DD0DAD">
            <w:pPr>
              <w:ind w:left="0"/>
              <w:rPr>
                <w:rFonts w:ascii="Calibri" w:hAnsi="Calibri"/>
                <w:sz w:val="22"/>
                <w:szCs w:val="22"/>
                <w:lang w:eastAsia="en-GB"/>
              </w:rPr>
            </w:pPr>
            <w:r>
              <w:rPr>
                <w:rFonts w:ascii="Calibri" w:hAnsi="Calibri"/>
                <w:sz w:val="22"/>
                <w:szCs w:val="22"/>
                <w:lang w:eastAsia="en-GB"/>
              </w:rPr>
              <w:t>NI</w:t>
            </w:r>
          </w:p>
        </w:tc>
        <w:tc>
          <w:tcPr>
            <w:tcW w:w="3401" w:type="dxa"/>
            <w:shd w:val="clear" w:color="auto" w:fill="auto"/>
            <w:noWrap/>
            <w:vAlign w:val="bottom"/>
            <w:hideMark/>
          </w:tcPr>
          <w:p w:rsidR="00D519CA" w:rsidRDefault="00D519CA" w:rsidP="00DD0DAD">
            <w:pPr>
              <w:ind w:left="0"/>
              <w:rPr>
                <w:rFonts w:ascii="Calibri" w:hAnsi="Calibri"/>
                <w:sz w:val="22"/>
                <w:szCs w:val="22"/>
                <w:lang w:eastAsia="en-GB"/>
              </w:rPr>
            </w:pPr>
            <w:r>
              <w:rPr>
                <w:rFonts w:ascii="Calibri" w:hAnsi="Calibri"/>
                <w:sz w:val="22"/>
                <w:szCs w:val="22"/>
                <w:lang w:eastAsia="en-GB"/>
              </w:rPr>
              <w:t>June/Dec Agricultural and Horticultural Survey</w:t>
            </w:r>
          </w:p>
          <w:p w:rsidR="00D519CA" w:rsidRDefault="00D519CA" w:rsidP="00DD0DAD">
            <w:pPr>
              <w:ind w:left="0"/>
              <w:rPr>
                <w:rFonts w:ascii="Calibri" w:hAnsi="Calibri"/>
                <w:sz w:val="22"/>
                <w:szCs w:val="22"/>
                <w:lang w:eastAsia="en-GB"/>
              </w:rPr>
            </w:pPr>
            <w:r>
              <w:rPr>
                <w:rFonts w:ascii="Calibri" w:hAnsi="Calibri"/>
                <w:sz w:val="22"/>
                <w:szCs w:val="22"/>
                <w:lang w:eastAsia="en-GB"/>
              </w:rPr>
              <w:t>EU Farm Structure Survey</w:t>
            </w:r>
          </w:p>
          <w:p w:rsidR="00D519CA" w:rsidRPr="00DD0DAD" w:rsidRDefault="00D519CA" w:rsidP="00DD0DAD">
            <w:pPr>
              <w:ind w:left="0"/>
              <w:rPr>
                <w:rFonts w:ascii="Calibri" w:hAnsi="Calibri"/>
                <w:sz w:val="22"/>
                <w:szCs w:val="22"/>
                <w:lang w:eastAsia="en-GB"/>
              </w:rPr>
            </w:pPr>
            <w:r>
              <w:rPr>
                <w:rFonts w:ascii="Calibri" w:hAnsi="Calibri"/>
                <w:sz w:val="22"/>
                <w:szCs w:val="22"/>
                <w:lang w:eastAsia="en-GB"/>
              </w:rPr>
              <w:t>Statistical Review of NI Agriculture</w:t>
            </w:r>
          </w:p>
        </w:tc>
      </w:tr>
      <w:tr w:rsidR="00D519CA" w:rsidRPr="00DD0DAD" w:rsidTr="00F66B15">
        <w:trPr>
          <w:trHeight w:val="315"/>
        </w:trPr>
        <w:tc>
          <w:tcPr>
            <w:tcW w:w="1824" w:type="dxa"/>
            <w:shd w:val="clear" w:color="auto" w:fill="auto"/>
            <w:noWrap/>
            <w:vAlign w:val="bottom"/>
            <w:hideMark/>
          </w:tcPr>
          <w:p w:rsidR="00D519CA" w:rsidRPr="00DD0DAD" w:rsidRDefault="00D519CA" w:rsidP="00DD0DAD">
            <w:pPr>
              <w:ind w:left="0"/>
              <w:rPr>
                <w:rFonts w:ascii="Calibri" w:hAnsi="Calibri"/>
                <w:sz w:val="22"/>
                <w:szCs w:val="22"/>
                <w:lang w:eastAsia="en-GB"/>
              </w:rPr>
            </w:pPr>
            <w:r>
              <w:rPr>
                <w:rFonts w:ascii="Calibri" w:hAnsi="Calibri"/>
                <w:sz w:val="22"/>
                <w:szCs w:val="22"/>
                <w:lang w:eastAsia="en-GB"/>
              </w:rPr>
              <w:t>Animal and Public Health Information System (APHIS)</w:t>
            </w:r>
          </w:p>
        </w:tc>
        <w:tc>
          <w:tcPr>
            <w:tcW w:w="4005" w:type="dxa"/>
            <w:shd w:val="clear" w:color="auto" w:fill="auto"/>
            <w:noWrap/>
            <w:vAlign w:val="bottom"/>
            <w:hideMark/>
          </w:tcPr>
          <w:p w:rsidR="00D519CA" w:rsidRDefault="00D519CA" w:rsidP="00DD0DAD">
            <w:pPr>
              <w:ind w:left="0"/>
              <w:rPr>
                <w:rFonts w:ascii="Calibri" w:hAnsi="Calibri"/>
                <w:sz w:val="22"/>
                <w:szCs w:val="22"/>
                <w:lang w:eastAsia="en-GB"/>
              </w:rPr>
            </w:pPr>
            <w:r>
              <w:rPr>
                <w:rFonts w:ascii="Calibri" w:hAnsi="Calibri"/>
                <w:sz w:val="22"/>
                <w:szCs w:val="22"/>
                <w:lang w:eastAsia="en-GB"/>
              </w:rPr>
              <w:t>Record of cattle births, deaths, movements.</w:t>
            </w:r>
          </w:p>
          <w:p w:rsidR="00D519CA" w:rsidRPr="00DD0DAD" w:rsidRDefault="00D519CA" w:rsidP="00F66B15">
            <w:pPr>
              <w:ind w:left="0"/>
              <w:rPr>
                <w:rFonts w:ascii="Calibri" w:hAnsi="Calibri"/>
                <w:sz w:val="22"/>
                <w:szCs w:val="22"/>
                <w:lang w:eastAsia="en-GB"/>
              </w:rPr>
            </w:pPr>
            <w:r>
              <w:rPr>
                <w:rFonts w:ascii="Calibri" w:hAnsi="Calibri"/>
                <w:sz w:val="22"/>
                <w:szCs w:val="22"/>
                <w:lang w:eastAsia="en-GB"/>
              </w:rPr>
              <w:t xml:space="preserve">Also </w:t>
            </w:r>
            <w:r w:rsidR="00250CE6">
              <w:rPr>
                <w:rFonts w:ascii="Calibri" w:hAnsi="Calibri"/>
                <w:sz w:val="22"/>
                <w:szCs w:val="22"/>
                <w:lang w:eastAsia="en-GB"/>
              </w:rPr>
              <w:t xml:space="preserve">information on </w:t>
            </w:r>
            <w:r>
              <w:rPr>
                <w:rFonts w:ascii="Calibri" w:hAnsi="Calibri"/>
                <w:sz w:val="22"/>
                <w:szCs w:val="22"/>
                <w:lang w:eastAsia="en-GB"/>
              </w:rPr>
              <w:t>sheep, poultry, pig</w:t>
            </w:r>
            <w:r w:rsidR="00250CE6">
              <w:rPr>
                <w:rFonts w:ascii="Calibri" w:hAnsi="Calibri"/>
                <w:sz w:val="22"/>
                <w:szCs w:val="22"/>
                <w:lang w:eastAsia="en-GB"/>
              </w:rPr>
              <w:t xml:space="preserve"> holdings.</w:t>
            </w:r>
          </w:p>
        </w:tc>
        <w:tc>
          <w:tcPr>
            <w:tcW w:w="1237" w:type="dxa"/>
            <w:shd w:val="clear" w:color="auto" w:fill="auto"/>
            <w:noWrap/>
            <w:vAlign w:val="bottom"/>
            <w:hideMark/>
          </w:tcPr>
          <w:p w:rsidR="00D519CA" w:rsidRPr="00DD0DAD" w:rsidRDefault="00250CE6" w:rsidP="00DD0DAD">
            <w:pPr>
              <w:ind w:left="0"/>
              <w:rPr>
                <w:rFonts w:ascii="Calibri" w:hAnsi="Calibri"/>
                <w:sz w:val="22"/>
                <w:szCs w:val="22"/>
                <w:lang w:eastAsia="en-GB"/>
              </w:rPr>
            </w:pPr>
            <w:r>
              <w:rPr>
                <w:rFonts w:ascii="Calibri" w:hAnsi="Calibri"/>
                <w:sz w:val="22"/>
                <w:szCs w:val="22"/>
                <w:lang w:eastAsia="en-GB"/>
              </w:rPr>
              <w:t>NI</w:t>
            </w:r>
          </w:p>
        </w:tc>
        <w:tc>
          <w:tcPr>
            <w:tcW w:w="3401" w:type="dxa"/>
            <w:shd w:val="clear" w:color="auto" w:fill="auto"/>
            <w:noWrap/>
            <w:vAlign w:val="bottom"/>
            <w:hideMark/>
          </w:tcPr>
          <w:p w:rsidR="00250CE6" w:rsidRDefault="00250CE6" w:rsidP="00250CE6">
            <w:pPr>
              <w:ind w:left="0"/>
              <w:rPr>
                <w:rFonts w:ascii="Calibri" w:hAnsi="Calibri"/>
                <w:sz w:val="22"/>
                <w:szCs w:val="22"/>
                <w:lang w:eastAsia="en-GB"/>
              </w:rPr>
            </w:pPr>
            <w:r>
              <w:rPr>
                <w:rFonts w:ascii="Calibri" w:hAnsi="Calibri"/>
                <w:sz w:val="22"/>
                <w:szCs w:val="22"/>
                <w:lang w:eastAsia="en-GB"/>
              </w:rPr>
              <w:t>June/Dec Agricultural and Horticultural Survey</w:t>
            </w:r>
          </w:p>
          <w:p w:rsidR="00250CE6" w:rsidRDefault="00250CE6" w:rsidP="00250CE6">
            <w:pPr>
              <w:ind w:left="0"/>
              <w:rPr>
                <w:rFonts w:ascii="Calibri" w:hAnsi="Calibri"/>
                <w:sz w:val="22"/>
                <w:szCs w:val="22"/>
                <w:lang w:eastAsia="en-GB"/>
              </w:rPr>
            </w:pPr>
            <w:r>
              <w:rPr>
                <w:rFonts w:ascii="Calibri" w:hAnsi="Calibri"/>
                <w:sz w:val="22"/>
                <w:szCs w:val="22"/>
                <w:lang w:eastAsia="en-GB"/>
              </w:rPr>
              <w:t>EU Farm Structure Survey</w:t>
            </w:r>
          </w:p>
          <w:p w:rsidR="00D519CA" w:rsidRPr="00DD0DAD" w:rsidRDefault="00250CE6" w:rsidP="00250CE6">
            <w:pPr>
              <w:ind w:left="0"/>
              <w:rPr>
                <w:rFonts w:ascii="Calibri" w:hAnsi="Calibri"/>
                <w:sz w:val="22"/>
                <w:szCs w:val="22"/>
                <w:lang w:eastAsia="en-GB"/>
              </w:rPr>
            </w:pPr>
            <w:r>
              <w:rPr>
                <w:rFonts w:ascii="Calibri" w:hAnsi="Calibri"/>
                <w:sz w:val="22"/>
                <w:szCs w:val="22"/>
                <w:lang w:eastAsia="en-GB"/>
              </w:rPr>
              <w:t>Statistical Review of NI Agriculture</w:t>
            </w:r>
          </w:p>
        </w:tc>
      </w:tr>
      <w:tr w:rsidR="00250CE6" w:rsidRPr="00DD0DAD" w:rsidTr="00F66B15">
        <w:trPr>
          <w:trHeight w:val="315"/>
        </w:trPr>
        <w:tc>
          <w:tcPr>
            <w:tcW w:w="1824" w:type="dxa"/>
            <w:shd w:val="clear" w:color="auto" w:fill="auto"/>
            <w:noWrap/>
            <w:vAlign w:val="bottom"/>
            <w:hideMark/>
          </w:tcPr>
          <w:p w:rsidR="00250CE6" w:rsidRPr="00DD0DAD" w:rsidRDefault="00250CE6" w:rsidP="00DD0DAD">
            <w:pPr>
              <w:ind w:left="0"/>
              <w:rPr>
                <w:rFonts w:ascii="Calibri" w:hAnsi="Calibri"/>
                <w:sz w:val="22"/>
                <w:szCs w:val="22"/>
                <w:lang w:eastAsia="en-GB"/>
              </w:rPr>
            </w:pPr>
            <w:r>
              <w:rPr>
                <w:rFonts w:ascii="Calibri" w:hAnsi="Calibri"/>
                <w:sz w:val="22"/>
                <w:szCs w:val="22"/>
                <w:lang w:eastAsia="en-GB"/>
              </w:rPr>
              <w:t>Northern Ireland Bird Register Update</w:t>
            </w:r>
          </w:p>
        </w:tc>
        <w:tc>
          <w:tcPr>
            <w:tcW w:w="4005" w:type="dxa"/>
            <w:shd w:val="clear" w:color="auto" w:fill="auto"/>
            <w:noWrap/>
            <w:vAlign w:val="bottom"/>
            <w:hideMark/>
          </w:tcPr>
          <w:p w:rsidR="00250CE6" w:rsidRPr="00DD0DAD" w:rsidRDefault="003D4E2F" w:rsidP="003D4E2F">
            <w:pPr>
              <w:ind w:left="0"/>
              <w:rPr>
                <w:rFonts w:ascii="Calibri" w:hAnsi="Calibri"/>
                <w:sz w:val="22"/>
                <w:szCs w:val="22"/>
                <w:lang w:eastAsia="en-GB"/>
              </w:rPr>
            </w:pPr>
            <w:r>
              <w:rPr>
                <w:rFonts w:ascii="Calibri" w:hAnsi="Calibri"/>
                <w:sz w:val="22"/>
                <w:szCs w:val="22"/>
                <w:lang w:eastAsia="en-GB"/>
              </w:rPr>
              <w:t>Register of</w:t>
            </w:r>
            <w:r w:rsidR="00250CE6">
              <w:rPr>
                <w:rFonts w:ascii="Calibri" w:hAnsi="Calibri"/>
                <w:sz w:val="22"/>
                <w:szCs w:val="22"/>
                <w:lang w:eastAsia="en-GB"/>
              </w:rPr>
              <w:t xml:space="preserve"> Bird flocks</w:t>
            </w:r>
            <w:r w:rsidR="00F66B15">
              <w:rPr>
                <w:rFonts w:ascii="Calibri" w:hAnsi="Calibri"/>
                <w:sz w:val="22"/>
                <w:szCs w:val="22"/>
                <w:lang w:eastAsia="en-GB"/>
              </w:rPr>
              <w:t xml:space="preserve"> and number of poultry in June.</w:t>
            </w:r>
          </w:p>
        </w:tc>
        <w:tc>
          <w:tcPr>
            <w:tcW w:w="1237" w:type="dxa"/>
            <w:shd w:val="clear" w:color="auto" w:fill="auto"/>
            <w:noWrap/>
            <w:vAlign w:val="bottom"/>
            <w:hideMark/>
          </w:tcPr>
          <w:p w:rsidR="00250CE6" w:rsidRPr="00DD0DAD" w:rsidRDefault="00250CE6" w:rsidP="00DD0DAD">
            <w:pPr>
              <w:ind w:left="0"/>
              <w:rPr>
                <w:rFonts w:ascii="Calibri" w:hAnsi="Calibri"/>
                <w:sz w:val="22"/>
                <w:szCs w:val="22"/>
                <w:lang w:eastAsia="en-GB"/>
              </w:rPr>
            </w:pPr>
            <w:r>
              <w:rPr>
                <w:rFonts w:ascii="Calibri" w:hAnsi="Calibri"/>
                <w:sz w:val="22"/>
                <w:szCs w:val="22"/>
                <w:lang w:eastAsia="en-GB"/>
              </w:rPr>
              <w:t>NI</w:t>
            </w:r>
          </w:p>
        </w:tc>
        <w:tc>
          <w:tcPr>
            <w:tcW w:w="3401" w:type="dxa"/>
            <w:shd w:val="clear" w:color="auto" w:fill="auto"/>
            <w:noWrap/>
            <w:vAlign w:val="bottom"/>
            <w:hideMark/>
          </w:tcPr>
          <w:p w:rsidR="00250CE6" w:rsidRDefault="00250CE6" w:rsidP="00250CE6">
            <w:pPr>
              <w:ind w:left="0"/>
              <w:rPr>
                <w:rFonts w:ascii="Calibri" w:hAnsi="Calibri"/>
                <w:sz w:val="22"/>
                <w:szCs w:val="22"/>
                <w:lang w:eastAsia="en-GB"/>
              </w:rPr>
            </w:pPr>
            <w:r>
              <w:rPr>
                <w:rFonts w:ascii="Calibri" w:hAnsi="Calibri"/>
                <w:sz w:val="22"/>
                <w:szCs w:val="22"/>
                <w:lang w:eastAsia="en-GB"/>
              </w:rPr>
              <w:t>June/Dec Agricultural and Horticultural Survey</w:t>
            </w:r>
          </w:p>
          <w:p w:rsidR="00250CE6" w:rsidRDefault="00250CE6" w:rsidP="00250CE6">
            <w:pPr>
              <w:ind w:left="0"/>
              <w:rPr>
                <w:rFonts w:ascii="Calibri" w:hAnsi="Calibri"/>
                <w:sz w:val="22"/>
                <w:szCs w:val="22"/>
                <w:lang w:eastAsia="en-GB"/>
              </w:rPr>
            </w:pPr>
            <w:r>
              <w:rPr>
                <w:rFonts w:ascii="Calibri" w:hAnsi="Calibri"/>
                <w:sz w:val="22"/>
                <w:szCs w:val="22"/>
                <w:lang w:eastAsia="en-GB"/>
              </w:rPr>
              <w:t>EU Farm Structure Survey</w:t>
            </w:r>
          </w:p>
          <w:p w:rsidR="00250CE6" w:rsidRPr="00DD0DAD" w:rsidRDefault="00250CE6" w:rsidP="00250CE6">
            <w:pPr>
              <w:ind w:left="0"/>
              <w:rPr>
                <w:rFonts w:ascii="Calibri" w:hAnsi="Calibri"/>
                <w:sz w:val="22"/>
                <w:szCs w:val="22"/>
                <w:lang w:eastAsia="en-GB"/>
              </w:rPr>
            </w:pPr>
            <w:r>
              <w:rPr>
                <w:rFonts w:ascii="Calibri" w:hAnsi="Calibri"/>
                <w:sz w:val="22"/>
                <w:szCs w:val="22"/>
                <w:lang w:eastAsia="en-GB"/>
              </w:rPr>
              <w:t>Statistical Review of NI Agriculture</w:t>
            </w:r>
          </w:p>
        </w:tc>
      </w:tr>
      <w:tr w:rsidR="00250CE6" w:rsidRPr="00DD0DAD" w:rsidTr="00F66B15">
        <w:trPr>
          <w:trHeight w:val="315"/>
        </w:trPr>
        <w:tc>
          <w:tcPr>
            <w:tcW w:w="1824" w:type="dxa"/>
            <w:shd w:val="clear" w:color="auto" w:fill="auto"/>
            <w:noWrap/>
            <w:vAlign w:val="bottom"/>
            <w:hideMark/>
          </w:tcPr>
          <w:p w:rsidR="00250CE6" w:rsidRPr="00DD0DAD" w:rsidRDefault="003D4E2F" w:rsidP="00DD0DAD">
            <w:pPr>
              <w:ind w:left="0"/>
              <w:rPr>
                <w:rFonts w:ascii="Calibri" w:hAnsi="Calibri"/>
                <w:sz w:val="22"/>
                <w:szCs w:val="22"/>
                <w:lang w:eastAsia="en-GB"/>
              </w:rPr>
            </w:pPr>
            <w:r w:rsidRPr="003D4E2F">
              <w:rPr>
                <w:rFonts w:ascii="Calibri" w:hAnsi="Calibri"/>
                <w:sz w:val="22"/>
                <w:szCs w:val="22"/>
                <w:lang w:eastAsia="en-GB"/>
              </w:rPr>
              <w:t>Annual Inventory of Pigs</w:t>
            </w:r>
          </w:p>
        </w:tc>
        <w:tc>
          <w:tcPr>
            <w:tcW w:w="4005" w:type="dxa"/>
            <w:shd w:val="clear" w:color="auto" w:fill="auto"/>
            <w:noWrap/>
            <w:vAlign w:val="bottom"/>
            <w:hideMark/>
          </w:tcPr>
          <w:p w:rsidR="00250CE6" w:rsidRPr="00DD0DAD" w:rsidRDefault="003D4E2F" w:rsidP="00DD0DAD">
            <w:pPr>
              <w:ind w:left="0"/>
              <w:rPr>
                <w:rFonts w:ascii="Calibri" w:hAnsi="Calibri"/>
                <w:sz w:val="22"/>
                <w:szCs w:val="22"/>
                <w:lang w:eastAsia="en-GB"/>
              </w:rPr>
            </w:pPr>
            <w:r>
              <w:rPr>
                <w:rFonts w:ascii="Calibri" w:hAnsi="Calibri"/>
                <w:sz w:val="22"/>
                <w:szCs w:val="22"/>
                <w:lang w:eastAsia="en-GB"/>
              </w:rPr>
              <w:t>Register of Pig herds</w:t>
            </w:r>
            <w:r w:rsidR="00F66B15">
              <w:rPr>
                <w:rFonts w:ascii="Calibri" w:hAnsi="Calibri"/>
                <w:sz w:val="22"/>
                <w:szCs w:val="22"/>
                <w:lang w:eastAsia="en-GB"/>
              </w:rPr>
              <w:t xml:space="preserve"> and numbers on farm in June</w:t>
            </w:r>
          </w:p>
        </w:tc>
        <w:tc>
          <w:tcPr>
            <w:tcW w:w="1237" w:type="dxa"/>
            <w:shd w:val="clear" w:color="auto" w:fill="auto"/>
            <w:noWrap/>
            <w:vAlign w:val="bottom"/>
            <w:hideMark/>
          </w:tcPr>
          <w:p w:rsidR="00250CE6" w:rsidRPr="00DD0DAD" w:rsidRDefault="003D4E2F" w:rsidP="00DD0DAD">
            <w:pPr>
              <w:ind w:left="0"/>
              <w:rPr>
                <w:rFonts w:ascii="Calibri" w:hAnsi="Calibri"/>
                <w:sz w:val="22"/>
                <w:szCs w:val="22"/>
                <w:lang w:eastAsia="en-GB"/>
              </w:rPr>
            </w:pPr>
            <w:r>
              <w:rPr>
                <w:rFonts w:ascii="Calibri" w:hAnsi="Calibri"/>
                <w:sz w:val="22"/>
                <w:szCs w:val="22"/>
                <w:lang w:eastAsia="en-GB"/>
              </w:rPr>
              <w:t>NI</w:t>
            </w:r>
          </w:p>
        </w:tc>
        <w:tc>
          <w:tcPr>
            <w:tcW w:w="3401" w:type="dxa"/>
            <w:shd w:val="clear" w:color="auto" w:fill="auto"/>
            <w:noWrap/>
            <w:vAlign w:val="bottom"/>
            <w:hideMark/>
          </w:tcPr>
          <w:p w:rsidR="003D4E2F" w:rsidRDefault="003D4E2F" w:rsidP="003D4E2F">
            <w:pPr>
              <w:ind w:left="0"/>
              <w:rPr>
                <w:rFonts w:ascii="Calibri" w:hAnsi="Calibri"/>
                <w:sz w:val="22"/>
                <w:szCs w:val="22"/>
                <w:lang w:eastAsia="en-GB"/>
              </w:rPr>
            </w:pPr>
            <w:r>
              <w:rPr>
                <w:rFonts w:ascii="Calibri" w:hAnsi="Calibri"/>
                <w:sz w:val="22"/>
                <w:szCs w:val="22"/>
                <w:lang w:eastAsia="en-GB"/>
              </w:rPr>
              <w:t>June/Dec Agricultural and Horticultural Survey</w:t>
            </w:r>
          </w:p>
          <w:p w:rsidR="003D4E2F" w:rsidRDefault="003D4E2F" w:rsidP="003D4E2F">
            <w:pPr>
              <w:ind w:left="0"/>
              <w:rPr>
                <w:rFonts w:ascii="Calibri" w:hAnsi="Calibri"/>
                <w:sz w:val="22"/>
                <w:szCs w:val="22"/>
                <w:lang w:eastAsia="en-GB"/>
              </w:rPr>
            </w:pPr>
            <w:r>
              <w:rPr>
                <w:rFonts w:ascii="Calibri" w:hAnsi="Calibri"/>
                <w:sz w:val="22"/>
                <w:szCs w:val="22"/>
                <w:lang w:eastAsia="en-GB"/>
              </w:rPr>
              <w:t>EU Farm Structure Survey</w:t>
            </w:r>
          </w:p>
          <w:p w:rsidR="00250CE6" w:rsidRPr="00DD0DAD" w:rsidRDefault="003D4E2F" w:rsidP="003D4E2F">
            <w:pPr>
              <w:ind w:left="0"/>
              <w:rPr>
                <w:rFonts w:ascii="Calibri" w:hAnsi="Calibri"/>
                <w:sz w:val="22"/>
                <w:szCs w:val="22"/>
                <w:lang w:eastAsia="en-GB"/>
              </w:rPr>
            </w:pPr>
            <w:r>
              <w:rPr>
                <w:rFonts w:ascii="Calibri" w:hAnsi="Calibri"/>
                <w:sz w:val="22"/>
                <w:szCs w:val="22"/>
                <w:lang w:eastAsia="en-GB"/>
              </w:rPr>
              <w:t>Statistical Review of NI Agriculture</w:t>
            </w:r>
          </w:p>
        </w:tc>
      </w:tr>
      <w:tr w:rsidR="003D4E2F" w:rsidRPr="00DD0DAD" w:rsidTr="00F66B15">
        <w:trPr>
          <w:trHeight w:val="315"/>
        </w:trPr>
        <w:tc>
          <w:tcPr>
            <w:tcW w:w="1824" w:type="dxa"/>
            <w:shd w:val="clear" w:color="auto" w:fill="auto"/>
            <w:noWrap/>
            <w:vAlign w:val="bottom"/>
            <w:hideMark/>
          </w:tcPr>
          <w:p w:rsidR="003D4E2F" w:rsidRPr="00DD0DAD" w:rsidRDefault="003D4E2F" w:rsidP="00DD0DAD">
            <w:pPr>
              <w:ind w:left="0"/>
              <w:rPr>
                <w:rFonts w:ascii="Calibri" w:hAnsi="Calibri"/>
                <w:sz w:val="22"/>
                <w:szCs w:val="22"/>
                <w:lang w:eastAsia="en-GB"/>
              </w:rPr>
            </w:pPr>
            <w:r w:rsidRPr="003D4E2F">
              <w:rPr>
                <w:rFonts w:ascii="Calibri" w:hAnsi="Calibri"/>
                <w:sz w:val="22"/>
                <w:szCs w:val="22"/>
                <w:lang w:eastAsia="en-GB"/>
              </w:rPr>
              <w:t>Annual Sheep and Goat register</w:t>
            </w:r>
          </w:p>
        </w:tc>
        <w:tc>
          <w:tcPr>
            <w:tcW w:w="4005" w:type="dxa"/>
            <w:shd w:val="clear" w:color="auto" w:fill="auto"/>
            <w:noWrap/>
            <w:vAlign w:val="bottom"/>
            <w:hideMark/>
          </w:tcPr>
          <w:p w:rsidR="003D4E2F" w:rsidRPr="00DD0DAD" w:rsidRDefault="003D4E2F" w:rsidP="00F66B15">
            <w:pPr>
              <w:ind w:left="0"/>
              <w:rPr>
                <w:rFonts w:ascii="Calibri" w:hAnsi="Calibri"/>
                <w:sz w:val="22"/>
                <w:szCs w:val="22"/>
                <w:lang w:eastAsia="en-GB"/>
              </w:rPr>
            </w:pPr>
            <w:r>
              <w:rPr>
                <w:rFonts w:ascii="Calibri" w:hAnsi="Calibri"/>
                <w:sz w:val="22"/>
                <w:szCs w:val="22"/>
                <w:lang w:eastAsia="en-GB"/>
              </w:rPr>
              <w:t>Register of Sheep and Goat flocks</w:t>
            </w:r>
            <w:r w:rsidR="00F66B15">
              <w:rPr>
                <w:rFonts w:ascii="Calibri" w:hAnsi="Calibri"/>
                <w:sz w:val="22"/>
                <w:szCs w:val="22"/>
                <w:lang w:eastAsia="en-GB"/>
              </w:rPr>
              <w:t xml:space="preserve"> and numbers in December</w:t>
            </w:r>
          </w:p>
        </w:tc>
        <w:tc>
          <w:tcPr>
            <w:tcW w:w="1237" w:type="dxa"/>
            <w:shd w:val="clear" w:color="auto" w:fill="auto"/>
            <w:noWrap/>
            <w:vAlign w:val="bottom"/>
            <w:hideMark/>
          </w:tcPr>
          <w:p w:rsidR="003D4E2F" w:rsidRPr="00DD0DAD" w:rsidRDefault="003D4E2F" w:rsidP="00DD0DAD">
            <w:pPr>
              <w:ind w:left="0"/>
              <w:rPr>
                <w:rFonts w:ascii="Calibri" w:hAnsi="Calibri"/>
                <w:sz w:val="22"/>
                <w:szCs w:val="22"/>
                <w:lang w:eastAsia="en-GB"/>
              </w:rPr>
            </w:pPr>
            <w:r>
              <w:rPr>
                <w:rFonts w:ascii="Calibri" w:hAnsi="Calibri"/>
                <w:sz w:val="22"/>
                <w:szCs w:val="22"/>
                <w:lang w:eastAsia="en-GB"/>
              </w:rPr>
              <w:t>NI</w:t>
            </w:r>
          </w:p>
        </w:tc>
        <w:tc>
          <w:tcPr>
            <w:tcW w:w="3401" w:type="dxa"/>
            <w:shd w:val="clear" w:color="auto" w:fill="auto"/>
            <w:noWrap/>
            <w:vAlign w:val="bottom"/>
            <w:hideMark/>
          </w:tcPr>
          <w:p w:rsidR="003D4E2F" w:rsidRPr="00DD0DAD" w:rsidRDefault="003D4E2F" w:rsidP="003D4E2F">
            <w:pPr>
              <w:ind w:left="0"/>
              <w:rPr>
                <w:rFonts w:ascii="Calibri" w:hAnsi="Calibri"/>
                <w:sz w:val="22"/>
                <w:szCs w:val="22"/>
                <w:lang w:eastAsia="en-GB"/>
              </w:rPr>
            </w:pPr>
            <w:r>
              <w:rPr>
                <w:rFonts w:ascii="Calibri" w:hAnsi="Calibri"/>
                <w:sz w:val="22"/>
                <w:szCs w:val="22"/>
                <w:lang w:eastAsia="en-GB"/>
              </w:rPr>
              <w:t>June/Dec Agricultural and Horticultural Survey</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Water Quality Archive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Water quality monitoring data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Groundwater Monitoring Database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Monitoring of groundwater data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Industrial Consents Database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Records of consented industrial and private sewage discharges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Pollution Incidents (PILOTS)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Details of water pollution incidents recorded throughout Northern Ireland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lastRenderedPageBreak/>
              <w:t xml:space="preserve"> </w:t>
            </w:r>
            <w:r w:rsidRPr="00F66B15">
              <w:rPr>
                <w:rFonts w:ascii="Calibri" w:hAnsi="Calibri"/>
                <w:color w:val="000000"/>
                <w:sz w:val="22"/>
                <w:szCs w:val="22"/>
                <w:lang w:eastAsia="en-GB"/>
              </w:rPr>
              <w:t xml:space="preserve">Water Service Discharge Database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Monitoring data for Sewage Treatment Works and their discharge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519CA">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Private Water Supplies Database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519CA">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Private Water Supplies Databases (water quality monitoring data and private water supplies register)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Air Quality Monitoring Statistics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Air Quality Monitoring Statistics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Environmental Statistics Report </w:t>
            </w:r>
            <w:r w:rsidRPr="00F66B15">
              <w:rPr>
                <w:rFonts w:ascii="Calibri" w:hAnsi="Calibri"/>
                <w:sz w:val="22"/>
                <w:szCs w:val="22"/>
                <w:lang w:eastAsia="en-GB"/>
              </w:rPr>
              <w:t xml:space="preserve"> </w:t>
            </w:r>
          </w:p>
        </w:tc>
      </w:tr>
      <w:tr w:rsidR="00DD0DAD" w:rsidRPr="00DD0DAD" w:rsidTr="00F66B15">
        <w:trPr>
          <w:trHeight w:val="315"/>
        </w:trPr>
        <w:tc>
          <w:tcPr>
            <w:tcW w:w="1824"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color w:val="000000"/>
                <w:sz w:val="22"/>
                <w:szCs w:val="22"/>
                <w:lang w:eastAsia="en-GB"/>
              </w:rPr>
              <w:t xml:space="preserve">WasteDataFlow </w:t>
            </w:r>
            <w:r w:rsidRPr="00F66B15">
              <w:rPr>
                <w:rFonts w:ascii="Calibri" w:hAnsi="Calibri"/>
                <w:sz w:val="22"/>
                <w:szCs w:val="22"/>
                <w:lang w:eastAsia="en-GB"/>
              </w:rPr>
              <w:t xml:space="preserve"> </w:t>
            </w:r>
          </w:p>
        </w:tc>
        <w:tc>
          <w:tcPr>
            <w:tcW w:w="4005"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color w:val="000000"/>
                <w:sz w:val="22"/>
                <w:szCs w:val="22"/>
                <w:lang w:eastAsia="en-GB"/>
              </w:rPr>
              <w:t xml:space="preserve">Data on municipal waste collection and management </w:t>
            </w:r>
            <w:r w:rsidRPr="00F66B15">
              <w:rPr>
                <w:rFonts w:ascii="Calibri" w:hAnsi="Calibri"/>
                <w:sz w:val="22"/>
                <w:szCs w:val="22"/>
                <w:lang w:eastAsia="en-GB"/>
              </w:rPr>
              <w:t xml:space="preserve"> </w:t>
            </w:r>
          </w:p>
        </w:tc>
        <w:tc>
          <w:tcPr>
            <w:tcW w:w="1237"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Pr="00F66B15">
              <w:rPr>
                <w:rFonts w:ascii="Calibri" w:hAnsi="Calibri"/>
                <w:sz w:val="22"/>
                <w:szCs w:val="22"/>
                <w:lang w:eastAsia="en-GB"/>
              </w:rPr>
              <w:t xml:space="preserve"> </w:t>
            </w:r>
          </w:p>
        </w:tc>
        <w:tc>
          <w:tcPr>
            <w:tcW w:w="3401" w:type="dxa"/>
            <w:shd w:val="clear" w:color="auto" w:fill="auto"/>
            <w:noWrap/>
            <w:vAlign w:val="bottom"/>
            <w:hideMark/>
          </w:tcPr>
          <w:p w:rsidR="00DD0DAD" w:rsidRPr="00F66B15" w:rsidRDefault="00DD0DAD" w:rsidP="00DD0DAD">
            <w:pPr>
              <w:ind w:left="0"/>
              <w:rPr>
                <w:rFonts w:ascii="Calibri" w:hAnsi="Calibri"/>
                <w:sz w:val="22"/>
                <w:szCs w:val="22"/>
                <w:lang w:eastAsia="en-GB"/>
              </w:rPr>
            </w:pPr>
            <w:r w:rsidRPr="00F66B15">
              <w:rPr>
                <w:rFonts w:ascii="Calibri" w:hAnsi="Calibri"/>
                <w:sz w:val="22"/>
                <w:szCs w:val="22"/>
                <w:lang w:eastAsia="en-GB"/>
              </w:rPr>
              <w:t xml:space="preserve"> </w:t>
            </w:r>
            <w:r w:rsidRPr="00F66B15">
              <w:rPr>
                <w:rFonts w:ascii="Calibri" w:hAnsi="Calibri"/>
                <w:color w:val="000000"/>
                <w:sz w:val="22"/>
                <w:szCs w:val="22"/>
                <w:lang w:eastAsia="en-GB"/>
              </w:rPr>
              <w:t xml:space="preserve">NI </w:t>
            </w:r>
            <w:r w:rsidR="00575D70" w:rsidRPr="00F66B15">
              <w:rPr>
                <w:rFonts w:ascii="Calibri" w:hAnsi="Calibri"/>
                <w:color w:val="000000"/>
                <w:sz w:val="22"/>
                <w:szCs w:val="22"/>
                <w:lang w:eastAsia="en-GB"/>
              </w:rPr>
              <w:t>Municipal W</w:t>
            </w:r>
            <w:r w:rsidRPr="00F66B15">
              <w:rPr>
                <w:rFonts w:ascii="Calibri" w:hAnsi="Calibri"/>
                <w:color w:val="000000"/>
                <w:sz w:val="22"/>
                <w:szCs w:val="22"/>
                <w:lang w:eastAsia="en-GB"/>
              </w:rPr>
              <w:t>aste Management Statistics</w:t>
            </w:r>
            <w:r w:rsidRPr="00F66B15">
              <w:rPr>
                <w:rFonts w:ascii="Calibri" w:hAnsi="Calibri"/>
                <w:sz w:val="22"/>
                <w:szCs w:val="22"/>
                <w:lang w:eastAsia="en-GB"/>
              </w:rPr>
              <w:t xml:space="preserve"> </w:t>
            </w:r>
          </w:p>
        </w:tc>
      </w:tr>
      <w:tr w:rsidR="00DB185A" w:rsidRPr="00DD0DAD" w:rsidTr="00F66B15">
        <w:trPr>
          <w:trHeight w:val="315"/>
        </w:trPr>
        <w:tc>
          <w:tcPr>
            <w:tcW w:w="1824" w:type="dxa"/>
            <w:shd w:val="clear" w:color="auto" w:fill="auto"/>
            <w:noWrap/>
            <w:vAlign w:val="bottom"/>
          </w:tcPr>
          <w:p w:rsidR="00DB185A" w:rsidRPr="00F66B15" w:rsidRDefault="00DB185A" w:rsidP="00DD0DAD">
            <w:pPr>
              <w:ind w:left="0"/>
              <w:rPr>
                <w:rFonts w:ascii="Calibri" w:hAnsi="Calibri"/>
                <w:color w:val="000000"/>
                <w:sz w:val="22"/>
                <w:szCs w:val="22"/>
                <w:lang w:eastAsia="en-GB"/>
              </w:rPr>
            </w:pPr>
            <w:r>
              <w:rPr>
                <w:rFonts w:ascii="Calibri" w:hAnsi="Calibri"/>
                <w:color w:val="000000"/>
                <w:sz w:val="22"/>
                <w:szCs w:val="22"/>
                <w:lang w:eastAsia="en-GB"/>
              </w:rPr>
              <w:t>Carrier Bag Levy returns</w:t>
            </w:r>
          </w:p>
        </w:tc>
        <w:tc>
          <w:tcPr>
            <w:tcW w:w="4005" w:type="dxa"/>
            <w:shd w:val="clear" w:color="auto" w:fill="auto"/>
            <w:noWrap/>
            <w:vAlign w:val="bottom"/>
          </w:tcPr>
          <w:p w:rsidR="00DB185A" w:rsidRPr="00F66B15" w:rsidRDefault="00DB185A" w:rsidP="00DB185A">
            <w:pPr>
              <w:ind w:left="0"/>
              <w:rPr>
                <w:rFonts w:ascii="Calibri" w:hAnsi="Calibri"/>
                <w:color w:val="000000"/>
                <w:sz w:val="22"/>
                <w:szCs w:val="22"/>
                <w:lang w:eastAsia="en-GB"/>
              </w:rPr>
            </w:pPr>
            <w:r>
              <w:rPr>
                <w:rFonts w:ascii="Calibri" w:hAnsi="Calibri"/>
                <w:color w:val="000000"/>
                <w:sz w:val="22"/>
                <w:szCs w:val="22"/>
                <w:lang w:eastAsia="en-GB"/>
              </w:rPr>
              <w:t>Number of carrier bags dispensed in NI to facilitate collection of levy</w:t>
            </w:r>
          </w:p>
        </w:tc>
        <w:tc>
          <w:tcPr>
            <w:tcW w:w="1237" w:type="dxa"/>
            <w:shd w:val="clear" w:color="auto" w:fill="auto"/>
            <w:noWrap/>
            <w:vAlign w:val="bottom"/>
          </w:tcPr>
          <w:p w:rsidR="00DB185A" w:rsidRPr="00F66B15" w:rsidRDefault="00DB185A" w:rsidP="00DD0DAD">
            <w:pPr>
              <w:ind w:left="0"/>
              <w:rPr>
                <w:rFonts w:ascii="Calibri" w:hAnsi="Calibri"/>
                <w:sz w:val="22"/>
                <w:szCs w:val="22"/>
                <w:lang w:eastAsia="en-GB"/>
              </w:rPr>
            </w:pPr>
            <w:r>
              <w:rPr>
                <w:rFonts w:ascii="Calibri" w:hAnsi="Calibri"/>
                <w:sz w:val="22"/>
                <w:szCs w:val="22"/>
                <w:lang w:eastAsia="en-GB"/>
              </w:rPr>
              <w:t>NI</w:t>
            </w:r>
          </w:p>
        </w:tc>
        <w:tc>
          <w:tcPr>
            <w:tcW w:w="3401" w:type="dxa"/>
            <w:shd w:val="clear" w:color="auto" w:fill="auto"/>
            <w:noWrap/>
            <w:vAlign w:val="bottom"/>
          </w:tcPr>
          <w:p w:rsidR="00DB185A" w:rsidRPr="00F66B15" w:rsidRDefault="00DB185A" w:rsidP="00DD0DAD">
            <w:pPr>
              <w:ind w:left="0"/>
              <w:rPr>
                <w:rFonts w:ascii="Calibri" w:hAnsi="Calibri"/>
                <w:sz w:val="22"/>
                <w:szCs w:val="22"/>
                <w:lang w:eastAsia="en-GB"/>
              </w:rPr>
            </w:pPr>
            <w:r>
              <w:rPr>
                <w:rFonts w:ascii="Calibri" w:hAnsi="Calibri"/>
                <w:sz w:val="22"/>
                <w:szCs w:val="22"/>
                <w:lang w:eastAsia="en-GB"/>
              </w:rPr>
              <w:t>NI Carrier Bag Levy annual statistics</w:t>
            </w:r>
          </w:p>
        </w:tc>
      </w:tr>
    </w:tbl>
    <w:p w:rsidR="00995359" w:rsidRDefault="00995359" w:rsidP="00DD0DAD">
      <w:pPr>
        <w:spacing w:before="100" w:beforeAutospacing="1" w:after="100" w:afterAutospacing="1"/>
        <w:ind w:left="0"/>
        <w:outlineLvl w:val="2"/>
        <w:rPr>
          <w:rFonts w:ascii="Arial" w:hAnsi="Arial" w:cs="Arial"/>
          <w:b/>
          <w:bCs/>
          <w:sz w:val="24"/>
          <w:szCs w:val="24"/>
          <w:lang w:eastAsia="en-GB"/>
        </w:rPr>
      </w:pPr>
    </w:p>
    <w:p w:rsidR="00DD0DAD" w:rsidRPr="00DD0DAD" w:rsidRDefault="00DD0DAD" w:rsidP="00DD0DAD">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b/>
          <w:bCs/>
          <w:sz w:val="24"/>
          <w:szCs w:val="24"/>
          <w:lang w:eastAsia="en-GB"/>
        </w:rPr>
        <w:t>Change management</w:t>
      </w:r>
    </w:p>
    <w:p w:rsidR="00DD0DAD" w:rsidRPr="00DD0DAD" w:rsidRDefault="00DD0DAD" w:rsidP="00DC4DC4">
      <w:pPr>
        <w:spacing w:before="100" w:beforeAutospacing="1" w:after="100" w:afterAutospacing="1"/>
        <w:ind w:left="0"/>
        <w:rPr>
          <w:rFonts w:ascii="Arial" w:hAnsi="Arial" w:cs="Arial"/>
          <w:sz w:val="24"/>
          <w:szCs w:val="24"/>
          <w:lang w:eastAsia="en-GB"/>
        </w:rPr>
      </w:pPr>
      <w:r w:rsidRPr="00DD0DAD">
        <w:rPr>
          <w:rFonts w:ascii="Arial" w:hAnsi="Arial" w:cs="Arial"/>
          <w:sz w:val="24"/>
          <w:szCs w:val="24"/>
          <w:lang w:eastAsia="en-GB"/>
        </w:rPr>
        <w:t>When changes to administrative systems are considered, statistical staff are consulted as part of the change management process.</w:t>
      </w:r>
    </w:p>
    <w:p w:rsidR="00995359" w:rsidRDefault="00995359" w:rsidP="00DD0DAD">
      <w:pPr>
        <w:spacing w:before="100" w:beforeAutospacing="1" w:after="100" w:afterAutospacing="1"/>
        <w:ind w:left="0"/>
        <w:outlineLvl w:val="2"/>
        <w:rPr>
          <w:rFonts w:ascii="Arial" w:hAnsi="Arial" w:cs="Arial"/>
          <w:b/>
          <w:bCs/>
          <w:sz w:val="24"/>
          <w:szCs w:val="24"/>
          <w:lang w:eastAsia="en-GB"/>
        </w:rPr>
      </w:pPr>
    </w:p>
    <w:p w:rsidR="00DD0DAD" w:rsidRPr="00DD0DAD" w:rsidRDefault="00DD0DAD" w:rsidP="00DD0DAD">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b/>
          <w:bCs/>
          <w:sz w:val="24"/>
          <w:szCs w:val="24"/>
          <w:lang w:eastAsia="en-GB"/>
        </w:rPr>
        <w:t>Data access</w:t>
      </w:r>
    </w:p>
    <w:p w:rsidR="00DD0DAD" w:rsidRPr="00DD0DAD" w:rsidRDefault="00DD0DAD" w:rsidP="00DD0DAD">
      <w:pPr>
        <w:spacing w:before="100" w:beforeAutospacing="1" w:after="100" w:afterAutospacing="1"/>
        <w:ind w:left="0"/>
        <w:rPr>
          <w:rFonts w:ascii="Arial" w:hAnsi="Arial" w:cs="Arial"/>
          <w:sz w:val="24"/>
          <w:szCs w:val="24"/>
          <w:lang w:eastAsia="en-GB"/>
        </w:rPr>
      </w:pPr>
      <w:r w:rsidRPr="00DD0DAD">
        <w:rPr>
          <w:rFonts w:ascii="Arial" w:hAnsi="Arial" w:cs="Arial"/>
          <w:sz w:val="24"/>
          <w:szCs w:val="24"/>
          <w:lang w:eastAsia="en-GB"/>
        </w:rPr>
        <w:t>Statistical staff are granted continual, but limited, access to the administrative systems. The information extracted contains only the relevant data and statistical staff have no authority to directly alter any data contained within the systems. They can, however inform the administrative system managers of any errors they uncover, to aid in the overall system maintenance.</w:t>
      </w:r>
    </w:p>
    <w:p w:rsidR="00DD0DAD" w:rsidRDefault="00DD0DAD" w:rsidP="00DD0DAD">
      <w:pPr>
        <w:spacing w:before="100" w:beforeAutospacing="1" w:after="100" w:afterAutospacing="1"/>
        <w:ind w:left="0"/>
        <w:rPr>
          <w:rFonts w:ascii="Arial" w:hAnsi="Arial" w:cs="Arial"/>
          <w:sz w:val="24"/>
          <w:szCs w:val="24"/>
          <w:lang w:eastAsia="en-GB"/>
        </w:rPr>
      </w:pPr>
      <w:r w:rsidRPr="00DD0DAD">
        <w:rPr>
          <w:rFonts w:ascii="Arial" w:hAnsi="Arial" w:cs="Arial"/>
          <w:sz w:val="24"/>
          <w:szCs w:val="24"/>
          <w:lang w:eastAsia="en-GB"/>
        </w:rPr>
        <w:t>A data extraction facility is available to allow statistical staff to extract the relevant data, ad hoc, from the APHIS data. This reduces the involvement of the system administrators and ensures the data is comparable with previous extractions.</w:t>
      </w:r>
    </w:p>
    <w:p w:rsidR="00DD0DAD" w:rsidRPr="00DD0DAD" w:rsidRDefault="00DD0DAD" w:rsidP="00DD0DAD">
      <w:pPr>
        <w:spacing w:before="100" w:beforeAutospacing="1" w:after="100" w:afterAutospacing="1"/>
        <w:ind w:left="0"/>
        <w:rPr>
          <w:rFonts w:ascii="Arial" w:hAnsi="Arial" w:cs="Arial"/>
          <w:sz w:val="24"/>
          <w:szCs w:val="24"/>
          <w:lang w:eastAsia="en-GB"/>
        </w:rPr>
      </w:pPr>
      <w:r>
        <w:rPr>
          <w:rFonts w:ascii="Arial" w:hAnsi="Arial" w:cs="Arial"/>
          <w:sz w:val="24"/>
          <w:szCs w:val="24"/>
          <w:lang w:eastAsia="en-GB"/>
        </w:rPr>
        <w:t>For all databases</w:t>
      </w:r>
      <w:r w:rsidR="00DC4DC4">
        <w:rPr>
          <w:rFonts w:ascii="Arial" w:hAnsi="Arial" w:cs="Arial"/>
          <w:sz w:val="24"/>
          <w:szCs w:val="24"/>
          <w:lang w:eastAsia="en-GB"/>
        </w:rPr>
        <w:t xml:space="preserve"> in relation to the NI Environmental Statistics Report</w:t>
      </w:r>
      <w:r>
        <w:rPr>
          <w:rFonts w:ascii="Arial" w:hAnsi="Arial" w:cs="Arial"/>
          <w:sz w:val="24"/>
          <w:szCs w:val="24"/>
          <w:lang w:eastAsia="en-GB"/>
        </w:rPr>
        <w:t>, a</w:t>
      </w:r>
      <w:r w:rsidRPr="00DD0DAD">
        <w:rPr>
          <w:rFonts w:ascii="Arial" w:hAnsi="Arial" w:cs="Arial"/>
          <w:sz w:val="24"/>
          <w:szCs w:val="24"/>
          <w:lang w:eastAsia="en-GB"/>
        </w:rPr>
        <w:t xml:space="preserve"> download or analysis is specified by statistical staff when required, and then run on request. </w:t>
      </w:r>
      <w:r w:rsidR="00DC4DC4">
        <w:rPr>
          <w:rFonts w:ascii="Arial" w:hAnsi="Arial" w:cs="Arial"/>
          <w:sz w:val="24"/>
          <w:szCs w:val="24"/>
          <w:lang w:eastAsia="en-GB"/>
        </w:rPr>
        <w:t xml:space="preserve">For the </w:t>
      </w:r>
      <w:r w:rsidRPr="00DD0DAD">
        <w:rPr>
          <w:rFonts w:ascii="Arial" w:hAnsi="Arial" w:cs="Arial"/>
          <w:sz w:val="24"/>
          <w:szCs w:val="24"/>
          <w:lang w:eastAsia="en-GB"/>
        </w:rPr>
        <w:t>WasteDataFlow system, statistical staff are registered users and can log in directly to the system to download data as required.</w:t>
      </w:r>
    </w:p>
    <w:p w:rsidR="00995359" w:rsidRDefault="00995359" w:rsidP="00DD0DAD">
      <w:pPr>
        <w:spacing w:before="100" w:beforeAutospacing="1" w:after="100" w:afterAutospacing="1"/>
        <w:ind w:left="0"/>
        <w:outlineLvl w:val="2"/>
        <w:rPr>
          <w:rFonts w:ascii="Arial" w:hAnsi="Arial" w:cs="Arial"/>
          <w:b/>
          <w:bCs/>
          <w:sz w:val="24"/>
          <w:szCs w:val="24"/>
          <w:lang w:eastAsia="en-GB"/>
        </w:rPr>
      </w:pPr>
    </w:p>
    <w:p w:rsidR="00DD0DAD" w:rsidRPr="00DD0DAD" w:rsidRDefault="00DD0DAD" w:rsidP="00DD0DAD">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b/>
          <w:bCs/>
          <w:sz w:val="24"/>
          <w:szCs w:val="24"/>
          <w:lang w:eastAsia="en-GB"/>
        </w:rPr>
        <w:t>Data quality</w:t>
      </w:r>
    </w:p>
    <w:p w:rsidR="00DD0DAD" w:rsidRPr="00DD0DAD" w:rsidRDefault="00DD0DAD" w:rsidP="00DD0DAD">
      <w:pPr>
        <w:spacing w:before="100" w:beforeAutospacing="1" w:after="100" w:afterAutospacing="1"/>
        <w:ind w:left="0"/>
        <w:rPr>
          <w:rFonts w:ascii="Arial" w:hAnsi="Arial" w:cs="Arial"/>
          <w:sz w:val="24"/>
          <w:szCs w:val="24"/>
          <w:lang w:eastAsia="en-GB"/>
        </w:rPr>
      </w:pPr>
      <w:r w:rsidRPr="00DD0DAD">
        <w:rPr>
          <w:rFonts w:ascii="Arial" w:hAnsi="Arial" w:cs="Arial"/>
          <w:sz w:val="24"/>
          <w:szCs w:val="24"/>
          <w:lang w:eastAsia="en-GB"/>
        </w:rPr>
        <w:t>A rolling review of data quality is conducted with both credibility and logical checks performed.</w:t>
      </w:r>
    </w:p>
    <w:p w:rsidR="00DD0DAD" w:rsidRDefault="00DD0DAD" w:rsidP="00DD0DAD">
      <w:pPr>
        <w:spacing w:before="100" w:beforeAutospacing="1" w:after="100" w:afterAutospacing="1"/>
        <w:ind w:left="0"/>
        <w:rPr>
          <w:rFonts w:ascii="Arial" w:hAnsi="Arial" w:cs="Arial"/>
          <w:sz w:val="24"/>
          <w:szCs w:val="24"/>
          <w:lang w:eastAsia="en-GB"/>
        </w:rPr>
      </w:pPr>
      <w:r w:rsidRPr="00DD0DAD">
        <w:rPr>
          <w:rFonts w:ascii="Arial" w:hAnsi="Arial" w:cs="Arial"/>
          <w:sz w:val="24"/>
          <w:szCs w:val="24"/>
          <w:lang w:eastAsia="en-GB"/>
        </w:rPr>
        <w:t>Permission to use APHIS, in place of surveys, to provide statistical data on cattle populations (as required under Council Directive 93/24/EC) was granted in 2007 following an application made to Eurostat by the UK.</w:t>
      </w:r>
    </w:p>
    <w:p w:rsidR="00DD0DAD" w:rsidRPr="00DD0DAD" w:rsidRDefault="00D44EB8" w:rsidP="00DD0DAD">
      <w:pPr>
        <w:spacing w:before="100" w:beforeAutospacing="1" w:after="100" w:afterAutospacing="1"/>
        <w:ind w:left="0"/>
        <w:outlineLvl w:val="2"/>
        <w:rPr>
          <w:rFonts w:ascii="Arial" w:hAnsi="Arial" w:cs="Arial"/>
          <w:bCs/>
          <w:sz w:val="24"/>
          <w:szCs w:val="24"/>
          <w:lang w:eastAsia="en-GB"/>
        </w:rPr>
      </w:pPr>
      <w:r w:rsidRPr="00D44EB8">
        <w:rPr>
          <w:rFonts w:ascii="Arial" w:hAnsi="Arial" w:cs="Arial"/>
          <w:bCs/>
          <w:sz w:val="24"/>
          <w:szCs w:val="24"/>
          <w:lang w:eastAsia="en-GB"/>
        </w:rPr>
        <w:lastRenderedPageBreak/>
        <w:t>When downloads or analyses are received</w:t>
      </w:r>
      <w:r w:rsidR="00DC4DC4">
        <w:rPr>
          <w:rFonts w:ascii="Arial" w:hAnsi="Arial" w:cs="Arial"/>
          <w:bCs/>
          <w:sz w:val="24"/>
          <w:szCs w:val="24"/>
          <w:lang w:eastAsia="en-GB"/>
        </w:rPr>
        <w:t xml:space="preserve"> for NI Environmental Statistics Report and waste management statistics report</w:t>
      </w:r>
      <w:r w:rsidR="00DD0DAD">
        <w:rPr>
          <w:rFonts w:ascii="Arial" w:hAnsi="Arial" w:cs="Arial"/>
          <w:bCs/>
          <w:sz w:val="24"/>
          <w:szCs w:val="24"/>
          <w:lang w:eastAsia="en-GB"/>
        </w:rPr>
        <w:t xml:space="preserve">, </w:t>
      </w:r>
      <w:r w:rsidRPr="00D44EB8">
        <w:rPr>
          <w:rFonts w:ascii="Arial" w:hAnsi="Arial" w:cs="Arial"/>
          <w:bCs/>
          <w:sz w:val="24"/>
          <w:szCs w:val="24"/>
          <w:lang w:eastAsia="en-GB"/>
        </w:rPr>
        <w:t>the following processes are undertaken: (i)comparison with relevant data sources; (ii) analysis of trends; (iii) checking that values fall within acceptable ranges; (iv) checking internal consistency and reliability of the data and (v) consulting with policy colleagues.</w:t>
      </w:r>
    </w:p>
    <w:p w:rsidR="00995359" w:rsidRDefault="00995359" w:rsidP="00DD0DAD">
      <w:pPr>
        <w:spacing w:before="100" w:beforeAutospacing="1" w:after="100" w:afterAutospacing="1"/>
        <w:ind w:left="0"/>
        <w:outlineLvl w:val="2"/>
        <w:rPr>
          <w:rFonts w:ascii="Arial" w:hAnsi="Arial" w:cs="Arial"/>
          <w:b/>
          <w:bCs/>
          <w:sz w:val="24"/>
          <w:szCs w:val="24"/>
          <w:lang w:eastAsia="en-GB"/>
        </w:rPr>
      </w:pPr>
    </w:p>
    <w:p w:rsidR="00DD0DAD" w:rsidRPr="00DD0DAD" w:rsidRDefault="00DD0DAD" w:rsidP="00DD0DAD">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b/>
          <w:bCs/>
          <w:sz w:val="24"/>
          <w:szCs w:val="24"/>
          <w:lang w:eastAsia="en-GB"/>
        </w:rPr>
        <w:t>Security</w:t>
      </w:r>
    </w:p>
    <w:p w:rsidR="00DD0DAD" w:rsidRDefault="00DD0DAD" w:rsidP="00DD0DAD">
      <w:pPr>
        <w:spacing w:before="100" w:beforeAutospacing="1" w:after="100" w:afterAutospacing="1"/>
        <w:ind w:left="0"/>
        <w:rPr>
          <w:rFonts w:ascii="Arial" w:hAnsi="Arial" w:cs="Arial"/>
          <w:sz w:val="24"/>
          <w:szCs w:val="24"/>
          <w:lang w:eastAsia="en-GB"/>
        </w:rPr>
      </w:pPr>
      <w:r w:rsidRPr="00DD0DAD">
        <w:rPr>
          <w:rFonts w:ascii="Arial" w:hAnsi="Arial" w:cs="Arial"/>
          <w:sz w:val="24"/>
          <w:szCs w:val="24"/>
          <w:lang w:eastAsia="en-GB"/>
        </w:rPr>
        <w:t>The data is accessible only through secure Departmental desktop computers. Staff permission to access administration systems is subject to twice yearly review.</w:t>
      </w:r>
    </w:p>
    <w:p w:rsidR="00995359" w:rsidRDefault="00995359" w:rsidP="00DD0DAD">
      <w:pPr>
        <w:spacing w:before="100" w:beforeAutospacing="1" w:after="100" w:afterAutospacing="1"/>
        <w:ind w:left="0"/>
        <w:outlineLvl w:val="2"/>
        <w:rPr>
          <w:rFonts w:ascii="Arial" w:hAnsi="Arial" w:cs="Arial"/>
          <w:b/>
          <w:bCs/>
          <w:sz w:val="24"/>
          <w:szCs w:val="24"/>
          <w:lang w:eastAsia="en-GB"/>
        </w:rPr>
      </w:pPr>
    </w:p>
    <w:p w:rsidR="00DD0DAD" w:rsidRPr="00DD0DAD" w:rsidRDefault="00DD0DAD" w:rsidP="00DD0DAD">
      <w:pPr>
        <w:spacing w:before="100" w:beforeAutospacing="1" w:after="100" w:afterAutospacing="1"/>
        <w:ind w:left="0"/>
        <w:outlineLvl w:val="2"/>
        <w:rPr>
          <w:rFonts w:ascii="Arial" w:hAnsi="Arial" w:cs="Arial"/>
          <w:b/>
          <w:bCs/>
          <w:sz w:val="24"/>
          <w:szCs w:val="24"/>
          <w:lang w:eastAsia="en-GB"/>
        </w:rPr>
      </w:pPr>
      <w:r w:rsidRPr="00DD0DAD">
        <w:rPr>
          <w:rFonts w:ascii="Arial" w:hAnsi="Arial" w:cs="Arial"/>
          <w:b/>
          <w:bCs/>
          <w:sz w:val="24"/>
          <w:szCs w:val="24"/>
          <w:lang w:eastAsia="en-GB"/>
        </w:rPr>
        <w:t>Other administrative sources</w:t>
      </w:r>
    </w:p>
    <w:p w:rsidR="00972798" w:rsidRPr="00DD0DAD" w:rsidRDefault="00DD0DAD" w:rsidP="00995359">
      <w:pPr>
        <w:spacing w:before="100" w:beforeAutospacing="1" w:after="100" w:afterAutospacing="1"/>
        <w:ind w:left="0"/>
        <w:rPr>
          <w:rFonts w:ascii="Arial" w:hAnsi="Arial" w:cs="Arial"/>
          <w:sz w:val="24"/>
          <w:szCs w:val="24"/>
        </w:rPr>
      </w:pPr>
      <w:r w:rsidRPr="00DD0DAD">
        <w:rPr>
          <w:rFonts w:ascii="Arial" w:hAnsi="Arial" w:cs="Arial"/>
          <w:sz w:val="24"/>
          <w:szCs w:val="24"/>
          <w:lang w:eastAsia="en-GB"/>
        </w:rPr>
        <w:t>There are no additional administration systems with the potential to reduce the compliance burden on data providers.</w:t>
      </w:r>
    </w:p>
    <w:sectPr w:rsidR="00972798" w:rsidRPr="00DD0DAD" w:rsidSect="009727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2D" w:rsidRDefault="00BE582D" w:rsidP="00BE582D">
      <w:r>
        <w:separator/>
      </w:r>
    </w:p>
  </w:endnote>
  <w:endnote w:type="continuationSeparator" w:id="0">
    <w:p w:rsidR="00BE582D" w:rsidRDefault="00BE582D" w:rsidP="00BE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2D" w:rsidRDefault="00BE582D" w:rsidP="00BE582D">
      <w:r>
        <w:separator/>
      </w:r>
    </w:p>
  </w:footnote>
  <w:footnote w:type="continuationSeparator" w:id="0">
    <w:p w:rsidR="00BE582D" w:rsidRDefault="00BE582D" w:rsidP="00BE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02B9"/>
    <w:multiLevelType w:val="multilevel"/>
    <w:tmpl w:val="68D4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379CD"/>
    <w:multiLevelType w:val="multilevel"/>
    <w:tmpl w:val="ED9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D4867"/>
    <w:multiLevelType w:val="multilevel"/>
    <w:tmpl w:val="924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15F97"/>
    <w:multiLevelType w:val="multilevel"/>
    <w:tmpl w:val="CEE4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9725D"/>
    <w:multiLevelType w:val="hybridMultilevel"/>
    <w:tmpl w:val="B162A322"/>
    <w:lvl w:ilvl="0" w:tplc="D98C5FE8">
      <w:start w:val="1"/>
      <w:numFmt w:val="decimal"/>
      <w:pStyle w:val="PRStyle3"/>
      <w:lvlText w:val="%1."/>
      <w:lvlJc w:val="left"/>
      <w:pPr>
        <w:ind w:left="360" w:hanging="360"/>
      </w:pPr>
      <w:rPr>
        <w:rFonts w:hint="default"/>
        <w:b/>
        <w:sz w:val="40"/>
        <w:szCs w:val="40"/>
      </w:rPr>
    </w:lvl>
    <w:lvl w:ilvl="1" w:tplc="08090019">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5" w15:restartNumberingAfterBreak="0">
    <w:nsid w:val="76EB7405"/>
    <w:multiLevelType w:val="multilevel"/>
    <w:tmpl w:val="589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0"/>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D"/>
    <w:rsid w:val="00250CE6"/>
    <w:rsid w:val="00286CDA"/>
    <w:rsid w:val="003D4E2F"/>
    <w:rsid w:val="0041118A"/>
    <w:rsid w:val="004F7FDE"/>
    <w:rsid w:val="00575D70"/>
    <w:rsid w:val="005D31BD"/>
    <w:rsid w:val="006917A0"/>
    <w:rsid w:val="00972798"/>
    <w:rsid w:val="00995359"/>
    <w:rsid w:val="009F5585"/>
    <w:rsid w:val="009F5E5F"/>
    <w:rsid w:val="00BE582D"/>
    <w:rsid w:val="00D24D46"/>
    <w:rsid w:val="00D44EB8"/>
    <w:rsid w:val="00D519CA"/>
    <w:rsid w:val="00D753E4"/>
    <w:rsid w:val="00D83BC0"/>
    <w:rsid w:val="00DB185A"/>
    <w:rsid w:val="00DC4DC4"/>
    <w:rsid w:val="00DD0DAD"/>
    <w:rsid w:val="00F6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C368E-2295-43F1-AE88-B6718431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5F"/>
    <w:pPr>
      <w:ind w:left="851"/>
    </w:pPr>
    <w:rPr>
      <w:lang w:eastAsia="en-US"/>
    </w:rPr>
  </w:style>
  <w:style w:type="paragraph" w:styleId="Heading1">
    <w:name w:val="heading 1"/>
    <w:basedOn w:val="Normal"/>
    <w:next w:val="Normal"/>
    <w:link w:val="Heading1Char"/>
    <w:qFormat/>
    <w:rsid w:val="009F5E5F"/>
    <w:pPr>
      <w:keepNext/>
      <w:tabs>
        <w:tab w:val="left" w:pos="360"/>
      </w:tabs>
      <w:ind w:left="360" w:hanging="360"/>
      <w:outlineLvl w:val="0"/>
    </w:pPr>
    <w:rPr>
      <w:sz w:val="24"/>
      <w:u w:val="single"/>
    </w:rPr>
  </w:style>
  <w:style w:type="paragraph" w:styleId="Heading2">
    <w:name w:val="heading 2"/>
    <w:basedOn w:val="Normal"/>
    <w:next w:val="Normal"/>
    <w:link w:val="Heading2Char"/>
    <w:uiPriority w:val="9"/>
    <w:qFormat/>
    <w:rsid w:val="009F5E5F"/>
    <w:pPr>
      <w:keepNext/>
      <w:outlineLvl w:val="1"/>
    </w:pPr>
    <w:rPr>
      <w:sz w:val="24"/>
      <w:u w:val="single"/>
    </w:rPr>
  </w:style>
  <w:style w:type="paragraph" w:styleId="Heading3">
    <w:name w:val="heading 3"/>
    <w:basedOn w:val="Normal"/>
    <w:next w:val="Normal"/>
    <w:link w:val="Heading3Char"/>
    <w:uiPriority w:val="9"/>
    <w:qFormat/>
    <w:rsid w:val="009F5E5F"/>
    <w:pPr>
      <w:keepNext/>
      <w:outlineLvl w:val="2"/>
    </w:pPr>
    <w:rPr>
      <w:b/>
      <w:sz w:val="24"/>
    </w:rPr>
  </w:style>
  <w:style w:type="paragraph" w:styleId="Heading4">
    <w:name w:val="heading 4"/>
    <w:basedOn w:val="Normal"/>
    <w:next w:val="Normal"/>
    <w:link w:val="Heading4Char"/>
    <w:qFormat/>
    <w:rsid w:val="009F5E5F"/>
    <w:pPr>
      <w:keepNext/>
      <w:outlineLvl w:val="3"/>
    </w:pPr>
    <w:rPr>
      <w:b/>
      <w:sz w:val="32"/>
    </w:rPr>
  </w:style>
  <w:style w:type="paragraph" w:styleId="Heading5">
    <w:name w:val="heading 5"/>
    <w:basedOn w:val="Normal"/>
    <w:next w:val="Normal"/>
    <w:link w:val="Heading5Char"/>
    <w:qFormat/>
    <w:rsid w:val="009F5E5F"/>
    <w:pPr>
      <w:keepNext/>
      <w:ind w:left="5760"/>
      <w:outlineLvl w:val="4"/>
    </w:pPr>
    <w:rPr>
      <w:b/>
      <w:sz w:val="28"/>
    </w:rPr>
  </w:style>
  <w:style w:type="paragraph" w:styleId="Heading6">
    <w:name w:val="heading 6"/>
    <w:basedOn w:val="Normal"/>
    <w:next w:val="Normal"/>
    <w:link w:val="Heading6Char"/>
    <w:qFormat/>
    <w:rsid w:val="009F5E5F"/>
    <w:pPr>
      <w:keepNext/>
      <w:outlineLvl w:val="5"/>
    </w:pPr>
    <w:rPr>
      <w:b/>
      <w:sz w:val="28"/>
    </w:rPr>
  </w:style>
  <w:style w:type="paragraph" w:styleId="Heading7">
    <w:name w:val="heading 7"/>
    <w:basedOn w:val="Normal"/>
    <w:next w:val="Normal"/>
    <w:link w:val="Heading7Char"/>
    <w:qFormat/>
    <w:rsid w:val="009F5E5F"/>
    <w:pPr>
      <w:keepNext/>
      <w:jc w:val="center"/>
      <w:outlineLvl w:val="6"/>
    </w:pPr>
    <w:rPr>
      <w:sz w:val="24"/>
    </w:rPr>
  </w:style>
  <w:style w:type="paragraph" w:styleId="Heading8">
    <w:name w:val="heading 8"/>
    <w:basedOn w:val="Normal"/>
    <w:next w:val="Normal"/>
    <w:link w:val="Heading8Char"/>
    <w:qFormat/>
    <w:rsid w:val="009F5E5F"/>
    <w:pPr>
      <w:keepNext/>
      <w:jc w:val="right"/>
      <w:outlineLvl w:val="7"/>
    </w:pPr>
    <w:rPr>
      <w:snapToGrid w:val="0"/>
      <w:color w:val="000000"/>
      <w:sz w:val="24"/>
    </w:rPr>
  </w:style>
  <w:style w:type="paragraph" w:styleId="Heading9">
    <w:name w:val="heading 9"/>
    <w:basedOn w:val="Normal"/>
    <w:next w:val="Normal"/>
    <w:link w:val="Heading9Char"/>
    <w:qFormat/>
    <w:rsid w:val="009F5E5F"/>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E5F"/>
    <w:rPr>
      <w:sz w:val="24"/>
      <w:u w:val="single"/>
      <w:lang w:val="en-GB" w:eastAsia="en-US" w:bidi="ar-SA"/>
    </w:rPr>
  </w:style>
  <w:style w:type="character" w:customStyle="1" w:styleId="Heading2Char">
    <w:name w:val="Heading 2 Char"/>
    <w:basedOn w:val="DefaultParagraphFont"/>
    <w:link w:val="Heading2"/>
    <w:uiPriority w:val="9"/>
    <w:rsid w:val="005D31BD"/>
    <w:rPr>
      <w:sz w:val="24"/>
      <w:u w:val="single"/>
      <w:lang w:eastAsia="en-US"/>
    </w:rPr>
  </w:style>
  <w:style w:type="character" w:customStyle="1" w:styleId="Heading3Char">
    <w:name w:val="Heading 3 Char"/>
    <w:basedOn w:val="DefaultParagraphFont"/>
    <w:link w:val="Heading3"/>
    <w:uiPriority w:val="9"/>
    <w:rsid w:val="005D31BD"/>
    <w:rPr>
      <w:b/>
      <w:sz w:val="24"/>
      <w:lang w:eastAsia="en-US"/>
    </w:rPr>
  </w:style>
  <w:style w:type="character" w:customStyle="1" w:styleId="Heading4Char">
    <w:name w:val="Heading 4 Char"/>
    <w:basedOn w:val="DefaultParagraphFont"/>
    <w:link w:val="Heading4"/>
    <w:rsid w:val="005D31BD"/>
    <w:rPr>
      <w:b/>
      <w:sz w:val="32"/>
      <w:lang w:eastAsia="en-US"/>
    </w:rPr>
  </w:style>
  <w:style w:type="character" w:customStyle="1" w:styleId="Heading5Char">
    <w:name w:val="Heading 5 Char"/>
    <w:basedOn w:val="DefaultParagraphFont"/>
    <w:link w:val="Heading5"/>
    <w:rsid w:val="005D31BD"/>
    <w:rPr>
      <w:b/>
      <w:sz w:val="28"/>
      <w:lang w:eastAsia="en-US"/>
    </w:rPr>
  </w:style>
  <w:style w:type="character" w:customStyle="1" w:styleId="Heading6Char">
    <w:name w:val="Heading 6 Char"/>
    <w:basedOn w:val="DefaultParagraphFont"/>
    <w:link w:val="Heading6"/>
    <w:rsid w:val="005D31BD"/>
    <w:rPr>
      <w:b/>
      <w:sz w:val="28"/>
      <w:lang w:eastAsia="en-US"/>
    </w:rPr>
  </w:style>
  <w:style w:type="character" w:customStyle="1" w:styleId="Heading7Char">
    <w:name w:val="Heading 7 Char"/>
    <w:basedOn w:val="DefaultParagraphFont"/>
    <w:link w:val="Heading7"/>
    <w:rsid w:val="005D31BD"/>
    <w:rPr>
      <w:sz w:val="24"/>
      <w:lang w:eastAsia="en-US"/>
    </w:rPr>
  </w:style>
  <w:style w:type="character" w:customStyle="1" w:styleId="Heading8Char">
    <w:name w:val="Heading 8 Char"/>
    <w:basedOn w:val="DefaultParagraphFont"/>
    <w:link w:val="Heading8"/>
    <w:rsid w:val="005D31BD"/>
    <w:rPr>
      <w:snapToGrid w:val="0"/>
      <w:color w:val="000000"/>
      <w:sz w:val="24"/>
      <w:lang w:eastAsia="en-US"/>
    </w:rPr>
  </w:style>
  <w:style w:type="character" w:customStyle="1" w:styleId="Heading9Char">
    <w:name w:val="Heading 9 Char"/>
    <w:basedOn w:val="DefaultParagraphFont"/>
    <w:link w:val="Heading9"/>
    <w:rsid w:val="005D31BD"/>
    <w:rPr>
      <w:sz w:val="24"/>
      <w:lang w:eastAsia="en-US"/>
    </w:rPr>
  </w:style>
  <w:style w:type="paragraph" w:styleId="TOC1">
    <w:name w:val="toc 1"/>
    <w:basedOn w:val="Normal"/>
    <w:next w:val="Normal"/>
    <w:autoRedefine/>
    <w:uiPriority w:val="39"/>
    <w:qFormat/>
    <w:rsid w:val="009F5E5F"/>
    <w:pPr>
      <w:tabs>
        <w:tab w:val="right" w:leader="dot" w:pos="9016"/>
      </w:tabs>
      <w:ind w:left="0"/>
    </w:pPr>
    <w:rPr>
      <w:rFonts w:ascii="Arial" w:hAnsi="Arial" w:cs="Arial"/>
      <w:noProof/>
      <w:sz w:val="24"/>
      <w:szCs w:val="32"/>
    </w:rPr>
  </w:style>
  <w:style w:type="paragraph" w:styleId="TOC2">
    <w:name w:val="toc 2"/>
    <w:basedOn w:val="Normal"/>
    <w:next w:val="Normal"/>
    <w:autoRedefine/>
    <w:uiPriority w:val="39"/>
    <w:qFormat/>
    <w:rsid w:val="009F5E5F"/>
    <w:pPr>
      <w:ind w:left="240"/>
    </w:pPr>
    <w:rPr>
      <w:rFonts w:ascii="Arial" w:hAnsi="Arial"/>
      <w:sz w:val="24"/>
      <w:szCs w:val="24"/>
      <w:lang w:eastAsia="en-GB"/>
    </w:rPr>
  </w:style>
  <w:style w:type="paragraph" w:styleId="TOC3">
    <w:name w:val="toc 3"/>
    <w:basedOn w:val="Normal"/>
    <w:next w:val="Normal"/>
    <w:autoRedefine/>
    <w:uiPriority w:val="39"/>
    <w:qFormat/>
    <w:rsid w:val="009F5E5F"/>
    <w:pPr>
      <w:ind w:left="480"/>
    </w:pPr>
    <w:rPr>
      <w:sz w:val="24"/>
      <w:szCs w:val="24"/>
      <w:lang w:eastAsia="en-GB"/>
    </w:rPr>
  </w:style>
  <w:style w:type="paragraph" w:styleId="FootnoteText">
    <w:name w:val="footnote text"/>
    <w:basedOn w:val="Normal"/>
    <w:link w:val="FootnoteTextChar"/>
    <w:uiPriority w:val="99"/>
    <w:semiHidden/>
    <w:qFormat/>
    <w:rsid w:val="009F5E5F"/>
    <w:pPr>
      <w:ind w:left="0"/>
    </w:pPr>
    <w:rPr>
      <w:rFonts w:ascii="Arial" w:hAnsi="Arial"/>
      <w:color w:val="A6A6A6"/>
    </w:rPr>
  </w:style>
  <w:style w:type="character" w:customStyle="1" w:styleId="FootnoteTextChar">
    <w:name w:val="Footnote Text Char"/>
    <w:basedOn w:val="DefaultParagraphFont"/>
    <w:link w:val="FootnoteText"/>
    <w:uiPriority w:val="99"/>
    <w:semiHidden/>
    <w:rsid w:val="009F5E5F"/>
    <w:rPr>
      <w:rFonts w:ascii="Arial" w:hAnsi="Arial"/>
      <w:color w:val="A6A6A6"/>
      <w:lang w:eastAsia="en-US"/>
    </w:rPr>
  </w:style>
  <w:style w:type="paragraph" w:styleId="Caption">
    <w:name w:val="caption"/>
    <w:basedOn w:val="Normal"/>
    <w:next w:val="Normal"/>
    <w:qFormat/>
    <w:rsid w:val="009F5E5F"/>
    <w:rPr>
      <w:sz w:val="24"/>
    </w:rPr>
  </w:style>
  <w:style w:type="paragraph" w:styleId="Title">
    <w:name w:val="Title"/>
    <w:basedOn w:val="Normal"/>
    <w:link w:val="TitleChar"/>
    <w:qFormat/>
    <w:rsid w:val="009F5E5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D31BD"/>
    <w:rPr>
      <w:rFonts w:ascii="Arial" w:hAnsi="Arial" w:cs="Arial"/>
      <w:b/>
      <w:bCs/>
      <w:kern w:val="28"/>
      <w:sz w:val="32"/>
      <w:szCs w:val="32"/>
      <w:lang w:eastAsia="en-US"/>
    </w:rPr>
  </w:style>
  <w:style w:type="paragraph" w:styleId="Subtitle">
    <w:name w:val="Subtitle"/>
    <w:basedOn w:val="Normal"/>
    <w:link w:val="SubtitleChar"/>
    <w:qFormat/>
    <w:rsid w:val="009F5E5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5D31BD"/>
    <w:rPr>
      <w:rFonts w:ascii="Arial" w:hAnsi="Arial" w:cs="Arial"/>
      <w:sz w:val="24"/>
      <w:szCs w:val="24"/>
      <w:lang w:eastAsia="en-US"/>
    </w:rPr>
  </w:style>
  <w:style w:type="character" w:styleId="Emphasis">
    <w:name w:val="Emphasis"/>
    <w:basedOn w:val="DefaultParagraphFont"/>
    <w:uiPriority w:val="20"/>
    <w:qFormat/>
    <w:rsid w:val="009F5E5F"/>
    <w:rPr>
      <w:i/>
      <w:iCs/>
    </w:rPr>
  </w:style>
  <w:style w:type="paragraph" w:styleId="NoSpacing">
    <w:name w:val="No Spacing"/>
    <w:link w:val="NoSpacingChar"/>
    <w:uiPriority w:val="1"/>
    <w:qFormat/>
    <w:rsid w:val="009F5E5F"/>
    <w:pPr>
      <w:ind w:left="851"/>
    </w:pPr>
    <w:rPr>
      <w:rFonts w:ascii="Calibri" w:hAnsi="Calibri"/>
      <w:sz w:val="22"/>
      <w:szCs w:val="22"/>
      <w:lang w:val="en-US" w:eastAsia="en-US"/>
    </w:rPr>
  </w:style>
  <w:style w:type="character" w:customStyle="1" w:styleId="NoSpacingChar">
    <w:name w:val="No Spacing Char"/>
    <w:basedOn w:val="DefaultParagraphFont"/>
    <w:link w:val="NoSpacing"/>
    <w:uiPriority w:val="1"/>
    <w:rsid w:val="009F5E5F"/>
    <w:rPr>
      <w:rFonts w:ascii="Calibri" w:hAnsi="Calibri"/>
      <w:sz w:val="22"/>
      <w:szCs w:val="22"/>
      <w:lang w:val="en-US" w:eastAsia="en-US" w:bidi="ar-SA"/>
    </w:rPr>
  </w:style>
  <w:style w:type="paragraph" w:styleId="ListParagraph">
    <w:name w:val="List Paragraph"/>
    <w:basedOn w:val="Normal"/>
    <w:uiPriority w:val="34"/>
    <w:qFormat/>
    <w:rsid w:val="009F5E5F"/>
    <w:pPr>
      <w:ind w:left="720"/>
    </w:pPr>
    <w:rPr>
      <w:sz w:val="24"/>
      <w:szCs w:val="24"/>
      <w:lang w:eastAsia="en-GB"/>
    </w:rPr>
  </w:style>
  <w:style w:type="paragraph" w:styleId="TOCHeading">
    <w:name w:val="TOC Heading"/>
    <w:basedOn w:val="Heading1"/>
    <w:next w:val="Normal"/>
    <w:uiPriority w:val="39"/>
    <w:unhideWhenUsed/>
    <w:qFormat/>
    <w:rsid w:val="009F5E5F"/>
    <w:pPr>
      <w:keepLines/>
      <w:tabs>
        <w:tab w:val="clear" w:pos="360"/>
      </w:tabs>
      <w:spacing w:before="480" w:line="276" w:lineRule="auto"/>
      <w:ind w:left="0" w:firstLine="0"/>
      <w:outlineLvl w:val="9"/>
    </w:pPr>
    <w:rPr>
      <w:rFonts w:ascii="Cambria" w:hAnsi="Cambria"/>
      <w:b/>
      <w:bCs/>
      <w:color w:val="365F91"/>
      <w:sz w:val="28"/>
      <w:szCs w:val="28"/>
      <w:u w:val="none"/>
      <w:lang w:val="en-US"/>
    </w:rPr>
  </w:style>
  <w:style w:type="paragraph" w:customStyle="1" w:styleId="PRESR">
    <w:name w:val="PR ESR"/>
    <w:basedOn w:val="Normal"/>
    <w:link w:val="PRESRChar"/>
    <w:qFormat/>
    <w:rsid w:val="009F5E5F"/>
    <w:pPr>
      <w:ind w:left="-850"/>
    </w:pPr>
    <w:rPr>
      <w:rFonts w:ascii="Arial" w:hAnsi="Arial" w:cs="Arial"/>
      <w:b/>
      <w:color w:val="000000"/>
      <w:sz w:val="28"/>
      <w:szCs w:val="24"/>
      <w:lang w:eastAsia="en-GB"/>
    </w:rPr>
  </w:style>
  <w:style w:type="character" w:customStyle="1" w:styleId="PRESRChar">
    <w:name w:val="PR ESR Char"/>
    <w:basedOn w:val="DefaultParagraphFont"/>
    <w:link w:val="PRESR"/>
    <w:rsid w:val="009F5E5F"/>
    <w:rPr>
      <w:rFonts w:ascii="Arial" w:hAnsi="Arial" w:cs="Arial"/>
      <w:b/>
      <w:color w:val="000000"/>
      <w:sz w:val="28"/>
      <w:szCs w:val="24"/>
    </w:rPr>
  </w:style>
  <w:style w:type="paragraph" w:customStyle="1" w:styleId="PRStyle1">
    <w:name w:val="PR Style1"/>
    <w:basedOn w:val="Normal"/>
    <w:link w:val="PRStyle1Char"/>
    <w:qFormat/>
    <w:rsid w:val="009F5E5F"/>
    <w:pPr>
      <w:ind w:left="-850"/>
    </w:pPr>
    <w:rPr>
      <w:rFonts w:ascii="Arial" w:hAnsi="Arial" w:cs="Arial"/>
      <w:b/>
      <w:color w:val="003366"/>
      <w:sz w:val="28"/>
      <w:szCs w:val="24"/>
      <w:lang w:eastAsia="en-GB"/>
    </w:rPr>
  </w:style>
  <w:style w:type="character" w:customStyle="1" w:styleId="PRStyle1Char">
    <w:name w:val="PR Style1 Char"/>
    <w:basedOn w:val="DefaultParagraphFont"/>
    <w:link w:val="PRStyle1"/>
    <w:rsid w:val="009F5E5F"/>
    <w:rPr>
      <w:rFonts w:ascii="Arial" w:hAnsi="Arial" w:cs="Arial"/>
      <w:b/>
      <w:color w:val="003366"/>
      <w:sz w:val="28"/>
      <w:szCs w:val="24"/>
    </w:rPr>
  </w:style>
  <w:style w:type="paragraph" w:customStyle="1" w:styleId="PRStyle2">
    <w:name w:val="PR Style2"/>
    <w:basedOn w:val="Normal"/>
    <w:link w:val="PRStyle2Char"/>
    <w:qFormat/>
    <w:rsid w:val="009F5E5F"/>
    <w:pPr>
      <w:pBdr>
        <w:right w:val="single" w:sz="4" w:space="1" w:color="auto"/>
      </w:pBdr>
      <w:ind w:left="-283"/>
    </w:pPr>
    <w:rPr>
      <w:rFonts w:ascii="Arial" w:hAnsi="Arial" w:cs="Arial"/>
      <w:b/>
      <w:color w:val="003366"/>
      <w:sz w:val="28"/>
      <w:szCs w:val="28"/>
      <w:lang w:eastAsia="en-GB"/>
    </w:rPr>
  </w:style>
  <w:style w:type="character" w:customStyle="1" w:styleId="PRStyle2Char">
    <w:name w:val="PR Style2 Char"/>
    <w:basedOn w:val="DefaultParagraphFont"/>
    <w:link w:val="PRStyle2"/>
    <w:rsid w:val="009F5E5F"/>
    <w:rPr>
      <w:rFonts w:ascii="Arial" w:hAnsi="Arial" w:cs="Arial"/>
      <w:b/>
      <w:color w:val="003366"/>
      <w:sz w:val="28"/>
      <w:szCs w:val="28"/>
    </w:rPr>
  </w:style>
  <w:style w:type="paragraph" w:customStyle="1" w:styleId="PRStyle3">
    <w:name w:val="PR Style3"/>
    <w:basedOn w:val="Normal"/>
    <w:link w:val="PRStyle3Char"/>
    <w:qFormat/>
    <w:rsid w:val="009F5E5F"/>
    <w:pPr>
      <w:numPr>
        <w:numId w:val="4"/>
      </w:numPr>
    </w:pPr>
    <w:rPr>
      <w:rFonts w:ascii="Arial" w:hAnsi="Arial" w:cs="Arial"/>
      <w:b/>
      <w:color w:val="000000" w:themeColor="text1"/>
      <w:sz w:val="40"/>
      <w:szCs w:val="40"/>
    </w:rPr>
  </w:style>
  <w:style w:type="character" w:customStyle="1" w:styleId="PRStyle3Char">
    <w:name w:val="PR Style3 Char"/>
    <w:basedOn w:val="DefaultParagraphFont"/>
    <w:link w:val="PRStyle3"/>
    <w:rsid w:val="009F5E5F"/>
    <w:rPr>
      <w:rFonts w:ascii="Arial" w:hAnsi="Arial" w:cs="Arial"/>
      <w:b/>
      <w:color w:val="000000" w:themeColor="text1"/>
      <w:sz w:val="40"/>
      <w:szCs w:val="40"/>
      <w:lang w:eastAsia="en-US"/>
    </w:rPr>
  </w:style>
  <w:style w:type="paragraph" w:customStyle="1" w:styleId="PRStyle4">
    <w:name w:val="PR Style4"/>
    <w:basedOn w:val="Normal"/>
    <w:link w:val="PRStyle4Char"/>
    <w:qFormat/>
    <w:rsid w:val="009F5E5F"/>
    <w:pPr>
      <w:ind w:left="-283" w:right="142"/>
    </w:pPr>
    <w:rPr>
      <w:rFonts w:ascii="Arial" w:hAnsi="Arial" w:cs="Arial"/>
      <w:b/>
      <w:color w:val="003366"/>
      <w:sz w:val="28"/>
      <w:szCs w:val="28"/>
    </w:rPr>
  </w:style>
  <w:style w:type="character" w:customStyle="1" w:styleId="PRStyle4Char">
    <w:name w:val="PR Style4 Char"/>
    <w:basedOn w:val="DefaultParagraphFont"/>
    <w:link w:val="PRStyle4"/>
    <w:rsid w:val="009F5E5F"/>
    <w:rPr>
      <w:rFonts w:ascii="Arial" w:hAnsi="Arial" w:cs="Arial"/>
      <w:b/>
      <w:color w:val="003366"/>
      <w:sz w:val="28"/>
      <w:szCs w:val="28"/>
      <w:lang w:eastAsia="en-US"/>
    </w:rPr>
  </w:style>
  <w:style w:type="paragraph" w:customStyle="1" w:styleId="PRStyle5">
    <w:name w:val="PR Style5"/>
    <w:basedOn w:val="Normal"/>
    <w:link w:val="PRStyle5Char"/>
    <w:qFormat/>
    <w:rsid w:val="009F5E5F"/>
    <w:pPr>
      <w:tabs>
        <w:tab w:val="left" w:pos="-720"/>
      </w:tabs>
      <w:suppressAutoHyphens/>
      <w:ind w:left="1247"/>
      <w:outlineLvl w:val="0"/>
    </w:pPr>
    <w:rPr>
      <w:rFonts w:ascii="Arial" w:hAnsi="Arial" w:cs="Arial"/>
      <w:b/>
      <w:color w:val="003366"/>
      <w:sz w:val="28"/>
      <w:szCs w:val="24"/>
    </w:rPr>
  </w:style>
  <w:style w:type="character" w:customStyle="1" w:styleId="PRStyle5Char">
    <w:name w:val="PR Style5 Char"/>
    <w:basedOn w:val="DefaultParagraphFont"/>
    <w:link w:val="PRStyle5"/>
    <w:rsid w:val="009F5E5F"/>
    <w:rPr>
      <w:rFonts w:ascii="Arial" w:hAnsi="Arial" w:cs="Arial"/>
      <w:b/>
      <w:color w:val="003366"/>
      <w:sz w:val="28"/>
      <w:szCs w:val="24"/>
      <w:lang w:eastAsia="en-US"/>
    </w:rPr>
  </w:style>
  <w:style w:type="paragraph" w:customStyle="1" w:styleId="ESR1">
    <w:name w:val="ESR1"/>
    <w:basedOn w:val="PRStyle1"/>
    <w:link w:val="ESR1Char"/>
    <w:qFormat/>
    <w:rsid w:val="009F5E5F"/>
    <w:rPr>
      <w:szCs w:val="22"/>
    </w:rPr>
  </w:style>
  <w:style w:type="character" w:customStyle="1" w:styleId="ESR1Char">
    <w:name w:val="ESR1 Char"/>
    <w:basedOn w:val="PRStyle1Char"/>
    <w:link w:val="ESR1"/>
    <w:rsid w:val="009F5E5F"/>
    <w:rPr>
      <w:rFonts w:ascii="Arial" w:hAnsi="Arial" w:cs="Arial"/>
      <w:b/>
      <w:color w:val="003366"/>
      <w:sz w:val="28"/>
      <w:szCs w:val="22"/>
    </w:rPr>
  </w:style>
  <w:style w:type="paragraph" w:customStyle="1" w:styleId="ESR2">
    <w:name w:val="ESR2"/>
    <w:basedOn w:val="PRStyle2"/>
    <w:link w:val="ESR2Char"/>
    <w:qFormat/>
    <w:rsid w:val="009F5E5F"/>
    <w:pPr>
      <w:pBdr>
        <w:right w:val="none" w:sz="0" w:space="0" w:color="auto"/>
      </w:pBdr>
    </w:pPr>
  </w:style>
  <w:style w:type="character" w:customStyle="1" w:styleId="ESR2Char">
    <w:name w:val="ESR2 Char"/>
    <w:basedOn w:val="PRStyle2Char"/>
    <w:link w:val="ESR2"/>
    <w:rsid w:val="009F5E5F"/>
    <w:rPr>
      <w:rFonts w:ascii="Arial" w:hAnsi="Arial" w:cs="Arial"/>
      <w:b/>
      <w:color w:val="003366"/>
      <w:sz w:val="28"/>
      <w:szCs w:val="28"/>
    </w:rPr>
  </w:style>
  <w:style w:type="paragraph" w:customStyle="1" w:styleId="ESR3">
    <w:name w:val="ESR3"/>
    <w:basedOn w:val="PRStyle3"/>
    <w:link w:val="ESR3Char"/>
    <w:qFormat/>
    <w:rsid w:val="009F5E5F"/>
    <w:pPr>
      <w:numPr>
        <w:numId w:val="0"/>
      </w:numPr>
    </w:pPr>
  </w:style>
  <w:style w:type="character" w:customStyle="1" w:styleId="ESR3Char">
    <w:name w:val="ESR3 Char"/>
    <w:basedOn w:val="PRStyle3Char"/>
    <w:link w:val="ESR3"/>
    <w:rsid w:val="009F5E5F"/>
    <w:rPr>
      <w:rFonts w:ascii="Arial" w:hAnsi="Arial" w:cs="Arial"/>
      <w:b/>
      <w:color w:val="000000" w:themeColor="text1"/>
      <w:sz w:val="40"/>
      <w:szCs w:val="40"/>
      <w:lang w:eastAsia="en-US"/>
    </w:rPr>
  </w:style>
  <w:style w:type="paragraph" w:customStyle="1" w:styleId="ESR4">
    <w:name w:val="ESR4"/>
    <w:basedOn w:val="PRStyle2"/>
    <w:link w:val="ESR4Char"/>
    <w:qFormat/>
    <w:rsid w:val="009F5E5F"/>
    <w:pPr>
      <w:pBdr>
        <w:right w:val="none" w:sz="0" w:space="0" w:color="auto"/>
      </w:pBdr>
      <w:ind w:firstLine="283"/>
    </w:pPr>
  </w:style>
  <w:style w:type="character" w:customStyle="1" w:styleId="ESR4Char">
    <w:name w:val="ESR4 Char"/>
    <w:basedOn w:val="PRStyle2Char"/>
    <w:link w:val="ESR4"/>
    <w:rsid w:val="009F5E5F"/>
    <w:rPr>
      <w:rFonts w:ascii="Arial" w:hAnsi="Arial" w:cs="Arial"/>
      <w:b/>
      <w:color w:val="003366"/>
      <w:sz w:val="28"/>
      <w:szCs w:val="28"/>
    </w:rPr>
  </w:style>
  <w:style w:type="paragraph" w:customStyle="1" w:styleId="ESR5">
    <w:name w:val="ESR5"/>
    <w:basedOn w:val="PRStyle5"/>
    <w:link w:val="ESR5Char"/>
    <w:qFormat/>
    <w:rsid w:val="009F5E5F"/>
    <w:pPr>
      <w:ind w:left="0"/>
    </w:pPr>
  </w:style>
  <w:style w:type="character" w:customStyle="1" w:styleId="ESR5Char">
    <w:name w:val="ESR5 Char"/>
    <w:basedOn w:val="PRStyle5Char"/>
    <w:link w:val="ESR5"/>
    <w:rsid w:val="009F5E5F"/>
    <w:rPr>
      <w:rFonts w:ascii="Arial" w:hAnsi="Arial" w:cs="Arial"/>
      <w:b/>
      <w:color w:val="003366"/>
      <w:sz w:val="28"/>
      <w:szCs w:val="24"/>
      <w:lang w:eastAsia="en-US"/>
    </w:rPr>
  </w:style>
  <w:style w:type="paragraph" w:customStyle="1" w:styleId="ESR6">
    <w:name w:val="ESR6"/>
    <w:basedOn w:val="ESR2"/>
    <w:link w:val="ESR6Char"/>
    <w:qFormat/>
    <w:rsid w:val="009F5E5F"/>
  </w:style>
  <w:style w:type="character" w:customStyle="1" w:styleId="ESR6Char">
    <w:name w:val="ESR6 Char"/>
    <w:basedOn w:val="ESR2Char"/>
    <w:link w:val="ESR6"/>
    <w:rsid w:val="009F5E5F"/>
    <w:rPr>
      <w:rFonts w:ascii="Arial" w:hAnsi="Arial" w:cs="Arial"/>
      <w:b/>
      <w:color w:val="003366"/>
      <w:sz w:val="28"/>
      <w:szCs w:val="28"/>
    </w:rPr>
  </w:style>
  <w:style w:type="paragraph" w:customStyle="1" w:styleId="ESR7">
    <w:name w:val="ESR7"/>
    <w:basedOn w:val="ESR4"/>
    <w:link w:val="ESR7Char"/>
    <w:qFormat/>
    <w:rsid w:val="009F5E5F"/>
    <w:pPr>
      <w:ind w:firstLine="0"/>
    </w:pPr>
    <w:rPr>
      <w:rFonts w:ascii="Arial Bold" w:hAnsi="Arial Bold"/>
      <w:color w:val="002060"/>
    </w:rPr>
  </w:style>
  <w:style w:type="character" w:customStyle="1" w:styleId="ESR7Char">
    <w:name w:val="ESR7 Char"/>
    <w:basedOn w:val="ESR4Char"/>
    <w:link w:val="ESR7"/>
    <w:rsid w:val="009F5E5F"/>
    <w:rPr>
      <w:rFonts w:ascii="Arial Bold" w:hAnsi="Arial Bold" w:cs="Arial"/>
      <w:b/>
      <w:color w:val="002060"/>
      <w:sz w:val="28"/>
      <w:szCs w:val="28"/>
    </w:rPr>
  </w:style>
  <w:style w:type="paragraph" w:styleId="NormalWeb">
    <w:name w:val="Normal (Web)"/>
    <w:basedOn w:val="Normal"/>
    <w:uiPriority w:val="99"/>
    <w:semiHidden/>
    <w:unhideWhenUsed/>
    <w:rsid w:val="00DD0DAD"/>
    <w:pPr>
      <w:spacing w:before="100" w:beforeAutospacing="1" w:after="100" w:afterAutospacing="1"/>
      <w:ind w:left="0"/>
    </w:pPr>
    <w:rPr>
      <w:sz w:val="24"/>
      <w:szCs w:val="24"/>
      <w:lang w:eastAsia="en-GB"/>
    </w:rPr>
  </w:style>
  <w:style w:type="paragraph" w:styleId="BalloonText">
    <w:name w:val="Balloon Text"/>
    <w:basedOn w:val="Normal"/>
    <w:link w:val="BalloonTextChar"/>
    <w:uiPriority w:val="99"/>
    <w:semiHidden/>
    <w:unhideWhenUsed/>
    <w:rsid w:val="00DD0DAD"/>
    <w:rPr>
      <w:rFonts w:ascii="Tahoma" w:hAnsi="Tahoma" w:cs="Tahoma"/>
      <w:sz w:val="16"/>
      <w:szCs w:val="16"/>
    </w:rPr>
  </w:style>
  <w:style w:type="character" w:customStyle="1" w:styleId="BalloonTextChar">
    <w:name w:val="Balloon Text Char"/>
    <w:basedOn w:val="DefaultParagraphFont"/>
    <w:link w:val="BalloonText"/>
    <w:uiPriority w:val="99"/>
    <w:semiHidden/>
    <w:rsid w:val="00DD0DAD"/>
    <w:rPr>
      <w:rFonts w:ascii="Tahoma" w:hAnsi="Tahoma" w:cs="Tahoma"/>
      <w:sz w:val="16"/>
      <w:szCs w:val="16"/>
      <w:lang w:eastAsia="en-US"/>
    </w:rPr>
  </w:style>
  <w:style w:type="paragraph" w:customStyle="1" w:styleId="Default">
    <w:name w:val="Default"/>
    <w:rsid w:val="00DD0DAD"/>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semiHidden/>
    <w:unhideWhenUsed/>
    <w:rsid w:val="00BE582D"/>
    <w:rPr>
      <w:vertAlign w:val="superscript"/>
    </w:rPr>
  </w:style>
  <w:style w:type="paragraph" w:styleId="EndnoteText">
    <w:name w:val="endnote text"/>
    <w:basedOn w:val="Normal"/>
    <w:link w:val="EndnoteTextChar"/>
    <w:uiPriority w:val="99"/>
    <w:semiHidden/>
    <w:unhideWhenUsed/>
    <w:rsid w:val="00BE582D"/>
  </w:style>
  <w:style w:type="character" w:customStyle="1" w:styleId="EndnoteTextChar">
    <w:name w:val="Endnote Text Char"/>
    <w:basedOn w:val="DefaultParagraphFont"/>
    <w:link w:val="EndnoteText"/>
    <w:uiPriority w:val="99"/>
    <w:semiHidden/>
    <w:rsid w:val="00BE582D"/>
    <w:rPr>
      <w:lang w:eastAsia="en-US"/>
    </w:rPr>
  </w:style>
  <w:style w:type="character" w:styleId="EndnoteReference">
    <w:name w:val="endnote reference"/>
    <w:basedOn w:val="DefaultParagraphFont"/>
    <w:uiPriority w:val="99"/>
    <w:semiHidden/>
    <w:unhideWhenUsed/>
    <w:rsid w:val="00BE5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05">
      <w:bodyDiv w:val="1"/>
      <w:marLeft w:val="0"/>
      <w:marRight w:val="0"/>
      <w:marTop w:val="0"/>
      <w:marBottom w:val="0"/>
      <w:divBdr>
        <w:top w:val="none" w:sz="0" w:space="0" w:color="auto"/>
        <w:left w:val="none" w:sz="0" w:space="0" w:color="auto"/>
        <w:bottom w:val="none" w:sz="0" w:space="0" w:color="auto"/>
        <w:right w:val="none" w:sz="0" w:space="0" w:color="auto"/>
      </w:divBdr>
    </w:div>
    <w:div w:id="358893049">
      <w:bodyDiv w:val="1"/>
      <w:marLeft w:val="0"/>
      <w:marRight w:val="0"/>
      <w:marTop w:val="0"/>
      <w:marBottom w:val="0"/>
      <w:divBdr>
        <w:top w:val="none" w:sz="0" w:space="0" w:color="auto"/>
        <w:left w:val="none" w:sz="0" w:space="0" w:color="auto"/>
        <w:bottom w:val="none" w:sz="0" w:space="0" w:color="auto"/>
        <w:right w:val="none" w:sz="0" w:space="0" w:color="auto"/>
      </w:divBdr>
      <w:divsChild>
        <w:div w:id="1588147121">
          <w:marLeft w:val="0"/>
          <w:marRight w:val="0"/>
          <w:marTop w:val="0"/>
          <w:marBottom w:val="0"/>
          <w:divBdr>
            <w:top w:val="none" w:sz="0" w:space="0" w:color="auto"/>
            <w:left w:val="none" w:sz="0" w:space="0" w:color="auto"/>
            <w:bottom w:val="none" w:sz="0" w:space="0" w:color="auto"/>
            <w:right w:val="none" w:sz="0" w:space="0" w:color="auto"/>
          </w:divBdr>
          <w:divsChild>
            <w:div w:id="1958371220">
              <w:marLeft w:val="0"/>
              <w:marRight w:val="0"/>
              <w:marTop w:val="0"/>
              <w:marBottom w:val="0"/>
              <w:divBdr>
                <w:top w:val="none" w:sz="0" w:space="0" w:color="auto"/>
                <w:left w:val="none" w:sz="0" w:space="0" w:color="auto"/>
                <w:bottom w:val="none" w:sz="0" w:space="0" w:color="auto"/>
                <w:right w:val="none" w:sz="0" w:space="0" w:color="auto"/>
              </w:divBdr>
              <w:divsChild>
                <w:div w:id="1992058253">
                  <w:marLeft w:val="0"/>
                  <w:marRight w:val="0"/>
                  <w:marTop w:val="0"/>
                  <w:marBottom w:val="0"/>
                  <w:divBdr>
                    <w:top w:val="none" w:sz="0" w:space="0" w:color="auto"/>
                    <w:left w:val="none" w:sz="0" w:space="0" w:color="auto"/>
                    <w:bottom w:val="none" w:sz="0" w:space="0" w:color="auto"/>
                    <w:right w:val="none" w:sz="0" w:space="0" w:color="auto"/>
                  </w:divBdr>
                  <w:divsChild>
                    <w:div w:id="1545559927">
                      <w:marLeft w:val="0"/>
                      <w:marRight w:val="0"/>
                      <w:marTop w:val="0"/>
                      <w:marBottom w:val="0"/>
                      <w:divBdr>
                        <w:top w:val="none" w:sz="0" w:space="0" w:color="auto"/>
                        <w:left w:val="none" w:sz="0" w:space="0" w:color="auto"/>
                        <w:bottom w:val="none" w:sz="0" w:space="0" w:color="auto"/>
                        <w:right w:val="none" w:sz="0" w:space="0" w:color="auto"/>
                      </w:divBdr>
                      <w:divsChild>
                        <w:div w:id="216670036">
                          <w:marLeft w:val="0"/>
                          <w:marRight w:val="0"/>
                          <w:marTop w:val="0"/>
                          <w:marBottom w:val="0"/>
                          <w:divBdr>
                            <w:top w:val="none" w:sz="0" w:space="0" w:color="auto"/>
                            <w:left w:val="none" w:sz="0" w:space="0" w:color="auto"/>
                            <w:bottom w:val="none" w:sz="0" w:space="0" w:color="auto"/>
                            <w:right w:val="none" w:sz="0" w:space="0" w:color="auto"/>
                          </w:divBdr>
                          <w:divsChild>
                            <w:div w:id="5137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87101">
      <w:bodyDiv w:val="1"/>
      <w:marLeft w:val="0"/>
      <w:marRight w:val="0"/>
      <w:marTop w:val="0"/>
      <w:marBottom w:val="0"/>
      <w:divBdr>
        <w:top w:val="none" w:sz="0" w:space="0" w:color="auto"/>
        <w:left w:val="none" w:sz="0" w:space="0" w:color="auto"/>
        <w:bottom w:val="none" w:sz="0" w:space="0" w:color="auto"/>
        <w:right w:val="none" w:sz="0" w:space="0" w:color="auto"/>
      </w:divBdr>
      <w:divsChild>
        <w:div w:id="608851581">
          <w:marLeft w:val="0"/>
          <w:marRight w:val="0"/>
          <w:marTop w:val="0"/>
          <w:marBottom w:val="0"/>
          <w:divBdr>
            <w:top w:val="none" w:sz="0" w:space="0" w:color="auto"/>
            <w:left w:val="none" w:sz="0" w:space="0" w:color="auto"/>
            <w:bottom w:val="none" w:sz="0" w:space="0" w:color="auto"/>
            <w:right w:val="none" w:sz="0" w:space="0" w:color="auto"/>
          </w:divBdr>
          <w:divsChild>
            <w:div w:id="1316958636">
              <w:marLeft w:val="0"/>
              <w:marRight w:val="0"/>
              <w:marTop w:val="0"/>
              <w:marBottom w:val="0"/>
              <w:divBdr>
                <w:top w:val="none" w:sz="0" w:space="0" w:color="auto"/>
                <w:left w:val="none" w:sz="0" w:space="0" w:color="auto"/>
                <w:bottom w:val="none" w:sz="0" w:space="0" w:color="auto"/>
                <w:right w:val="none" w:sz="0" w:space="0" w:color="auto"/>
              </w:divBdr>
              <w:divsChild>
                <w:div w:id="679967374">
                  <w:marLeft w:val="0"/>
                  <w:marRight w:val="0"/>
                  <w:marTop w:val="0"/>
                  <w:marBottom w:val="0"/>
                  <w:divBdr>
                    <w:top w:val="none" w:sz="0" w:space="0" w:color="auto"/>
                    <w:left w:val="none" w:sz="0" w:space="0" w:color="auto"/>
                    <w:bottom w:val="none" w:sz="0" w:space="0" w:color="auto"/>
                    <w:right w:val="none" w:sz="0" w:space="0" w:color="auto"/>
                  </w:divBdr>
                  <w:divsChild>
                    <w:div w:id="1179730673">
                      <w:marLeft w:val="0"/>
                      <w:marRight w:val="0"/>
                      <w:marTop w:val="0"/>
                      <w:marBottom w:val="0"/>
                      <w:divBdr>
                        <w:top w:val="none" w:sz="0" w:space="0" w:color="auto"/>
                        <w:left w:val="none" w:sz="0" w:space="0" w:color="auto"/>
                        <w:bottom w:val="none" w:sz="0" w:space="0" w:color="auto"/>
                        <w:right w:val="none" w:sz="0" w:space="0" w:color="auto"/>
                      </w:divBdr>
                      <w:divsChild>
                        <w:div w:id="1651786715">
                          <w:marLeft w:val="0"/>
                          <w:marRight w:val="0"/>
                          <w:marTop w:val="0"/>
                          <w:marBottom w:val="0"/>
                          <w:divBdr>
                            <w:top w:val="none" w:sz="0" w:space="0" w:color="auto"/>
                            <w:left w:val="none" w:sz="0" w:space="0" w:color="auto"/>
                            <w:bottom w:val="none" w:sz="0" w:space="0" w:color="auto"/>
                            <w:right w:val="none" w:sz="0" w:space="0" w:color="auto"/>
                          </w:divBdr>
                          <w:divsChild>
                            <w:div w:id="19227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6E47A-1459-4D9E-A6C1-C63AD3B0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4127</Characters>
  <Application>Microsoft Office Word</Application>
  <DocSecurity>4</DocSecurity>
  <Lines>171</Lines>
  <Paragraphs>102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McCorry</dc:creator>
  <cp:lastModifiedBy>David Finlay</cp:lastModifiedBy>
  <cp:revision>2</cp:revision>
  <dcterms:created xsi:type="dcterms:W3CDTF">2019-08-20T14:18:00Z</dcterms:created>
  <dcterms:modified xsi:type="dcterms:W3CDTF">2019-08-20T14:18:00Z</dcterms:modified>
</cp:coreProperties>
</file>