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33F8" w14:textId="77777777" w:rsidR="00624E1D" w:rsidRDefault="00624E1D" w:rsidP="00D31ACF">
      <w:pPr>
        <w:jc w:val="center"/>
        <w:rPr>
          <w:rFonts w:cs="Arial"/>
          <w:b/>
        </w:rPr>
      </w:pPr>
    </w:p>
    <w:p w14:paraId="0342731F" w14:textId="77777777" w:rsidR="006F2A61" w:rsidRPr="00921FF1" w:rsidRDefault="006F2A61" w:rsidP="006F2A61">
      <w:pPr>
        <w:jc w:val="center"/>
        <w:rPr>
          <w:rFonts w:cs="Arial"/>
          <w:b/>
        </w:rPr>
      </w:pPr>
      <w:r w:rsidRPr="007C2E41">
        <w:rPr>
          <w:rFonts w:cs="Arial"/>
          <w:b/>
        </w:rPr>
        <w:t xml:space="preserve">DRAFT </w:t>
      </w:r>
      <w:r w:rsidRPr="00921FF1">
        <w:rPr>
          <w:rFonts w:cs="Arial"/>
          <w:b/>
        </w:rPr>
        <w:t xml:space="preserve">MINUTES OF </w:t>
      </w:r>
      <w:r>
        <w:rPr>
          <w:rFonts w:cs="Arial"/>
          <w:b/>
        </w:rPr>
        <w:t>DELIVERY COMMITTEE</w:t>
      </w:r>
      <w:r w:rsidRPr="00921FF1">
        <w:rPr>
          <w:rFonts w:cs="Arial"/>
          <w:b/>
        </w:rPr>
        <w:t xml:space="preserve"> MEETING</w:t>
      </w:r>
    </w:p>
    <w:p w14:paraId="2747268F" w14:textId="77777777" w:rsidR="006F2A61" w:rsidRPr="00921FF1" w:rsidRDefault="006F2A61" w:rsidP="006F2A61">
      <w:pPr>
        <w:jc w:val="center"/>
        <w:rPr>
          <w:rFonts w:cs="Arial"/>
          <w:b/>
        </w:rPr>
      </w:pPr>
      <w:r>
        <w:rPr>
          <w:rFonts w:cs="Arial"/>
          <w:b/>
        </w:rPr>
        <w:t>THURSDAY</w:t>
      </w:r>
      <w:r w:rsidRPr="00921FF1">
        <w:rPr>
          <w:rFonts w:cs="Arial"/>
          <w:b/>
        </w:rPr>
        <w:t xml:space="preserve"> </w:t>
      </w:r>
      <w:r>
        <w:rPr>
          <w:rFonts w:cs="Arial"/>
          <w:b/>
        </w:rPr>
        <w:t>21 NOVEMBER</w:t>
      </w:r>
      <w:r w:rsidRPr="00921FF1">
        <w:rPr>
          <w:rFonts w:cs="Arial"/>
          <w:b/>
        </w:rPr>
        <w:t xml:space="preserve"> 201</w:t>
      </w:r>
      <w:r>
        <w:rPr>
          <w:rFonts w:cs="Arial"/>
          <w:b/>
        </w:rPr>
        <w:t>9</w:t>
      </w:r>
      <w:r w:rsidRPr="00921FF1">
        <w:rPr>
          <w:rFonts w:cs="Arial"/>
          <w:b/>
        </w:rPr>
        <w:t xml:space="preserve"> </w:t>
      </w:r>
      <w:r w:rsidRPr="00921FF1">
        <w:rPr>
          <w:rFonts w:cs="Arial"/>
          <w:b/>
        </w:rPr>
        <w:br/>
        <w:t xml:space="preserve">ROOM </w:t>
      </w:r>
      <w:r>
        <w:rPr>
          <w:rFonts w:cs="Arial"/>
          <w:b/>
        </w:rPr>
        <w:t>229, DUNDONALD HOUSE &amp; BALLYKELLY VIDEO LINK</w:t>
      </w:r>
    </w:p>
    <w:p w14:paraId="6F9EFB90" w14:textId="77777777" w:rsidR="006F2A61" w:rsidRPr="00921FF1" w:rsidRDefault="006F2A61" w:rsidP="006F2A61">
      <w:pPr>
        <w:rPr>
          <w:rFonts w:cs="Arial"/>
          <w:b/>
        </w:rPr>
      </w:pPr>
    </w:p>
    <w:p w14:paraId="4125BC52" w14:textId="77777777" w:rsidR="006F2A61" w:rsidRPr="00921FF1" w:rsidRDefault="006F2A61" w:rsidP="006F2A61">
      <w:pPr>
        <w:rPr>
          <w:rFonts w:cs="Arial"/>
        </w:rPr>
      </w:pPr>
    </w:p>
    <w:p w14:paraId="5FB67D1D" w14:textId="77777777" w:rsidR="006F2A61" w:rsidRDefault="006F2A61" w:rsidP="006F2A61">
      <w:pPr>
        <w:ind w:left="2880" w:hanging="2880"/>
        <w:rPr>
          <w:rFonts w:cs="Arial"/>
          <w:b/>
        </w:rPr>
      </w:pPr>
      <w:r w:rsidRPr="004430D4">
        <w:rPr>
          <w:rFonts w:cs="Arial"/>
          <w:b/>
        </w:rPr>
        <w:t>In Attendance:</w:t>
      </w:r>
      <w:r>
        <w:rPr>
          <w:rFonts w:cs="Arial"/>
          <w:b/>
        </w:rPr>
        <w:tab/>
      </w:r>
    </w:p>
    <w:p w14:paraId="76EAADE1" w14:textId="3E9F6787" w:rsidR="006F2A61" w:rsidRDefault="006F2A61" w:rsidP="006F2A61">
      <w:pPr>
        <w:rPr>
          <w:rFonts w:cs="Arial"/>
        </w:rPr>
      </w:pPr>
      <w:r>
        <w:rPr>
          <w:rFonts w:cs="Arial"/>
        </w:rPr>
        <w:t>Brian Doherty</w:t>
      </w:r>
      <w:r>
        <w:rPr>
          <w:rFonts w:cs="Arial"/>
        </w:rPr>
        <w:tab/>
      </w:r>
      <w:r>
        <w:rPr>
          <w:rFonts w:cs="Arial"/>
        </w:rPr>
        <w:tab/>
        <w:t xml:space="preserve">Director of </w:t>
      </w:r>
      <w:r w:rsidR="00CC46A3">
        <w:rPr>
          <w:rFonts w:cs="Arial"/>
        </w:rPr>
        <w:t xml:space="preserve">Central </w:t>
      </w:r>
      <w:r>
        <w:rPr>
          <w:rFonts w:cs="Arial"/>
        </w:rPr>
        <w:t>Services (Chair)</w:t>
      </w:r>
    </w:p>
    <w:p w14:paraId="241D839B" w14:textId="131122D1" w:rsidR="006F2A61" w:rsidRDefault="006F2A61" w:rsidP="006F2A61">
      <w:pPr>
        <w:rPr>
          <w:rFonts w:cs="Arial"/>
        </w:rPr>
      </w:pPr>
      <w:r w:rsidRPr="00921FF1">
        <w:rPr>
          <w:rFonts w:cs="Arial"/>
        </w:rPr>
        <w:t>David Reid</w:t>
      </w:r>
      <w:r w:rsidRPr="00921FF1">
        <w:rPr>
          <w:rFonts w:cs="Arial"/>
        </w:rPr>
        <w:tab/>
      </w:r>
      <w:r w:rsidRPr="00921FF1">
        <w:rPr>
          <w:rFonts w:cs="Arial"/>
        </w:rPr>
        <w:tab/>
      </w:r>
      <w:r w:rsidRPr="00921FF1">
        <w:rPr>
          <w:rFonts w:cs="Arial"/>
        </w:rPr>
        <w:tab/>
        <w:t>Finance</w:t>
      </w:r>
      <w:r>
        <w:rPr>
          <w:rFonts w:cs="Arial"/>
        </w:rPr>
        <w:t xml:space="preserve"> </w:t>
      </w:r>
    </w:p>
    <w:p w14:paraId="1B4E9652" w14:textId="77777777" w:rsidR="006F2A61" w:rsidRDefault="006F2A61" w:rsidP="006F2A61">
      <w:pPr>
        <w:rPr>
          <w:rFonts w:cs="Arial"/>
        </w:rPr>
      </w:pPr>
      <w:r>
        <w:rPr>
          <w:rFonts w:cs="Arial"/>
        </w:rPr>
        <w:t>Sean McGrade</w:t>
      </w:r>
      <w:r>
        <w:rPr>
          <w:rFonts w:cs="Arial"/>
        </w:rPr>
        <w:tab/>
      </w:r>
      <w:r>
        <w:rPr>
          <w:rFonts w:cs="Arial"/>
        </w:rPr>
        <w:tab/>
        <w:t>Corporate Services</w:t>
      </w:r>
    </w:p>
    <w:p w14:paraId="30E9866E" w14:textId="77777777" w:rsidR="006F2A61" w:rsidRDefault="006F2A61" w:rsidP="006F2A61">
      <w:pPr>
        <w:rPr>
          <w:rFonts w:cs="Arial"/>
        </w:rPr>
      </w:pPr>
      <w:r>
        <w:rPr>
          <w:rFonts w:cs="Arial"/>
        </w:rPr>
        <w:t>Paul McGurnaghan</w:t>
      </w:r>
      <w:r>
        <w:rPr>
          <w:rFonts w:cs="Arial"/>
        </w:rPr>
        <w:tab/>
      </w:r>
      <w:r>
        <w:rPr>
          <w:rFonts w:cs="Arial"/>
        </w:rPr>
        <w:tab/>
        <w:t>Digital Services</w:t>
      </w:r>
    </w:p>
    <w:p w14:paraId="09D6FE1C" w14:textId="77777777" w:rsidR="006F2A61" w:rsidRDefault="006F2A61" w:rsidP="006F2A61">
      <w:pPr>
        <w:rPr>
          <w:rFonts w:cs="Arial"/>
        </w:rPr>
      </w:pPr>
      <w:r>
        <w:rPr>
          <w:rFonts w:cs="Arial"/>
        </w:rPr>
        <w:t>Derek Williamson</w:t>
      </w:r>
      <w:r>
        <w:rPr>
          <w:rFonts w:cs="Arial"/>
        </w:rPr>
        <w:tab/>
      </w:r>
      <w:r>
        <w:rPr>
          <w:rFonts w:cs="Arial"/>
        </w:rPr>
        <w:tab/>
        <w:t>Brexit</w:t>
      </w:r>
    </w:p>
    <w:p w14:paraId="17DF2AFA" w14:textId="77777777" w:rsidR="006F2A61" w:rsidRDefault="006F2A61" w:rsidP="006F2A61">
      <w:pPr>
        <w:ind w:left="2880" w:hanging="2880"/>
        <w:rPr>
          <w:rFonts w:cs="Arial"/>
        </w:rPr>
      </w:pPr>
      <w:r>
        <w:rPr>
          <w:rFonts w:cs="Arial"/>
        </w:rPr>
        <w:t>Steven Millar</w:t>
      </w:r>
      <w:r>
        <w:rPr>
          <w:rFonts w:cs="Arial"/>
        </w:rPr>
        <w:tab/>
        <w:t>Brexit</w:t>
      </w:r>
    </w:p>
    <w:p w14:paraId="67807223" w14:textId="77777777" w:rsidR="006F2A61" w:rsidRDefault="006F2A61" w:rsidP="006F2A61">
      <w:pPr>
        <w:ind w:left="2880" w:hanging="2880"/>
        <w:rPr>
          <w:rFonts w:cs="Arial"/>
        </w:rPr>
      </w:pPr>
      <w:r>
        <w:rPr>
          <w:rFonts w:cs="Arial"/>
        </w:rPr>
        <w:t>Brian Dooher</w:t>
      </w:r>
      <w:r>
        <w:rPr>
          <w:rFonts w:cs="Arial"/>
        </w:rPr>
        <w:tab/>
        <w:t xml:space="preserve">Veterinary Service </w:t>
      </w:r>
    </w:p>
    <w:p w14:paraId="45A7A732" w14:textId="77777777" w:rsidR="006F2A61" w:rsidRDefault="006F2A61" w:rsidP="006F2A61">
      <w:pPr>
        <w:rPr>
          <w:rFonts w:cs="Arial"/>
        </w:rPr>
      </w:pPr>
      <w:r>
        <w:rPr>
          <w:rFonts w:cs="Arial"/>
        </w:rPr>
        <w:t>John Joe O’Boyle</w:t>
      </w:r>
      <w:r>
        <w:rPr>
          <w:rFonts w:cs="Arial"/>
        </w:rPr>
        <w:tab/>
      </w:r>
      <w:r>
        <w:rPr>
          <w:rFonts w:cs="Arial"/>
        </w:rPr>
        <w:tab/>
        <w:t>Forest Service</w:t>
      </w:r>
    </w:p>
    <w:p w14:paraId="4BC5F404" w14:textId="77777777" w:rsidR="006F2A61" w:rsidRDefault="006F2A61" w:rsidP="006F2A61">
      <w:pPr>
        <w:ind w:left="2880" w:hanging="2880"/>
        <w:rPr>
          <w:rFonts w:cs="Arial"/>
        </w:rPr>
      </w:pPr>
      <w:r>
        <w:rPr>
          <w:rFonts w:cs="Arial"/>
        </w:rPr>
        <w:t>Jason Foy</w:t>
      </w:r>
      <w:r>
        <w:rPr>
          <w:rFonts w:cs="Arial"/>
        </w:rPr>
        <w:tab/>
        <w:t>EU Area Based Schemes</w:t>
      </w:r>
    </w:p>
    <w:p w14:paraId="042F28E7" w14:textId="77777777" w:rsidR="006F2A61" w:rsidRDefault="006F2A61" w:rsidP="006F2A61">
      <w:pPr>
        <w:rPr>
          <w:rFonts w:cs="Arial"/>
        </w:rPr>
      </w:pPr>
      <w:r>
        <w:rPr>
          <w:rFonts w:cs="Arial"/>
        </w:rPr>
        <w:t>Gareth Evans</w:t>
      </w:r>
      <w:r>
        <w:rPr>
          <w:rFonts w:cs="Arial"/>
        </w:rPr>
        <w:tab/>
      </w:r>
      <w:r>
        <w:rPr>
          <w:rFonts w:cs="Arial"/>
        </w:rPr>
        <w:tab/>
        <w:t>Rural Affairs</w:t>
      </w:r>
    </w:p>
    <w:p w14:paraId="2040EB87" w14:textId="77777777" w:rsidR="006F2A61" w:rsidRDefault="006F2A61" w:rsidP="006F2A61">
      <w:pPr>
        <w:ind w:left="2880" w:hanging="2880"/>
        <w:rPr>
          <w:rFonts w:cs="Arial"/>
        </w:rPr>
      </w:pPr>
      <w:r>
        <w:rPr>
          <w:rFonts w:cs="Arial"/>
        </w:rPr>
        <w:t>Theresa Kearney</w:t>
      </w:r>
      <w:r>
        <w:rPr>
          <w:rFonts w:cs="Arial"/>
        </w:rPr>
        <w:tab/>
        <w:t>NIEA</w:t>
      </w:r>
      <w:r>
        <w:rPr>
          <w:rFonts w:cs="Arial"/>
        </w:rPr>
        <w:tab/>
      </w:r>
    </w:p>
    <w:p w14:paraId="75986A10" w14:textId="77777777" w:rsidR="006F2A61" w:rsidRDefault="006F2A61" w:rsidP="006F2A61">
      <w:pPr>
        <w:rPr>
          <w:rFonts w:cs="Arial"/>
        </w:rPr>
      </w:pPr>
      <w:r>
        <w:rPr>
          <w:rFonts w:cs="Arial"/>
        </w:rPr>
        <w:t>Catherine Fisher</w:t>
      </w:r>
      <w:r>
        <w:rPr>
          <w:rFonts w:cs="Arial"/>
        </w:rPr>
        <w:tab/>
      </w:r>
      <w:r>
        <w:rPr>
          <w:rFonts w:cs="Arial"/>
        </w:rPr>
        <w:tab/>
        <w:t>Veterinary Service</w:t>
      </w:r>
    </w:p>
    <w:p w14:paraId="7329E7B6" w14:textId="77777777" w:rsidR="006F2A61" w:rsidRDefault="006F2A61" w:rsidP="006F2A61">
      <w:pPr>
        <w:rPr>
          <w:rFonts w:cs="Arial"/>
        </w:rPr>
      </w:pPr>
      <w:r>
        <w:rPr>
          <w:rFonts w:cs="Arial"/>
        </w:rPr>
        <w:t>David Torrens</w:t>
      </w:r>
      <w:r>
        <w:rPr>
          <w:rFonts w:cs="Arial"/>
        </w:rPr>
        <w:tab/>
      </w:r>
      <w:r>
        <w:rPr>
          <w:rFonts w:cs="Arial"/>
        </w:rPr>
        <w:tab/>
        <w:t>Veterinary Service</w:t>
      </w:r>
    </w:p>
    <w:p w14:paraId="29AB33B8" w14:textId="77777777" w:rsidR="006F2A61" w:rsidRDefault="006F2A61" w:rsidP="006F2A61">
      <w:pPr>
        <w:rPr>
          <w:rFonts w:cs="Arial"/>
        </w:rPr>
      </w:pPr>
      <w:r>
        <w:rPr>
          <w:rFonts w:cs="Arial"/>
        </w:rPr>
        <w:t>Brian Ervine</w:t>
      </w:r>
      <w:r>
        <w:rPr>
          <w:rFonts w:cs="Arial"/>
        </w:rPr>
        <w:tab/>
      </w:r>
      <w:r>
        <w:rPr>
          <w:rFonts w:cs="Arial"/>
        </w:rPr>
        <w:tab/>
      </w:r>
      <w:r>
        <w:rPr>
          <w:rFonts w:cs="Arial"/>
        </w:rPr>
        <w:tab/>
        <w:t>Environmental Farming</w:t>
      </w:r>
    </w:p>
    <w:p w14:paraId="27EBE466" w14:textId="77777777" w:rsidR="006F2A61" w:rsidRDefault="006F2A61" w:rsidP="006F2A61">
      <w:pPr>
        <w:ind w:left="2880" w:hanging="2880"/>
        <w:rPr>
          <w:rFonts w:cs="Arial"/>
        </w:rPr>
      </w:pPr>
      <w:r>
        <w:rPr>
          <w:rFonts w:cs="Arial"/>
        </w:rPr>
        <w:t>Briege Lafferty</w:t>
      </w:r>
      <w:r w:rsidRPr="0040309F">
        <w:rPr>
          <w:rFonts w:cs="Arial"/>
        </w:rPr>
        <w:tab/>
      </w:r>
      <w:r>
        <w:rPr>
          <w:rFonts w:cs="Arial"/>
        </w:rPr>
        <w:t>Strategic Planning</w:t>
      </w:r>
    </w:p>
    <w:p w14:paraId="1FA5ECA1" w14:textId="77777777" w:rsidR="006F2A61" w:rsidRDefault="006F2A61" w:rsidP="006F2A61">
      <w:pPr>
        <w:ind w:left="2880" w:hanging="2880"/>
        <w:rPr>
          <w:rFonts w:cs="Arial"/>
          <w:b/>
        </w:rPr>
      </w:pPr>
    </w:p>
    <w:p w14:paraId="3B73B295" w14:textId="77777777" w:rsidR="006F2A61" w:rsidRPr="005D6EBD" w:rsidRDefault="006F2A61" w:rsidP="006F2A61">
      <w:pPr>
        <w:rPr>
          <w:rFonts w:cs="Arial"/>
          <w:b/>
        </w:rPr>
      </w:pPr>
      <w:r w:rsidRPr="005D6EBD">
        <w:rPr>
          <w:rFonts w:cs="Arial"/>
          <w:b/>
        </w:rPr>
        <w:t>Secretariat:</w:t>
      </w:r>
    </w:p>
    <w:p w14:paraId="6096CCA7" w14:textId="77777777" w:rsidR="006F2A61" w:rsidRDefault="006F2A61" w:rsidP="006F2A61">
      <w:pPr>
        <w:ind w:left="2880" w:hanging="2880"/>
        <w:rPr>
          <w:rFonts w:cs="Arial"/>
        </w:rPr>
      </w:pPr>
      <w:r>
        <w:rPr>
          <w:rFonts w:cs="Arial"/>
        </w:rPr>
        <w:t>Hugh Quinn</w:t>
      </w:r>
      <w:r>
        <w:rPr>
          <w:rFonts w:cs="Arial"/>
        </w:rPr>
        <w:tab/>
        <w:t xml:space="preserve">Strategic Planning Branch </w:t>
      </w:r>
    </w:p>
    <w:p w14:paraId="14360A4C" w14:textId="77777777" w:rsidR="006F2A61" w:rsidRDefault="006F2A61" w:rsidP="006F2A61">
      <w:pPr>
        <w:rPr>
          <w:rFonts w:cs="Arial"/>
        </w:rPr>
      </w:pPr>
      <w:r>
        <w:rPr>
          <w:rFonts w:cs="Arial"/>
        </w:rPr>
        <w:t>Ronan Gunn</w:t>
      </w:r>
      <w:r>
        <w:rPr>
          <w:rFonts w:cs="Arial"/>
        </w:rPr>
        <w:tab/>
      </w:r>
      <w:r>
        <w:rPr>
          <w:rFonts w:cs="Arial"/>
        </w:rPr>
        <w:tab/>
      </w:r>
      <w:r>
        <w:rPr>
          <w:rFonts w:cs="Arial"/>
        </w:rPr>
        <w:tab/>
        <w:t>Strategic Planning Branch</w:t>
      </w:r>
    </w:p>
    <w:p w14:paraId="7835C119" w14:textId="77777777" w:rsidR="006F2A61" w:rsidRDefault="006F2A61" w:rsidP="006F2A61">
      <w:pPr>
        <w:rPr>
          <w:rFonts w:cs="Arial"/>
          <w:b/>
        </w:rPr>
      </w:pPr>
    </w:p>
    <w:p w14:paraId="413DE4D4" w14:textId="77777777" w:rsidR="006F2A61" w:rsidRDefault="006F2A61" w:rsidP="006F2A61">
      <w:pPr>
        <w:rPr>
          <w:rFonts w:cs="Arial"/>
          <w:b/>
        </w:rPr>
      </w:pPr>
      <w:r w:rsidRPr="00921FF1">
        <w:rPr>
          <w:rFonts w:cs="Arial"/>
          <w:b/>
        </w:rPr>
        <w:t>Apologies:</w:t>
      </w:r>
      <w:r>
        <w:rPr>
          <w:rFonts w:cs="Arial"/>
          <w:b/>
        </w:rPr>
        <w:t xml:space="preserve"> </w:t>
      </w:r>
      <w:r>
        <w:rPr>
          <w:rFonts w:cs="Arial"/>
          <w:b/>
        </w:rPr>
        <w:tab/>
      </w:r>
      <w:r>
        <w:rPr>
          <w:rFonts w:cs="Arial"/>
          <w:b/>
        </w:rPr>
        <w:tab/>
      </w:r>
      <w:r>
        <w:rPr>
          <w:rFonts w:cs="Arial"/>
          <w:b/>
        </w:rPr>
        <w:tab/>
      </w:r>
    </w:p>
    <w:p w14:paraId="7E805F85" w14:textId="77777777" w:rsidR="006F2A61" w:rsidRDefault="006F2A61" w:rsidP="006F2A61">
      <w:pPr>
        <w:rPr>
          <w:rFonts w:cs="Arial"/>
        </w:rPr>
      </w:pPr>
      <w:r>
        <w:rPr>
          <w:rFonts w:cs="Arial"/>
        </w:rPr>
        <w:t>Colette McMaster</w:t>
      </w:r>
      <w:r>
        <w:rPr>
          <w:rFonts w:cs="Arial"/>
        </w:rPr>
        <w:tab/>
      </w:r>
      <w:r>
        <w:rPr>
          <w:rFonts w:cs="Arial"/>
        </w:rPr>
        <w:tab/>
        <w:t>Sustainable Agri Food Development</w:t>
      </w:r>
    </w:p>
    <w:p w14:paraId="1DDD6E99" w14:textId="77777777" w:rsidR="006F2A61" w:rsidRDefault="006F2A61" w:rsidP="006F2A61">
      <w:pPr>
        <w:rPr>
          <w:rFonts w:cs="Arial"/>
        </w:rPr>
      </w:pPr>
      <w:r>
        <w:rPr>
          <w:rFonts w:cs="Arial"/>
        </w:rPr>
        <w:t>Tracey Teague</w:t>
      </w:r>
      <w:r>
        <w:rPr>
          <w:rFonts w:cs="Arial"/>
        </w:rPr>
        <w:tab/>
      </w:r>
      <w:r>
        <w:rPr>
          <w:rFonts w:cs="Arial"/>
        </w:rPr>
        <w:tab/>
        <w:t xml:space="preserve">NIEA </w:t>
      </w:r>
    </w:p>
    <w:p w14:paraId="52E8B208" w14:textId="77777777" w:rsidR="006F2A61" w:rsidRDefault="006F2A61" w:rsidP="006F2A61">
      <w:pPr>
        <w:rPr>
          <w:rFonts w:cs="Arial"/>
        </w:rPr>
      </w:pPr>
      <w:r>
        <w:rPr>
          <w:rFonts w:cs="Arial"/>
        </w:rPr>
        <w:t>Michael Hatch</w:t>
      </w:r>
      <w:r>
        <w:rPr>
          <w:rFonts w:cs="Arial"/>
        </w:rPr>
        <w:tab/>
      </w:r>
      <w:r>
        <w:rPr>
          <w:rFonts w:cs="Arial"/>
        </w:rPr>
        <w:tab/>
        <w:t>Veterinary Service</w:t>
      </w:r>
    </w:p>
    <w:p w14:paraId="4402BD90" w14:textId="77777777" w:rsidR="006F2A61" w:rsidRDefault="006F2A61" w:rsidP="006F2A61">
      <w:pPr>
        <w:rPr>
          <w:rFonts w:cs="Arial"/>
        </w:rPr>
      </w:pPr>
      <w:r>
        <w:rPr>
          <w:rFonts w:cs="Arial"/>
        </w:rPr>
        <w:t>Paul Donnelly</w:t>
      </w:r>
      <w:r>
        <w:rPr>
          <w:rFonts w:cs="Arial"/>
        </w:rPr>
        <w:tab/>
      </w:r>
      <w:r>
        <w:rPr>
          <w:rFonts w:cs="Arial"/>
        </w:rPr>
        <w:tab/>
        <w:t>Rural Affairs</w:t>
      </w:r>
    </w:p>
    <w:p w14:paraId="382F234A" w14:textId="77777777" w:rsidR="006F2A61" w:rsidRDefault="006F2A61" w:rsidP="006F2A61">
      <w:pPr>
        <w:rPr>
          <w:rFonts w:cs="Arial"/>
        </w:rPr>
      </w:pPr>
      <w:r>
        <w:rPr>
          <w:rFonts w:cs="Arial"/>
        </w:rPr>
        <w:t>Dave Foster</w:t>
      </w:r>
      <w:r>
        <w:rPr>
          <w:rFonts w:cs="Arial"/>
        </w:rPr>
        <w:tab/>
      </w:r>
      <w:r>
        <w:rPr>
          <w:rFonts w:cs="Arial"/>
        </w:rPr>
        <w:tab/>
      </w:r>
      <w:r>
        <w:rPr>
          <w:rFonts w:cs="Arial"/>
        </w:rPr>
        <w:tab/>
        <w:t>NIEA</w:t>
      </w:r>
    </w:p>
    <w:p w14:paraId="0369AFE5" w14:textId="77777777" w:rsidR="006F2A61" w:rsidRDefault="006F2A61" w:rsidP="006F2A61">
      <w:pPr>
        <w:rPr>
          <w:rFonts w:cs="Arial"/>
        </w:rPr>
      </w:pPr>
    </w:p>
    <w:p w14:paraId="088D87C9" w14:textId="77777777" w:rsidR="006F2A61" w:rsidRPr="00921FF1" w:rsidRDefault="006F2A61" w:rsidP="006F2A61">
      <w:pPr>
        <w:rPr>
          <w:rFonts w:cs="Arial"/>
        </w:rPr>
      </w:pPr>
      <w:r w:rsidRPr="00921FF1">
        <w:rPr>
          <w:rFonts w:cs="Arial"/>
        </w:rPr>
        <w:tab/>
      </w:r>
      <w:r w:rsidRPr="00921FF1">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854"/>
        <w:gridCol w:w="2463"/>
      </w:tblGrid>
      <w:tr w:rsidR="006F2A61" w:rsidRPr="00921FF1" w14:paraId="69A09413" w14:textId="77777777" w:rsidTr="00C96B66">
        <w:tc>
          <w:tcPr>
            <w:tcW w:w="877" w:type="dxa"/>
          </w:tcPr>
          <w:p w14:paraId="389EE836" w14:textId="77777777" w:rsidR="006F2A61" w:rsidRPr="007B1D80" w:rsidRDefault="006F2A61" w:rsidP="00C96B66">
            <w:pPr>
              <w:jc w:val="center"/>
              <w:rPr>
                <w:rFonts w:eastAsia="Times" w:cs="Arial"/>
                <w:b/>
              </w:rPr>
            </w:pPr>
            <w:r w:rsidRPr="007B1D80">
              <w:rPr>
                <w:rFonts w:eastAsia="Times" w:cs="Arial"/>
                <w:b/>
              </w:rPr>
              <w:t>Item</w:t>
            </w:r>
          </w:p>
        </w:tc>
        <w:tc>
          <w:tcPr>
            <w:tcW w:w="6854" w:type="dxa"/>
          </w:tcPr>
          <w:p w14:paraId="433F3051" w14:textId="77777777" w:rsidR="006F2A61" w:rsidRPr="00921FF1" w:rsidRDefault="006F2A61" w:rsidP="00C96B66">
            <w:pPr>
              <w:jc w:val="center"/>
              <w:rPr>
                <w:rFonts w:eastAsia="Times" w:cs="Arial"/>
                <w:b/>
              </w:rPr>
            </w:pPr>
            <w:r w:rsidRPr="00921FF1">
              <w:rPr>
                <w:rFonts w:eastAsia="Times" w:cs="Arial"/>
                <w:b/>
              </w:rPr>
              <w:t xml:space="preserve">Description </w:t>
            </w:r>
          </w:p>
        </w:tc>
        <w:tc>
          <w:tcPr>
            <w:tcW w:w="2463" w:type="dxa"/>
          </w:tcPr>
          <w:p w14:paraId="6A2D5EF4" w14:textId="77777777" w:rsidR="006F2A61" w:rsidRPr="00921FF1" w:rsidRDefault="006F2A61" w:rsidP="00C96B66">
            <w:pPr>
              <w:jc w:val="center"/>
              <w:rPr>
                <w:rFonts w:eastAsia="Times" w:cs="Arial"/>
                <w:b/>
              </w:rPr>
            </w:pPr>
            <w:r w:rsidRPr="00921FF1">
              <w:rPr>
                <w:rFonts w:eastAsia="Times" w:cs="Arial"/>
                <w:b/>
              </w:rPr>
              <w:t>Action Owner</w:t>
            </w:r>
          </w:p>
        </w:tc>
      </w:tr>
      <w:tr w:rsidR="006F2A61" w:rsidRPr="00921FF1" w14:paraId="4EE02FBC" w14:textId="77777777" w:rsidTr="00C96B66">
        <w:tc>
          <w:tcPr>
            <w:tcW w:w="7731" w:type="dxa"/>
            <w:gridSpan w:val="2"/>
          </w:tcPr>
          <w:p w14:paraId="505D8A26" w14:textId="77777777" w:rsidR="006F2A61" w:rsidRPr="007B1D80" w:rsidRDefault="006F2A61" w:rsidP="00C96B66">
            <w:pPr>
              <w:rPr>
                <w:rFonts w:eastAsia="Times" w:cs="Arial"/>
                <w:b/>
              </w:rPr>
            </w:pPr>
            <w:r w:rsidRPr="007B1D80">
              <w:rPr>
                <w:rFonts w:eastAsia="Times" w:cs="Arial"/>
                <w:b/>
              </w:rPr>
              <w:t>Opening</w:t>
            </w:r>
          </w:p>
        </w:tc>
        <w:tc>
          <w:tcPr>
            <w:tcW w:w="2463" w:type="dxa"/>
          </w:tcPr>
          <w:p w14:paraId="2F89A734" w14:textId="77777777" w:rsidR="006F2A61" w:rsidRPr="00921FF1" w:rsidRDefault="006F2A61" w:rsidP="00C96B66">
            <w:pPr>
              <w:rPr>
                <w:rFonts w:eastAsia="Times" w:cs="Arial"/>
                <w:b/>
              </w:rPr>
            </w:pPr>
          </w:p>
        </w:tc>
      </w:tr>
      <w:tr w:rsidR="006F2A61" w:rsidRPr="00921FF1" w14:paraId="142268CF" w14:textId="77777777" w:rsidTr="00C96B66">
        <w:tc>
          <w:tcPr>
            <w:tcW w:w="877" w:type="dxa"/>
          </w:tcPr>
          <w:p w14:paraId="099421D5" w14:textId="77777777" w:rsidR="006F2A61" w:rsidRPr="007B1D80" w:rsidRDefault="006F2A61" w:rsidP="00C96B66">
            <w:pPr>
              <w:rPr>
                <w:rFonts w:eastAsia="Times" w:cs="Arial"/>
                <w:b/>
              </w:rPr>
            </w:pPr>
            <w:r>
              <w:rPr>
                <w:rFonts w:eastAsia="Times" w:cs="Arial"/>
                <w:b/>
              </w:rPr>
              <w:t>1</w:t>
            </w:r>
          </w:p>
        </w:tc>
        <w:tc>
          <w:tcPr>
            <w:tcW w:w="6854" w:type="dxa"/>
          </w:tcPr>
          <w:p w14:paraId="12E29663" w14:textId="77777777" w:rsidR="006F2A61" w:rsidRPr="00921FF1" w:rsidRDefault="006F2A61" w:rsidP="00C96B66">
            <w:pPr>
              <w:rPr>
                <w:rFonts w:eastAsia="Times" w:cs="Arial"/>
                <w:b/>
              </w:rPr>
            </w:pPr>
            <w:r>
              <w:rPr>
                <w:rFonts w:eastAsia="Times" w:cs="Arial"/>
                <w:b/>
              </w:rPr>
              <w:t>Chairs introduction</w:t>
            </w:r>
          </w:p>
        </w:tc>
        <w:tc>
          <w:tcPr>
            <w:tcW w:w="2463" w:type="dxa"/>
          </w:tcPr>
          <w:p w14:paraId="19B01BAD" w14:textId="77777777" w:rsidR="006F2A61" w:rsidRPr="00921FF1" w:rsidRDefault="006F2A61" w:rsidP="00C96B66">
            <w:pPr>
              <w:rPr>
                <w:rFonts w:eastAsia="Times" w:cs="Arial"/>
                <w:b/>
              </w:rPr>
            </w:pPr>
          </w:p>
        </w:tc>
      </w:tr>
      <w:tr w:rsidR="006F2A61" w:rsidRPr="00921FF1" w14:paraId="43B509EA" w14:textId="77777777" w:rsidTr="00C96B66">
        <w:tc>
          <w:tcPr>
            <w:tcW w:w="877" w:type="dxa"/>
          </w:tcPr>
          <w:p w14:paraId="071B8014" w14:textId="77777777" w:rsidR="006F2A61" w:rsidRPr="007B1D80" w:rsidRDefault="006F2A61" w:rsidP="00C96B66">
            <w:pPr>
              <w:rPr>
                <w:rFonts w:eastAsia="Times" w:cs="Arial"/>
                <w:b/>
              </w:rPr>
            </w:pPr>
          </w:p>
        </w:tc>
        <w:tc>
          <w:tcPr>
            <w:tcW w:w="6854" w:type="dxa"/>
          </w:tcPr>
          <w:p w14:paraId="13715C08" w14:textId="77777777" w:rsidR="00CC46A3" w:rsidRDefault="006F2A61" w:rsidP="00C96B66">
            <w:pPr>
              <w:jc w:val="both"/>
              <w:rPr>
                <w:rFonts w:eastAsia="Times" w:cs="Arial"/>
              </w:rPr>
            </w:pPr>
            <w:r>
              <w:rPr>
                <w:rFonts w:eastAsia="Times" w:cs="Arial"/>
              </w:rPr>
              <w:t>Chair</w:t>
            </w:r>
            <w:r w:rsidRPr="00921FF1">
              <w:rPr>
                <w:rFonts w:eastAsia="Times" w:cs="Arial"/>
              </w:rPr>
              <w:t xml:space="preserve"> welcomed </w:t>
            </w:r>
            <w:r>
              <w:rPr>
                <w:rFonts w:eastAsia="Times" w:cs="Arial"/>
              </w:rPr>
              <w:t xml:space="preserve">everyone to the meeting and advised that he would like the Delivery Committee to take on more of a challenge role in future. </w:t>
            </w:r>
          </w:p>
          <w:p w14:paraId="450D3F8E" w14:textId="2B67777D" w:rsidR="006F2A61" w:rsidRDefault="006F2A61" w:rsidP="00C96B66">
            <w:pPr>
              <w:jc w:val="both"/>
              <w:rPr>
                <w:rFonts w:eastAsia="Times" w:cs="Arial"/>
              </w:rPr>
            </w:pPr>
            <w:r>
              <w:rPr>
                <w:rFonts w:eastAsia="Times" w:cs="Arial"/>
              </w:rPr>
              <w:t>At present he believes there are too many risk</w:t>
            </w:r>
            <w:r w:rsidR="00F37170">
              <w:rPr>
                <w:rFonts w:eastAsia="Times" w:cs="Arial"/>
              </w:rPr>
              <w:t>s</w:t>
            </w:r>
            <w:r>
              <w:rPr>
                <w:rFonts w:eastAsia="Times" w:cs="Arial"/>
              </w:rPr>
              <w:t xml:space="preserve"> and would like the Committee to focus on key strategic risks</w:t>
            </w:r>
            <w:r w:rsidR="00CC46A3">
              <w:rPr>
                <w:rFonts w:eastAsia="Times" w:cs="Arial"/>
              </w:rPr>
              <w:t xml:space="preserve"> only</w:t>
            </w:r>
            <w:r>
              <w:rPr>
                <w:rFonts w:eastAsia="Times" w:cs="Arial"/>
              </w:rPr>
              <w:t xml:space="preserve">. This will be subject to the </w:t>
            </w:r>
            <w:r w:rsidR="00CC46A3">
              <w:rPr>
                <w:rFonts w:eastAsia="Times" w:cs="Arial"/>
              </w:rPr>
              <w:t xml:space="preserve">outcome of the </w:t>
            </w:r>
            <w:r>
              <w:rPr>
                <w:rFonts w:eastAsia="Times" w:cs="Arial"/>
              </w:rPr>
              <w:t>review of Committees by Declan McCarney.</w:t>
            </w:r>
          </w:p>
          <w:p w14:paraId="284BFE95" w14:textId="77777777" w:rsidR="006F2A61" w:rsidRPr="00921FF1" w:rsidRDefault="006F2A61" w:rsidP="00C96B66">
            <w:pPr>
              <w:jc w:val="both"/>
              <w:rPr>
                <w:rFonts w:eastAsia="Times" w:cs="Arial"/>
              </w:rPr>
            </w:pPr>
          </w:p>
        </w:tc>
        <w:tc>
          <w:tcPr>
            <w:tcW w:w="2463" w:type="dxa"/>
          </w:tcPr>
          <w:p w14:paraId="0672655C" w14:textId="77777777" w:rsidR="006F2A61" w:rsidRDefault="006F2A61" w:rsidP="00C96B66">
            <w:pPr>
              <w:rPr>
                <w:rFonts w:eastAsia="Times" w:cs="Arial"/>
              </w:rPr>
            </w:pPr>
          </w:p>
          <w:p w14:paraId="6DA73BFB" w14:textId="77777777" w:rsidR="006F2A61" w:rsidRPr="00CE0ACB" w:rsidRDefault="006F2A61" w:rsidP="00C96B66">
            <w:pPr>
              <w:rPr>
                <w:rFonts w:eastAsia="Times" w:cs="Arial"/>
                <w:b/>
              </w:rPr>
            </w:pPr>
          </w:p>
        </w:tc>
      </w:tr>
      <w:tr w:rsidR="006F2A61" w:rsidRPr="00921FF1" w14:paraId="70DC1DC0" w14:textId="77777777" w:rsidTr="00C96B66">
        <w:tc>
          <w:tcPr>
            <w:tcW w:w="877" w:type="dxa"/>
          </w:tcPr>
          <w:p w14:paraId="134A280F" w14:textId="77777777" w:rsidR="006F2A61" w:rsidRPr="007B1D80" w:rsidRDefault="006F2A61" w:rsidP="00C96B66">
            <w:pPr>
              <w:rPr>
                <w:rFonts w:eastAsia="Times" w:cs="Arial"/>
                <w:b/>
              </w:rPr>
            </w:pPr>
          </w:p>
        </w:tc>
        <w:tc>
          <w:tcPr>
            <w:tcW w:w="6854" w:type="dxa"/>
          </w:tcPr>
          <w:p w14:paraId="1EEF76F5" w14:textId="77777777" w:rsidR="006F2A61" w:rsidRPr="00735FD2" w:rsidRDefault="006F2A61" w:rsidP="00C96B66">
            <w:pPr>
              <w:jc w:val="both"/>
              <w:rPr>
                <w:rFonts w:eastAsia="Times" w:cs="Arial"/>
                <w:b/>
              </w:rPr>
            </w:pPr>
            <w:r>
              <w:rPr>
                <w:rFonts w:eastAsia="Times" w:cs="Arial"/>
                <w:b/>
              </w:rPr>
              <w:t>Apologies</w:t>
            </w:r>
          </w:p>
        </w:tc>
        <w:tc>
          <w:tcPr>
            <w:tcW w:w="2463" w:type="dxa"/>
          </w:tcPr>
          <w:p w14:paraId="63B34E9F" w14:textId="77777777" w:rsidR="006F2A61" w:rsidRPr="00921FF1" w:rsidRDefault="006F2A61" w:rsidP="00C96B66">
            <w:pPr>
              <w:rPr>
                <w:rFonts w:eastAsia="Times" w:cs="Arial"/>
              </w:rPr>
            </w:pPr>
          </w:p>
        </w:tc>
      </w:tr>
      <w:tr w:rsidR="006F2A61" w:rsidRPr="00921FF1" w14:paraId="71323B18" w14:textId="77777777" w:rsidTr="00C96B66">
        <w:tc>
          <w:tcPr>
            <w:tcW w:w="877" w:type="dxa"/>
          </w:tcPr>
          <w:p w14:paraId="476E2F7B" w14:textId="77777777" w:rsidR="006F2A61" w:rsidRPr="007B1D80" w:rsidRDefault="006F2A61" w:rsidP="00C96B66">
            <w:pPr>
              <w:rPr>
                <w:rFonts w:eastAsia="Times" w:cs="Arial"/>
                <w:b/>
              </w:rPr>
            </w:pPr>
          </w:p>
        </w:tc>
        <w:tc>
          <w:tcPr>
            <w:tcW w:w="6854" w:type="dxa"/>
          </w:tcPr>
          <w:p w14:paraId="69206EB4" w14:textId="77777777" w:rsidR="006F2A61" w:rsidRPr="00735FD2" w:rsidRDefault="006F2A61" w:rsidP="00C96B66">
            <w:pPr>
              <w:jc w:val="both"/>
              <w:rPr>
                <w:rFonts w:eastAsia="Times" w:cs="Arial"/>
                <w:b/>
              </w:rPr>
            </w:pPr>
            <w:r>
              <w:rPr>
                <w:rFonts w:eastAsia="Times" w:cs="Arial"/>
              </w:rPr>
              <w:t xml:space="preserve">Chair noted apologies from those detailed above. </w:t>
            </w:r>
          </w:p>
        </w:tc>
        <w:tc>
          <w:tcPr>
            <w:tcW w:w="2463" w:type="dxa"/>
          </w:tcPr>
          <w:p w14:paraId="1C43D43F" w14:textId="77777777" w:rsidR="006F2A61" w:rsidRPr="00921FF1" w:rsidRDefault="006F2A61" w:rsidP="00C96B66">
            <w:pPr>
              <w:rPr>
                <w:rFonts w:eastAsia="Times" w:cs="Arial"/>
              </w:rPr>
            </w:pPr>
          </w:p>
        </w:tc>
      </w:tr>
      <w:tr w:rsidR="006F2A61" w:rsidRPr="00921FF1" w14:paraId="23B6FFE0" w14:textId="77777777" w:rsidTr="00C96B66">
        <w:tc>
          <w:tcPr>
            <w:tcW w:w="877" w:type="dxa"/>
          </w:tcPr>
          <w:p w14:paraId="2F11E920" w14:textId="77777777" w:rsidR="006F2A61" w:rsidRPr="007B1D80" w:rsidRDefault="006F2A61" w:rsidP="00C96B66">
            <w:pPr>
              <w:rPr>
                <w:rFonts w:eastAsia="Times" w:cs="Arial"/>
                <w:b/>
              </w:rPr>
            </w:pPr>
            <w:r>
              <w:rPr>
                <w:rFonts w:eastAsia="Times" w:cs="Arial"/>
                <w:b/>
              </w:rPr>
              <w:t>2</w:t>
            </w:r>
          </w:p>
        </w:tc>
        <w:tc>
          <w:tcPr>
            <w:tcW w:w="6854" w:type="dxa"/>
          </w:tcPr>
          <w:p w14:paraId="5D294F8F" w14:textId="77777777" w:rsidR="006F2A61" w:rsidRPr="00921FF1" w:rsidRDefault="006F2A61" w:rsidP="00C96B66">
            <w:pPr>
              <w:jc w:val="both"/>
              <w:rPr>
                <w:rFonts w:eastAsia="Times" w:cs="Arial"/>
              </w:rPr>
            </w:pPr>
            <w:r w:rsidRPr="00735FD2">
              <w:rPr>
                <w:rFonts w:eastAsia="Times" w:cs="Arial"/>
                <w:b/>
              </w:rPr>
              <w:t>Minutes</w:t>
            </w:r>
            <w:r>
              <w:rPr>
                <w:rFonts w:eastAsia="Times" w:cs="Arial"/>
                <w:b/>
              </w:rPr>
              <w:t xml:space="preserve"> and Action Points of previous meeting</w:t>
            </w:r>
          </w:p>
        </w:tc>
        <w:tc>
          <w:tcPr>
            <w:tcW w:w="2463" w:type="dxa"/>
          </w:tcPr>
          <w:p w14:paraId="14DE001C" w14:textId="77777777" w:rsidR="006F2A61" w:rsidRPr="00921FF1" w:rsidRDefault="006F2A61" w:rsidP="00C96B66">
            <w:pPr>
              <w:rPr>
                <w:rFonts w:eastAsia="Times" w:cs="Arial"/>
              </w:rPr>
            </w:pPr>
          </w:p>
        </w:tc>
      </w:tr>
      <w:tr w:rsidR="006F2A61" w:rsidRPr="00921FF1" w14:paraId="06B20860" w14:textId="77777777" w:rsidTr="00C96B66">
        <w:tc>
          <w:tcPr>
            <w:tcW w:w="877" w:type="dxa"/>
          </w:tcPr>
          <w:p w14:paraId="3E82F5B6" w14:textId="77777777" w:rsidR="006F2A61" w:rsidRPr="007B1D80" w:rsidRDefault="006F2A61" w:rsidP="00C96B66">
            <w:pPr>
              <w:rPr>
                <w:rFonts w:eastAsia="Times" w:cs="Arial"/>
                <w:b/>
              </w:rPr>
            </w:pPr>
          </w:p>
        </w:tc>
        <w:tc>
          <w:tcPr>
            <w:tcW w:w="6854" w:type="dxa"/>
          </w:tcPr>
          <w:p w14:paraId="41192FF1" w14:textId="77777777" w:rsidR="006F2A61" w:rsidRPr="00921FF1" w:rsidRDefault="006F2A61" w:rsidP="00C96B66">
            <w:pPr>
              <w:jc w:val="both"/>
              <w:rPr>
                <w:rFonts w:eastAsia="Times" w:cs="Arial"/>
              </w:rPr>
            </w:pPr>
            <w:r>
              <w:rPr>
                <w:rFonts w:eastAsia="Times" w:cs="Arial"/>
              </w:rPr>
              <w:t>Minutes were formally signed as accurate by the Chair.</w:t>
            </w:r>
          </w:p>
        </w:tc>
        <w:tc>
          <w:tcPr>
            <w:tcW w:w="2463" w:type="dxa"/>
          </w:tcPr>
          <w:p w14:paraId="7E510ECF" w14:textId="77777777" w:rsidR="006F2A61" w:rsidRPr="00960E91" w:rsidRDefault="006F2A61" w:rsidP="00C96B66">
            <w:pPr>
              <w:rPr>
                <w:rFonts w:eastAsia="Times" w:cs="Arial"/>
                <w:b/>
              </w:rPr>
            </w:pPr>
          </w:p>
        </w:tc>
      </w:tr>
      <w:tr w:rsidR="006F2A61" w:rsidRPr="00921FF1" w14:paraId="78D9BF43" w14:textId="77777777" w:rsidTr="00C96B66">
        <w:tc>
          <w:tcPr>
            <w:tcW w:w="877" w:type="dxa"/>
          </w:tcPr>
          <w:p w14:paraId="76F7F103" w14:textId="77777777" w:rsidR="006F2A61" w:rsidRDefault="006F2A61" w:rsidP="00C96B66">
            <w:pPr>
              <w:rPr>
                <w:rFonts w:eastAsia="Times" w:cs="Arial"/>
                <w:b/>
              </w:rPr>
            </w:pPr>
            <w:r>
              <w:rPr>
                <w:rFonts w:eastAsia="Times" w:cs="Arial"/>
                <w:b/>
              </w:rPr>
              <w:t>3</w:t>
            </w:r>
          </w:p>
        </w:tc>
        <w:tc>
          <w:tcPr>
            <w:tcW w:w="6854" w:type="dxa"/>
          </w:tcPr>
          <w:p w14:paraId="20E5EB64" w14:textId="77777777" w:rsidR="006F2A61" w:rsidRDefault="006F2A61" w:rsidP="00C96B66">
            <w:pPr>
              <w:jc w:val="both"/>
              <w:rPr>
                <w:rFonts w:eastAsia="Times" w:cs="Arial"/>
                <w:b/>
              </w:rPr>
            </w:pPr>
            <w:r>
              <w:rPr>
                <w:rFonts w:eastAsia="Times" w:cs="Arial"/>
                <w:b/>
              </w:rPr>
              <w:t>2019/20 Business Plan Targets – 6 month progress report</w:t>
            </w:r>
          </w:p>
        </w:tc>
        <w:tc>
          <w:tcPr>
            <w:tcW w:w="2463" w:type="dxa"/>
          </w:tcPr>
          <w:p w14:paraId="2F841300" w14:textId="77777777" w:rsidR="006F2A61" w:rsidRPr="00921FF1" w:rsidRDefault="006F2A61" w:rsidP="00C96B66">
            <w:pPr>
              <w:rPr>
                <w:rFonts w:eastAsia="Times" w:cs="Arial"/>
              </w:rPr>
            </w:pPr>
          </w:p>
        </w:tc>
      </w:tr>
      <w:tr w:rsidR="006F2A61" w:rsidRPr="00921FF1" w14:paraId="117E9595" w14:textId="77777777" w:rsidTr="00C96B66">
        <w:tc>
          <w:tcPr>
            <w:tcW w:w="877" w:type="dxa"/>
          </w:tcPr>
          <w:p w14:paraId="548B6C7E" w14:textId="77777777" w:rsidR="006F2A61" w:rsidRDefault="006F2A61" w:rsidP="00C96B66">
            <w:pPr>
              <w:rPr>
                <w:rFonts w:eastAsia="Times" w:cs="Arial"/>
                <w:b/>
              </w:rPr>
            </w:pPr>
          </w:p>
        </w:tc>
        <w:tc>
          <w:tcPr>
            <w:tcW w:w="6854" w:type="dxa"/>
          </w:tcPr>
          <w:p w14:paraId="03CE010F" w14:textId="6AA40A60" w:rsidR="006F2A61" w:rsidRPr="00DB12D4" w:rsidRDefault="006F2A61" w:rsidP="00C96B66">
            <w:pPr>
              <w:jc w:val="both"/>
              <w:rPr>
                <w:rFonts w:eastAsia="Times" w:cs="Arial"/>
              </w:rPr>
            </w:pPr>
            <w:r>
              <w:rPr>
                <w:rFonts w:eastAsia="Times" w:cs="Arial"/>
              </w:rPr>
              <w:t xml:space="preserve">Briege Lafferty advised the Committee that Strategic Planning Branch will begin the business planning process for 2020/21 in </w:t>
            </w:r>
            <w:r>
              <w:rPr>
                <w:rFonts w:eastAsia="Times" w:cs="Arial"/>
              </w:rPr>
              <w:lastRenderedPageBreak/>
              <w:t xml:space="preserve">January. Work will continue on </w:t>
            </w:r>
            <w:r w:rsidR="00F37170">
              <w:rPr>
                <w:rFonts w:eastAsia="Times" w:cs="Arial"/>
              </w:rPr>
              <w:t xml:space="preserve">progressing </w:t>
            </w:r>
            <w:r>
              <w:rPr>
                <w:rFonts w:eastAsia="Times" w:cs="Arial"/>
              </w:rPr>
              <w:t xml:space="preserve">the strategic </w:t>
            </w:r>
            <w:r w:rsidR="00F37170">
              <w:rPr>
                <w:rFonts w:eastAsia="Times" w:cs="Arial"/>
              </w:rPr>
              <w:t xml:space="preserve">planning </w:t>
            </w:r>
            <w:r>
              <w:rPr>
                <w:rFonts w:eastAsia="Times" w:cs="Arial"/>
              </w:rPr>
              <w:t xml:space="preserve">process and defining the Departments high level objectives. </w:t>
            </w:r>
          </w:p>
          <w:p w14:paraId="110B436A" w14:textId="77777777" w:rsidR="006F2A61" w:rsidRPr="00DB12D4" w:rsidRDefault="006F2A61" w:rsidP="00C96B66">
            <w:pPr>
              <w:jc w:val="both"/>
              <w:rPr>
                <w:rFonts w:eastAsia="Times" w:cs="Arial"/>
              </w:rPr>
            </w:pPr>
          </w:p>
          <w:p w14:paraId="7825FE5D" w14:textId="64692892" w:rsidR="006F2A61" w:rsidRDefault="006F2A61" w:rsidP="00C96B66">
            <w:pPr>
              <w:rPr>
                <w:rFonts w:eastAsia="Times" w:cs="Arial"/>
              </w:rPr>
            </w:pPr>
            <w:r w:rsidRPr="009A35A4">
              <w:rPr>
                <w:rFonts w:eastAsia="Times" w:cs="Arial"/>
              </w:rPr>
              <w:t>Of the 50 targets in the 19/20 plan</w:t>
            </w:r>
            <w:r w:rsidR="00CC46A3">
              <w:rPr>
                <w:rFonts w:eastAsia="Times" w:cs="Arial"/>
              </w:rPr>
              <w:t>,</w:t>
            </w:r>
            <w:r w:rsidRPr="009A35A4">
              <w:rPr>
                <w:rFonts w:eastAsia="Times" w:cs="Arial"/>
              </w:rPr>
              <w:t xml:space="preserve"> 3 </w:t>
            </w:r>
            <w:r w:rsidR="00CC46A3">
              <w:rPr>
                <w:rFonts w:eastAsia="Times" w:cs="Arial"/>
              </w:rPr>
              <w:t xml:space="preserve">are </w:t>
            </w:r>
            <w:r w:rsidRPr="009A35A4">
              <w:rPr>
                <w:rFonts w:eastAsia="Times" w:cs="Arial"/>
              </w:rPr>
              <w:t xml:space="preserve">reported as red. David Reid advised that he was concerned about the ammonia and </w:t>
            </w:r>
            <w:r>
              <w:rPr>
                <w:rFonts w:eastAsia="Times" w:cs="Arial"/>
              </w:rPr>
              <w:t xml:space="preserve">soluble reactive </w:t>
            </w:r>
            <w:r w:rsidRPr="009A35A4">
              <w:rPr>
                <w:rFonts w:eastAsia="Times" w:cs="Arial"/>
              </w:rPr>
              <w:t xml:space="preserve">phosphorus </w:t>
            </w:r>
            <w:r>
              <w:rPr>
                <w:rFonts w:eastAsia="Times" w:cs="Arial"/>
              </w:rPr>
              <w:t xml:space="preserve">(SRP) </w:t>
            </w:r>
            <w:r w:rsidRPr="009A35A4">
              <w:rPr>
                <w:rFonts w:eastAsia="Times" w:cs="Arial"/>
              </w:rPr>
              <w:t>targets reported as red.</w:t>
            </w:r>
            <w:r>
              <w:rPr>
                <w:rFonts w:eastAsia="Times" w:cs="Arial"/>
              </w:rPr>
              <w:t xml:space="preserve"> </w:t>
            </w:r>
          </w:p>
          <w:p w14:paraId="649C3337" w14:textId="77777777" w:rsidR="006F2A61" w:rsidRDefault="006F2A61" w:rsidP="00C96B66">
            <w:pPr>
              <w:rPr>
                <w:rFonts w:eastAsia="Times" w:cs="Arial"/>
              </w:rPr>
            </w:pPr>
          </w:p>
          <w:p w14:paraId="5765A184" w14:textId="77777777" w:rsidR="006F2A61" w:rsidRDefault="006F2A61" w:rsidP="00C96B66">
            <w:pPr>
              <w:rPr>
                <w:rFonts w:eastAsia="Times" w:cs="Arial"/>
              </w:rPr>
            </w:pPr>
            <w:r>
              <w:rPr>
                <w:rFonts w:eastAsia="Times" w:cs="Arial"/>
              </w:rPr>
              <w:t>In respect of the SRP target Theresa Kearney advised that their interim monitoring completed for the 2018 year showed an increase of 3%.  David Reid expressed concerns over the effectiveness of the Environmental Farming Scheme.</w:t>
            </w:r>
          </w:p>
          <w:p w14:paraId="70F22B4D" w14:textId="77777777" w:rsidR="006F2A61" w:rsidRDefault="006F2A61" w:rsidP="00C96B66">
            <w:pPr>
              <w:rPr>
                <w:rFonts w:eastAsia="Times" w:cs="Arial"/>
                <w:b/>
              </w:rPr>
            </w:pPr>
          </w:p>
          <w:p w14:paraId="15742DD3" w14:textId="77777777" w:rsidR="006F2A61" w:rsidRDefault="006F2A61" w:rsidP="00C96B66">
            <w:pPr>
              <w:rPr>
                <w:rFonts w:cs="Arial"/>
              </w:rPr>
            </w:pPr>
            <w:r w:rsidRPr="00DB12D4">
              <w:rPr>
                <w:rFonts w:eastAsia="Times" w:cs="Arial"/>
                <w:b/>
              </w:rPr>
              <w:t xml:space="preserve">Action Point: </w:t>
            </w:r>
            <w:r>
              <w:rPr>
                <w:rFonts w:eastAsia="Times" w:cs="Arial"/>
              </w:rPr>
              <w:t>Theresa Kearney to check if SRP is a risk on the NIEA Risk Register and is reported to NIEA Board</w:t>
            </w:r>
            <w:r w:rsidRPr="00DB12D4">
              <w:rPr>
                <w:rFonts w:cs="Arial"/>
              </w:rPr>
              <w:t>.</w:t>
            </w:r>
            <w:r>
              <w:rPr>
                <w:rFonts w:cs="Arial"/>
              </w:rPr>
              <w:t xml:space="preserve"> A memo to be provided to Delivery Committee providing more detail and clarity on this issue.</w:t>
            </w:r>
          </w:p>
          <w:p w14:paraId="250EAD14" w14:textId="77777777" w:rsidR="006F2A61" w:rsidRDefault="006F2A61" w:rsidP="00C96B66">
            <w:pPr>
              <w:rPr>
                <w:rFonts w:cs="Arial"/>
              </w:rPr>
            </w:pPr>
          </w:p>
          <w:p w14:paraId="3F129F4C" w14:textId="3146425B" w:rsidR="006F2A61" w:rsidRPr="003144AE" w:rsidRDefault="006F2A61" w:rsidP="00C96B66">
            <w:pPr>
              <w:jc w:val="both"/>
              <w:rPr>
                <w:rFonts w:eastAsia="Times" w:cs="Arial"/>
              </w:rPr>
            </w:pPr>
            <w:r w:rsidRPr="003144AE">
              <w:rPr>
                <w:rFonts w:eastAsia="Times" w:cs="Arial"/>
              </w:rPr>
              <w:t xml:space="preserve">The Committee then discussed the red target in respect of the Ammonia Action Plan and the target to consult on the draft plan by 31 December 2019. Brian Ervine </w:t>
            </w:r>
            <w:r>
              <w:rPr>
                <w:rFonts w:eastAsia="Times" w:cs="Arial"/>
              </w:rPr>
              <w:t xml:space="preserve">advised </w:t>
            </w:r>
            <w:r w:rsidRPr="003144AE">
              <w:rPr>
                <w:rFonts w:eastAsia="Times" w:cs="Arial"/>
              </w:rPr>
              <w:t xml:space="preserve">that the revised target date for consultation is now April 2020 and it </w:t>
            </w:r>
            <w:r w:rsidR="00CC46A3">
              <w:rPr>
                <w:rFonts w:eastAsia="Times" w:cs="Arial"/>
              </w:rPr>
              <w:t xml:space="preserve">is </w:t>
            </w:r>
            <w:r w:rsidRPr="003144AE">
              <w:rPr>
                <w:rFonts w:eastAsia="Times" w:cs="Arial"/>
              </w:rPr>
              <w:t>likely to be considerable time before an Action Plan is implemented.</w:t>
            </w:r>
          </w:p>
          <w:p w14:paraId="487607F1" w14:textId="77777777" w:rsidR="006F2A61" w:rsidRDefault="006F2A61" w:rsidP="00C96B66">
            <w:pPr>
              <w:jc w:val="both"/>
              <w:rPr>
                <w:rFonts w:eastAsia="Times" w:cs="Arial"/>
                <w:b/>
              </w:rPr>
            </w:pPr>
          </w:p>
          <w:p w14:paraId="731B8084" w14:textId="43814383" w:rsidR="006F2A61" w:rsidRDefault="006F2A61" w:rsidP="00C96B66">
            <w:pPr>
              <w:jc w:val="both"/>
              <w:rPr>
                <w:rFonts w:eastAsia="Times" w:cs="Arial"/>
              </w:rPr>
            </w:pPr>
            <w:r>
              <w:rPr>
                <w:rFonts w:eastAsia="Times" w:cs="Arial"/>
                <w:b/>
              </w:rPr>
              <w:t xml:space="preserve">Action Point: </w:t>
            </w:r>
            <w:r w:rsidRPr="003144AE">
              <w:rPr>
                <w:rFonts w:eastAsia="Times" w:cs="Arial"/>
              </w:rPr>
              <w:t>NIEA to provide more detail on a timeline for the next steps and possible consequences</w:t>
            </w:r>
            <w:r w:rsidR="00CC46A3">
              <w:rPr>
                <w:rFonts w:eastAsia="Times" w:cs="Arial"/>
              </w:rPr>
              <w:t>,</w:t>
            </w:r>
            <w:r w:rsidRPr="003144AE">
              <w:rPr>
                <w:rFonts w:eastAsia="Times" w:cs="Arial"/>
              </w:rPr>
              <w:t xml:space="preserve"> and the impact on the business plan</w:t>
            </w:r>
            <w:r>
              <w:rPr>
                <w:rFonts w:eastAsia="Times" w:cs="Arial"/>
              </w:rPr>
              <w:t xml:space="preserve"> and provide update to Strategic Planning Branch ahead of next meeting.</w:t>
            </w:r>
          </w:p>
          <w:p w14:paraId="011E2B3D" w14:textId="77777777" w:rsidR="006F2A61" w:rsidRDefault="006F2A61" w:rsidP="00C96B66">
            <w:pPr>
              <w:jc w:val="both"/>
              <w:rPr>
                <w:rFonts w:eastAsia="Times" w:cs="Arial"/>
              </w:rPr>
            </w:pPr>
          </w:p>
          <w:p w14:paraId="7D6D6A32" w14:textId="7C5A468F" w:rsidR="006F2A61" w:rsidRDefault="006F2A61" w:rsidP="00C96B66">
            <w:pPr>
              <w:jc w:val="both"/>
              <w:rPr>
                <w:rFonts w:eastAsia="Times" w:cs="Arial"/>
              </w:rPr>
            </w:pPr>
            <w:r>
              <w:rPr>
                <w:rFonts w:eastAsia="Times" w:cs="Arial"/>
              </w:rPr>
              <w:t>On the NIFAIS red target the Chair noted that this</w:t>
            </w:r>
            <w:r w:rsidR="00F37170">
              <w:rPr>
                <w:rFonts w:eastAsia="Times" w:cs="Arial"/>
              </w:rPr>
              <w:t xml:space="preserve"> was now a live</w:t>
            </w:r>
            <w:r>
              <w:rPr>
                <w:rFonts w:eastAsia="Times" w:cs="Arial"/>
              </w:rPr>
              <w:t xml:space="preserve"> issue</w:t>
            </w:r>
            <w:r w:rsidR="00F37170">
              <w:rPr>
                <w:rFonts w:eastAsia="Times" w:cs="Arial"/>
              </w:rPr>
              <w:t xml:space="preserve"> and as such should be removed from the CRR. It is </w:t>
            </w:r>
            <w:r>
              <w:rPr>
                <w:rFonts w:eastAsia="Times" w:cs="Arial"/>
              </w:rPr>
              <w:t>due</w:t>
            </w:r>
            <w:r w:rsidR="00F37170">
              <w:rPr>
                <w:rFonts w:eastAsia="Times" w:cs="Arial"/>
              </w:rPr>
              <w:t xml:space="preserve"> for discussion</w:t>
            </w:r>
            <w:r>
              <w:rPr>
                <w:rFonts w:eastAsia="Times" w:cs="Arial"/>
              </w:rPr>
              <w:t xml:space="preserve"> at </w:t>
            </w:r>
            <w:r w:rsidR="00F37170">
              <w:rPr>
                <w:rFonts w:eastAsia="Times" w:cs="Arial"/>
              </w:rPr>
              <w:t>December’s</w:t>
            </w:r>
            <w:r>
              <w:rPr>
                <w:rFonts w:eastAsia="Times" w:cs="Arial"/>
              </w:rPr>
              <w:t xml:space="preserve"> Departmental Board</w:t>
            </w:r>
            <w:r w:rsidR="00F37170">
              <w:rPr>
                <w:rFonts w:eastAsia="Times" w:cs="Arial"/>
              </w:rPr>
              <w:t xml:space="preserve"> and has the Board’s visibility. </w:t>
            </w:r>
            <w:r>
              <w:rPr>
                <w:rFonts w:eastAsia="Times" w:cs="Arial"/>
              </w:rPr>
              <w:t>It</w:t>
            </w:r>
            <w:r w:rsidR="00F37170">
              <w:rPr>
                <w:rFonts w:eastAsia="Times" w:cs="Arial"/>
              </w:rPr>
              <w:t xml:space="preserve"> was noted that this has </w:t>
            </w:r>
            <w:r>
              <w:rPr>
                <w:rFonts w:eastAsia="Times" w:cs="Arial"/>
              </w:rPr>
              <w:t>been a challenging project for a multitude of reasons.</w:t>
            </w:r>
          </w:p>
          <w:p w14:paraId="698FF25B" w14:textId="77777777" w:rsidR="006F2A61" w:rsidRDefault="006F2A61" w:rsidP="00C96B66">
            <w:pPr>
              <w:jc w:val="both"/>
              <w:rPr>
                <w:rFonts w:eastAsia="Times" w:cs="Arial"/>
              </w:rPr>
            </w:pPr>
          </w:p>
          <w:p w14:paraId="52516B8B" w14:textId="77777777" w:rsidR="006F2A61" w:rsidRPr="003144AE" w:rsidRDefault="006F2A61" w:rsidP="00C96B66">
            <w:pPr>
              <w:jc w:val="both"/>
              <w:rPr>
                <w:rFonts w:eastAsia="Times" w:cs="Arial"/>
              </w:rPr>
            </w:pPr>
            <w:r w:rsidRPr="00187592">
              <w:rPr>
                <w:rFonts w:eastAsia="Times" w:cs="Arial"/>
                <w:b/>
              </w:rPr>
              <w:t xml:space="preserve">Action Point: </w:t>
            </w:r>
            <w:r>
              <w:rPr>
                <w:rFonts w:eastAsia="Times" w:cs="Arial"/>
              </w:rPr>
              <w:t>The Chair queried the amber target in respect of the Farm Business Improvement Scheme and asked for further detail on the impact of further tranches and their spend profile.</w:t>
            </w:r>
          </w:p>
          <w:p w14:paraId="18978F36" w14:textId="77777777" w:rsidR="006F2A61" w:rsidRDefault="006F2A61" w:rsidP="00C96B66">
            <w:pPr>
              <w:jc w:val="both"/>
              <w:rPr>
                <w:rFonts w:eastAsia="Times" w:cs="Arial"/>
                <w:b/>
              </w:rPr>
            </w:pPr>
          </w:p>
          <w:p w14:paraId="095DCAAF" w14:textId="77777777" w:rsidR="006F2A61" w:rsidRDefault="006F2A61" w:rsidP="00C96B66">
            <w:pPr>
              <w:jc w:val="both"/>
              <w:rPr>
                <w:rFonts w:eastAsia="Times" w:cs="Arial"/>
                <w:b/>
              </w:rPr>
            </w:pPr>
          </w:p>
        </w:tc>
        <w:tc>
          <w:tcPr>
            <w:tcW w:w="2463" w:type="dxa"/>
          </w:tcPr>
          <w:p w14:paraId="6E355AA9" w14:textId="77777777" w:rsidR="006F2A61" w:rsidRDefault="006F2A61" w:rsidP="00C96B66">
            <w:pPr>
              <w:rPr>
                <w:rFonts w:eastAsia="Times" w:cs="Arial"/>
              </w:rPr>
            </w:pPr>
          </w:p>
          <w:p w14:paraId="0FE4035A" w14:textId="77777777" w:rsidR="006F2A61" w:rsidRDefault="006F2A61" w:rsidP="00C96B66">
            <w:pPr>
              <w:rPr>
                <w:rFonts w:eastAsia="Times" w:cs="Arial"/>
              </w:rPr>
            </w:pPr>
          </w:p>
          <w:p w14:paraId="39615436" w14:textId="77777777" w:rsidR="006F2A61" w:rsidRDefault="006F2A61" w:rsidP="00C96B66">
            <w:pPr>
              <w:rPr>
                <w:rFonts w:eastAsia="Times" w:cs="Arial"/>
              </w:rPr>
            </w:pPr>
          </w:p>
          <w:p w14:paraId="65E85E27" w14:textId="77777777" w:rsidR="006F2A61" w:rsidRDefault="006F2A61" w:rsidP="00C96B66">
            <w:pPr>
              <w:rPr>
                <w:rFonts w:eastAsia="Times" w:cs="Arial"/>
              </w:rPr>
            </w:pPr>
          </w:p>
          <w:p w14:paraId="1E70E366" w14:textId="77777777" w:rsidR="006F2A61" w:rsidRDefault="006F2A61" w:rsidP="00C96B66">
            <w:pPr>
              <w:rPr>
                <w:rFonts w:eastAsia="Times" w:cs="Arial"/>
              </w:rPr>
            </w:pPr>
          </w:p>
          <w:p w14:paraId="6BD082BD" w14:textId="77777777" w:rsidR="006F2A61" w:rsidRDefault="006F2A61" w:rsidP="00C96B66">
            <w:pPr>
              <w:rPr>
                <w:rFonts w:eastAsia="Times" w:cs="Arial"/>
                <w:b/>
              </w:rPr>
            </w:pPr>
          </w:p>
          <w:p w14:paraId="39347FD3" w14:textId="77777777" w:rsidR="006F2A61" w:rsidRDefault="006F2A61" w:rsidP="00C96B66">
            <w:pPr>
              <w:rPr>
                <w:rFonts w:eastAsia="Times" w:cs="Arial"/>
                <w:b/>
              </w:rPr>
            </w:pPr>
          </w:p>
          <w:p w14:paraId="2E18A289" w14:textId="77777777" w:rsidR="006F2A61" w:rsidRDefault="006F2A61" w:rsidP="00C96B66">
            <w:pPr>
              <w:rPr>
                <w:rFonts w:eastAsia="Times" w:cs="Arial"/>
                <w:b/>
              </w:rPr>
            </w:pPr>
          </w:p>
          <w:p w14:paraId="0220364B" w14:textId="77777777" w:rsidR="006F2A61" w:rsidRDefault="006F2A61" w:rsidP="00C96B66">
            <w:pPr>
              <w:rPr>
                <w:rFonts w:eastAsia="Times" w:cs="Arial"/>
                <w:b/>
              </w:rPr>
            </w:pPr>
          </w:p>
          <w:p w14:paraId="28CF8A87" w14:textId="77777777" w:rsidR="006F2A61" w:rsidRDefault="006F2A61" w:rsidP="00C96B66">
            <w:pPr>
              <w:rPr>
                <w:rFonts w:eastAsia="Times" w:cs="Arial"/>
                <w:b/>
              </w:rPr>
            </w:pPr>
          </w:p>
          <w:p w14:paraId="3D022820" w14:textId="77777777" w:rsidR="006F2A61" w:rsidRDefault="006F2A61" w:rsidP="00C96B66">
            <w:pPr>
              <w:rPr>
                <w:rFonts w:eastAsia="Times" w:cs="Arial"/>
                <w:b/>
              </w:rPr>
            </w:pPr>
          </w:p>
          <w:p w14:paraId="16CA1E42" w14:textId="77777777" w:rsidR="006F2A61" w:rsidRDefault="006F2A61" w:rsidP="00C96B66">
            <w:pPr>
              <w:rPr>
                <w:rFonts w:eastAsia="Times" w:cs="Arial"/>
                <w:b/>
              </w:rPr>
            </w:pPr>
          </w:p>
          <w:p w14:paraId="62F77A27" w14:textId="77777777" w:rsidR="006F2A61" w:rsidRDefault="006F2A61" w:rsidP="00C96B66">
            <w:pPr>
              <w:rPr>
                <w:rFonts w:eastAsia="Times" w:cs="Arial"/>
                <w:b/>
              </w:rPr>
            </w:pPr>
          </w:p>
          <w:p w14:paraId="0E9793C9" w14:textId="77777777" w:rsidR="006F2A61" w:rsidRDefault="006F2A61" w:rsidP="00C96B66">
            <w:pPr>
              <w:rPr>
                <w:rFonts w:eastAsia="Times" w:cs="Arial"/>
                <w:b/>
              </w:rPr>
            </w:pPr>
          </w:p>
          <w:p w14:paraId="680D4568" w14:textId="77777777" w:rsidR="006F2A61" w:rsidRDefault="006F2A61" w:rsidP="00C96B66">
            <w:pPr>
              <w:rPr>
                <w:rFonts w:eastAsia="Times" w:cs="Arial"/>
                <w:b/>
              </w:rPr>
            </w:pPr>
          </w:p>
          <w:p w14:paraId="308DCF72" w14:textId="77777777" w:rsidR="001D3295" w:rsidRDefault="001D3295" w:rsidP="00C96B66">
            <w:pPr>
              <w:rPr>
                <w:rFonts w:eastAsia="Times" w:cs="Arial"/>
                <w:b/>
              </w:rPr>
            </w:pPr>
          </w:p>
          <w:p w14:paraId="4B162281" w14:textId="77777777" w:rsidR="006F2A61" w:rsidRDefault="006F2A61" w:rsidP="00C96B66">
            <w:pPr>
              <w:rPr>
                <w:rFonts w:eastAsia="Times" w:cs="Arial"/>
                <w:b/>
              </w:rPr>
            </w:pPr>
            <w:r>
              <w:rPr>
                <w:rFonts w:eastAsia="Times" w:cs="Arial"/>
                <w:b/>
              </w:rPr>
              <w:t>Theresa Kearney</w:t>
            </w:r>
          </w:p>
          <w:p w14:paraId="2B367DC4" w14:textId="77777777" w:rsidR="006F2A61" w:rsidRDefault="006F2A61" w:rsidP="00C96B66">
            <w:pPr>
              <w:rPr>
                <w:rFonts w:eastAsia="Times" w:cs="Arial"/>
                <w:b/>
              </w:rPr>
            </w:pPr>
          </w:p>
          <w:p w14:paraId="648385F1" w14:textId="77777777" w:rsidR="006F2A61" w:rsidRDefault="006F2A61" w:rsidP="00C96B66">
            <w:pPr>
              <w:rPr>
                <w:rFonts w:eastAsia="Times" w:cs="Arial"/>
                <w:b/>
              </w:rPr>
            </w:pPr>
          </w:p>
          <w:p w14:paraId="24B6622B" w14:textId="77777777" w:rsidR="006F2A61" w:rsidRDefault="006F2A61" w:rsidP="00C96B66">
            <w:pPr>
              <w:rPr>
                <w:rFonts w:eastAsia="Times" w:cs="Arial"/>
                <w:b/>
              </w:rPr>
            </w:pPr>
          </w:p>
          <w:p w14:paraId="03E0C984" w14:textId="77777777" w:rsidR="006F2A61" w:rsidRDefault="006F2A61" w:rsidP="00C96B66">
            <w:pPr>
              <w:rPr>
                <w:rFonts w:eastAsia="Times" w:cs="Arial"/>
                <w:b/>
              </w:rPr>
            </w:pPr>
          </w:p>
          <w:p w14:paraId="619F81C7" w14:textId="77777777" w:rsidR="006F2A61" w:rsidRDefault="006F2A61" w:rsidP="00C96B66">
            <w:pPr>
              <w:rPr>
                <w:rFonts w:eastAsia="Times" w:cs="Arial"/>
                <w:b/>
              </w:rPr>
            </w:pPr>
          </w:p>
          <w:p w14:paraId="3F428B4E" w14:textId="77777777" w:rsidR="006F2A61" w:rsidRDefault="006F2A61" w:rsidP="00C96B66">
            <w:pPr>
              <w:rPr>
                <w:rFonts w:eastAsia="Times" w:cs="Arial"/>
                <w:b/>
              </w:rPr>
            </w:pPr>
          </w:p>
          <w:p w14:paraId="76E70B45" w14:textId="77777777" w:rsidR="006F2A61" w:rsidRDefault="006F2A61" w:rsidP="00C96B66">
            <w:pPr>
              <w:rPr>
                <w:rFonts w:eastAsia="Times" w:cs="Arial"/>
                <w:b/>
              </w:rPr>
            </w:pPr>
          </w:p>
          <w:p w14:paraId="18A85167" w14:textId="77777777" w:rsidR="006F2A61" w:rsidRDefault="006F2A61" w:rsidP="00C96B66">
            <w:pPr>
              <w:rPr>
                <w:rFonts w:eastAsia="Times" w:cs="Arial"/>
                <w:b/>
              </w:rPr>
            </w:pPr>
          </w:p>
          <w:p w14:paraId="0C478F4C" w14:textId="77777777" w:rsidR="006F2A61" w:rsidRDefault="006F2A61" w:rsidP="00C96B66">
            <w:pPr>
              <w:rPr>
                <w:rFonts w:eastAsia="Times" w:cs="Arial"/>
                <w:b/>
              </w:rPr>
            </w:pPr>
          </w:p>
          <w:p w14:paraId="305116E6" w14:textId="77777777" w:rsidR="006F2A61" w:rsidRDefault="006F2A61" w:rsidP="00C96B66">
            <w:pPr>
              <w:rPr>
                <w:rFonts w:eastAsia="Times" w:cs="Arial"/>
                <w:b/>
              </w:rPr>
            </w:pPr>
          </w:p>
          <w:p w14:paraId="31E8498D" w14:textId="77777777" w:rsidR="006F2A61" w:rsidRDefault="006F2A61" w:rsidP="00C96B66">
            <w:pPr>
              <w:rPr>
                <w:rFonts w:eastAsia="Times" w:cs="Arial"/>
                <w:b/>
              </w:rPr>
            </w:pPr>
            <w:r>
              <w:rPr>
                <w:rFonts w:eastAsia="Times" w:cs="Arial"/>
                <w:b/>
              </w:rPr>
              <w:t>Dave Foster/Paddy Savage</w:t>
            </w:r>
          </w:p>
          <w:p w14:paraId="375A7174" w14:textId="77777777" w:rsidR="006F2A61" w:rsidRDefault="006F2A61" w:rsidP="00C96B66">
            <w:pPr>
              <w:rPr>
                <w:rFonts w:eastAsia="Times" w:cs="Arial"/>
                <w:b/>
              </w:rPr>
            </w:pPr>
          </w:p>
          <w:p w14:paraId="23BF30B4" w14:textId="77777777" w:rsidR="006F2A61" w:rsidRDefault="006F2A61" w:rsidP="00C96B66">
            <w:pPr>
              <w:rPr>
                <w:rFonts w:eastAsia="Times" w:cs="Arial"/>
                <w:b/>
              </w:rPr>
            </w:pPr>
          </w:p>
          <w:p w14:paraId="78BC40C1" w14:textId="77777777" w:rsidR="006F2A61" w:rsidRDefault="006F2A61" w:rsidP="00C96B66">
            <w:pPr>
              <w:rPr>
                <w:rFonts w:eastAsia="Times" w:cs="Arial"/>
                <w:b/>
              </w:rPr>
            </w:pPr>
          </w:p>
          <w:p w14:paraId="690D245F" w14:textId="77777777" w:rsidR="006F2A61" w:rsidRDefault="006F2A61" w:rsidP="00C96B66">
            <w:pPr>
              <w:rPr>
                <w:rFonts w:eastAsia="Times" w:cs="Arial"/>
                <w:b/>
              </w:rPr>
            </w:pPr>
          </w:p>
          <w:p w14:paraId="38393EE2" w14:textId="77777777" w:rsidR="006F2A61" w:rsidRDefault="006F2A61" w:rsidP="00C96B66">
            <w:pPr>
              <w:rPr>
                <w:rFonts w:eastAsia="Times" w:cs="Arial"/>
                <w:b/>
              </w:rPr>
            </w:pPr>
          </w:p>
          <w:p w14:paraId="602C9A3E" w14:textId="77777777" w:rsidR="006F2A61" w:rsidRDefault="006F2A61" w:rsidP="00C96B66">
            <w:pPr>
              <w:rPr>
                <w:rFonts w:eastAsia="Times" w:cs="Arial"/>
                <w:b/>
              </w:rPr>
            </w:pPr>
          </w:p>
          <w:p w14:paraId="2A263935" w14:textId="77777777" w:rsidR="006F2A61" w:rsidRDefault="006F2A61" w:rsidP="00C96B66">
            <w:pPr>
              <w:rPr>
                <w:rFonts w:eastAsia="Times" w:cs="Arial"/>
                <w:b/>
              </w:rPr>
            </w:pPr>
          </w:p>
          <w:p w14:paraId="176D6353" w14:textId="77777777" w:rsidR="006F2A61" w:rsidRDefault="006F2A61" w:rsidP="00C96B66">
            <w:pPr>
              <w:rPr>
                <w:rFonts w:eastAsia="Times" w:cs="Arial"/>
                <w:b/>
              </w:rPr>
            </w:pPr>
          </w:p>
          <w:p w14:paraId="277AD445" w14:textId="77777777" w:rsidR="009D2766" w:rsidRDefault="009D2766" w:rsidP="00C96B66">
            <w:pPr>
              <w:rPr>
                <w:rFonts w:eastAsia="Times" w:cs="Arial"/>
                <w:b/>
              </w:rPr>
            </w:pPr>
          </w:p>
          <w:p w14:paraId="072E2CF0" w14:textId="77777777" w:rsidR="006F2A61" w:rsidRPr="00DB12D4" w:rsidRDefault="006F2A61" w:rsidP="00C96B66">
            <w:pPr>
              <w:rPr>
                <w:rFonts w:eastAsia="Times" w:cs="Arial"/>
                <w:b/>
              </w:rPr>
            </w:pPr>
            <w:r>
              <w:rPr>
                <w:rFonts w:eastAsia="Times" w:cs="Arial"/>
                <w:b/>
              </w:rPr>
              <w:t>Colette McMaster</w:t>
            </w:r>
          </w:p>
        </w:tc>
      </w:tr>
      <w:tr w:rsidR="006F2A61" w:rsidRPr="00921FF1" w14:paraId="10C8F55C" w14:textId="77777777" w:rsidTr="00C96B66">
        <w:tc>
          <w:tcPr>
            <w:tcW w:w="877" w:type="dxa"/>
          </w:tcPr>
          <w:p w14:paraId="403D36EB" w14:textId="77777777" w:rsidR="006F2A61" w:rsidRPr="007B1D80" w:rsidRDefault="006F2A61" w:rsidP="00C96B66">
            <w:pPr>
              <w:rPr>
                <w:rFonts w:eastAsia="Times" w:cs="Arial"/>
                <w:b/>
              </w:rPr>
            </w:pPr>
            <w:r>
              <w:rPr>
                <w:rFonts w:eastAsia="Times" w:cs="Arial"/>
                <w:b/>
              </w:rPr>
              <w:lastRenderedPageBreak/>
              <w:t>4</w:t>
            </w:r>
          </w:p>
        </w:tc>
        <w:tc>
          <w:tcPr>
            <w:tcW w:w="6854" w:type="dxa"/>
          </w:tcPr>
          <w:p w14:paraId="07709B48" w14:textId="77777777" w:rsidR="006F2A61" w:rsidRPr="0080215B" w:rsidRDefault="006F2A61" w:rsidP="00C96B66">
            <w:pPr>
              <w:jc w:val="both"/>
              <w:rPr>
                <w:rFonts w:eastAsia="Times" w:cs="Arial"/>
                <w:b/>
              </w:rPr>
            </w:pPr>
            <w:r>
              <w:rPr>
                <w:rFonts w:eastAsia="Times" w:cs="Arial"/>
                <w:b/>
              </w:rPr>
              <w:t>Risk 1 - Finance</w:t>
            </w:r>
          </w:p>
        </w:tc>
        <w:tc>
          <w:tcPr>
            <w:tcW w:w="2463" w:type="dxa"/>
          </w:tcPr>
          <w:p w14:paraId="0601DEB2" w14:textId="77777777" w:rsidR="006F2A61" w:rsidRPr="00921FF1" w:rsidRDefault="006F2A61" w:rsidP="00C96B66">
            <w:pPr>
              <w:rPr>
                <w:rFonts w:eastAsia="Times" w:cs="Arial"/>
              </w:rPr>
            </w:pPr>
          </w:p>
        </w:tc>
      </w:tr>
      <w:tr w:rsidR="006F2A61" w:rsidRPr="00921FF1" w14:paraId="2C6B33A7" w14:textId="77777777" w:rsidTr="00C96B66">
        <w:tc>
          <w:tcPr>
            <w:tcW w:w="877" w:type="dxa"/>
          </w:tcPr>
          <w:p w14:paraId="087981B9" w14:textId="77777777" w:rsidR="006F2A61" w:rsidRPr="007B1D80" w:rsidRDefault="006F2A61" w:rsidP="00C96B66">
            <w:pPr>
              <w:rPr>
                <w:rFonts w:eastAsia="Times" w:cs="Arial"/>
                <w:b/>
              </w:rPr>
            </w:pPr>
          </w:p>
        </w:tc>
        <w:tc>
          <w:tcPr>
            <w:tcW w:w="6854" w:type="dxa"/>
          </w:tcPr>
          <w:p w14:paraId="38724BA2" w14:textId="429E7733" w:rsidR="006F2A61" w:rsidRDefault="006F2A61" w:rsidP="00C96B66">
            <w:pPr>
              <w:jc w:val="both"/>
              <w:rPr>
                <w:rFonts w:eastAsia="Times" w:cs="Arial"/>
              </w:rPr>
            </w:pPr>
            <w:r>
              <w:rPr>
                <w:rFonts w:eastAsia="Times" w:cs="Arial"/>
              </w:rPr>
              <w:t xml:space="preserve">David Reid advised that </w:t>
            </w:r>
            <w:r w:rsidR="00CC46A3">
              <w:rPr>
                <w:rFonts w:eastAsia="Times" w:cs="Arial"/>
              </w:rPr>
              <w:t>s</w:t>
            </w:r>
            <w:r>
              <w:rPr>
                <w:rFonts w:eastAsia="Times" w:cs="Arial"/>
              </w:rPr>
              <w:t xml:space="preserve">hort term the Department </w:t>
            </w:r>
            <w:r w:rsidR="00CC46A3">
              <w:rPr>
                <w:rFonts w:eastAsia="Times" w:cs="Arial"/>
              </w:rPr>
              <w:t xml:space="preserve">is </w:t>
            </w:r>
            <w:r>
              <w:rPr>
                <w:rFonts w:eastAsia="Times" w:cs="Arial"/>
              </w:rPr>
              <w:t xml:space="preserve">going through January monitoring and </w:t>
            </w:r>
            <w:r w:rsidR="00CC46A3">
              <w:rPr>
                <w:rFonts w:eastAsia="Times" w:cs="Arial"/>
              </w:rPr>
              <w:t xml:space="preserve">has </w:t>
            </w:r>
            <w:r>
              <w:rPr>
                <w:rFonts w:eastAsia="Times" w:cs="Arial"/>
              </w:rPr>
              <w:t>surrendered significant resource and capital. He confirmed that we have the flexibility to cover anything unforeseen for the rest of the year.</w:t>
            </w:r>
          </w:p>
          <w:p w14:paraId="13CC4CE3" w14:textId="77777777" w:rsidR="006F2A61" w:rsidRDefault="006F2A61" w:rsidP="00C96B66">
            <w:pPr>
              <w:jc w:val="both"/>
              <w:rPr>
                <w:rFonts w:eastAsia="Times" w:cs="Arial"/>
              </w:rPr>
            </w:pPr>
          </w:p>
          <w:p w14:paraId="1FAE5B70" w14:textId="77777777" w:rsidR="006F2A61" w:rsidRDefault="006F2A61" w:rsidP="00C96B66">
            <w:pPr>
              <w:jc w:val="both"/>
              <w:rPr>
                <w:rFonts w:eastAsia="Times" w:cs="Arial"/>
              </w:rPr>
            </w:pPr>
            <w:r>
              <w:rPr>
                <w:rFonts w:eastAsia="Times" w:cs="Arial"/>
              </w:rPr>
              <w:t>Long term there remains uncertainty due to the election and Brexit. Everything is under control and is being well managed.</w:t>
            </w:r>
          </w:p>
          <w:p w14:paraId="7EF68949" w14:textId="77777777" w:rsidR="006F2A61" w:rsidRDefault="006F2A61" w:rsidP="00C96B66">
            <w:pPr>
              <w:jc w:val="both"/>
              <w:rPr>
                <w:rFonts w:eastAsia="Times" w:cs="Arial"/>
              </w:rPr>
            </w:pPr>
          </w:p>
          <w:p w14:paraId="52FDBF29" w14:textId="77777777" w:rsidR="006F2A61" w:rsidRDefault="006F2A61" w:rsidP="00C96B66">
            <w:pPr>
              <w:jc w:val="both"/>
              <w:rPr>
                <w:rFonts w:eastAsia="Times" w:cs="Arial"/>
              </w:rPr>
            </w:pPr>
            <w:r>
              <w:rPr>
                <w:rFonts w:eastAsia="Times" w:cs="Arial"/>
              </w:rPr>
              <w:t>No change to short term or long term risk ratings.</w:t>
            </w:r>
          </w:p>
          <w:p w14:paraId="33C891CA" w14:textId="77777777" w:rsidR="006F2A61" w:rsidRDefault="006F2A61" w:rsidP="00C96B66">
            <w:pPr>
              <w:jc w:val="both"/>
              <w:rPr>
                <w:rFonts w:eastAsia="Times" w:cs="Arial"/>
              </w:rPr>
            </w:pPr>
            <w:r>
              <w:rPr>
                <w:rFonts w:eastAsia="Times" w:cs="Arial"/>
              </w:rPr>
              <w:t xml:space="preserve"> </w:t>
            </w:r>
          </w:p>
          <w:p w14:paraId="6B9B7BA8" w14:textId="77777777" w:rsidR="001D3295" w:rsidRPr="00921FF1" w:rsidRDefault="001D3295" w:rsidP="00C96B66">
            <w:pPr>
              <w:jc w:val="both"/>
              <w:rPr>
                <w:rFonts w:eastAsia="Times" w:cs="Arial"/>
              </w:rPr>
            </w:pPr>
          </w:p>
        </w:tc>
        <w:tc>
          <w:tcPr>
            <w:tcW w:w="2463" w:type="dxa"/>
          </w:tcPr>
          <w:p w14:paraId="46E3CE39" w14:textId="77777777" w:rsidR="006F2A61" w:rsidRPr="00921FF1" w:rsidRDefault="006F2A61" w:rsidP="00C96B66">
            <w:pPr>
              <w:rPr>
                <w:rFonts w:eastAsia="Times" w:cs="Arial"/>
                <w:b/>
              </w:rPr>
            </w:pPr>
          </w:p>
        </w:tc>
      </w:tr>
      <w:tr w:rsidR="006F2A61" w:rsidRPr="00921FF1" w14:paraId="5E20090C" w14:textId="77777777" w:rsidTr="00C96B66">
        <w:tc>
          <w:tcPr>
            <w:tcW w:w="877" w:type="dxa"/>
          </w:tcPr>
          <w:p w14:paraId="27A96A6E" w14:textId="77777777" w:rsidR="006F2A61" w:rsidRPr="007B1D80" w:rsidRDefault="006F2A61" w:rsidP="00C96B66">
            <w:pPr>
              <w:rPr>
                <w:rFonts w:eastAsia="Times" w:cs="Arial"/>
                <w:b/>
              </w:rPr>
            </w:pPr>
            <w:r>
              <w:lastRenderedPageBreak/>
              <w:br w:type="page"/>
            </w:r>
          </w:p>
        </w:tc>
        <w:tc>
          <w:tcPr>
            <w:tcW w:w="6854" w:type="dxa"/>
          </w:tcPr>
          <w:p w14:paraId="2964D2DB" w14:textId="77777777" w:rsidR="006F2A61" w:rsidRPr="00921FF1" w:rsidRDefault="006F2A61" w:rsidP="00C96B66">
            <w:pPr>
              <w:jc w:val="both"/>
              <w:rPr>
                <w:rFonts w:eastAsia="Times" w:cs="Arial"/>
                <w:b/>
              </w:rPr>
            </w:pPr>
            <w:r>
              <w:rPr>
                <w:rFonts w:eastAsia="Times" w:cs="Arial"/>
                <w:b/>
              </w:rPr>
              <w:t>Risk 2 - Staffing</w:t>
            </w:r>
          </w:p>
        </w:tc>
        <w:tc>
          <w:tcPr>
            <w:tcW w:w="2463" w:type="dxa"/>
          </w:tcPr>
          <w:p w14:paraId="1BF9EDAF" w14:textId="77777777" w:rsidR="006F2A61" w:rsidRPr="00921FF1" w:rsidRDefault="006F2A61" w:rsidP="00C96B66">
            <w:pPr>
              <w:rPr>
                <w:rFonts w:eastAsia="Times" w:cs="Arial"/>
              </w:rPr>
            </w:pPr>
          </w:p>
        </w:tc>
      </w:tr>
      <w:tr w:rsidR="006F2A61" w:rsidRPr="00921FF1" w14:paraId="28185659" w14:textId="77777777" w:rsidTr="00C96B66">
        <w:tc>
          <w:tcPr>
            <w:tcW w:w="877" w:type="dxa"/>
          </w:tcPr>
          <w:p w14:paraId="0E07ED3A" w14:textId="77777777" w:rsidR="006F2A61" w:rsidRPr="007B1D80" w:rsidRDefault="006F2A61" w:rsidP="00C96B66">
            <w:pPr>
              <w:rPr>
                <w:rFonts w:eastAsia="Times" w:cs="Arial"/>
                <w:b/>
              </w:rPr>
            </w:pPr>
          </w:p>
        </w:tc>
        <w:tc>
          <w:tcPr>
            <w:tcW w:w="6854" w:type="dxa"/>
          </w:tcPr>
          <w:p w14:paraId="612471B5" w14:textId="77777777" w:rsidR="006F2A61" w:rsidRDefault="006F2A61" w:rsidP="00C96B66">
            <w:pPr>
              <w:jc w:val="both"/>
              <w:rPr>
                <w:rFonts w:eastAsia="Times" w:cs="Arial"/>
              </w:rPr>
            </w:pPr>
            <w:r>
              <w:rPr>
                <w:rFonts w:eastAsia="Times" w:cs="Arial"/>
              </w:rPr>
              <w:t>Sean McGrade presented this risk and detailed to members the current staffing issues facing the Department. Chair asked that this rating be elevated to red status as we are getting into an affordability issue. He also asked that the bi-weekly report be included as an additional action.</w:t>
            </w:r>
          </w:p>
          <w:p w14:paraId="4E2B09F7" w14:textId="77777777" w:rsidR="006F2A61" w:rsidRDefault="006F2A61" w:rsidP="00C96B66">
            <w:pPr>
              <w:jc w:val="both"/>
              <w:rPr>
                <w:rFonts w:eastAsia="Times" w:cs="Arial"/>
              </w:rPr>
            </w:pPr>
          </w:p>
          <w:p w14:paraId="642A2112" w14:textId="77777777" w:rsidR="006F2A61" w:rsidRDefault="006F2A61" w:rsidP="00C96B66">
            <w:pPr>
              <w:jc w:val="both"/>
              <w:rPr>
                <w:rFonts w:eastAsia="Times" w:cs="Arial"/>
              </w:rPr>
            </w:pPr>
            <w:r w:rsidRPr="00FF151D">
              <w:rPr>
                <w:rFonts w:eastAsia="Times" w:cs="Arial"/>
                <w:b/>
              </w:rPr>
              <w:t>Action Point:</w:t>
            </w:r>
            <w:r>
              <w:rPr>
                <w:rFonts w:eastAsia="Times" w:cs="Arial"/>
              </w:rPr>
              <w:t xml:space="preserve"> Elevate risk rating to red and include bi-weekly report as an additional action.</w:t>
            </w:r>
          </w:p>
          <w:p w14:paraId="3F438F4C" w14:textId="77777777" w:rsidR="006F2A61" w:rsidRPr="008611D4" w:rsidRDefault="006F2A61" w:rsidP="00C96B66">
            <w:pPr>
              <w:jc w:val="both"/>
              <w:rPr>
                <w:rFonts w:eastAsia="Times" w:cs="Arial"/>
              </w:rPr>
            </w:pPr>
          </w:p>
        </w:tc>
        <w:tc>
          <w:tcPr>
            <w:tcW w:w="2463" w:type="dxa"/>
          </w:tcPr>
          <w:p w14:paraId="1DDD35B2" w14:textId="77777777" w:rsidR="006F2A61" w:rsidRDefault="006F2A61" w:rsidP="00C96B66">
            <w:pPr>
              <w:rPr>
                <w:rFonts w:eastAsia="Times" w:cs="Arial"/>
              </w:rPr>
            </w:pPr>
          </w:p>
          <w:p w14:paraId="4A61B465" w14:textId="77777777" w:rsidR="006F2A61" w:rsidRDefault="006F2A61" w:rsidP="00C96B66">
            <w:pPr>
              <w:rPr>
                <w:rFonts w:eastAsia="Times" w:cs="Arial"/>
              </w:rPr>
            </w:pPr>
          </w:p>
          <w:p w14:paraId="21527284" w14:textId="77777777" w:rsidR="006F2A61" w:rsidRDefault="006F2A61" w:rsidP="00C96B66">
            <w:pPr>
              <w:rPr>
                <w:rFonts w:eastAsia="Times" w:cs="Arial"/>
              </w:rPr>
            </w:pPr>
          </w:p>
          <w:p w14:paraId="72FFF409" w14:textId="77777777" w:rsidR="006F2A61" w:rsidRDefault="006F2A61" w:rsidP="00C96B66">
            <w:pPr>
              <w:rPr>
                <w:rFonts w:eastAsia="Times" w:cs="Arial"/>
              </w:rPr>
            </w:pPr>
          </w:p>
          <w:p w14:paraId="6042056A" w14:textId="77777777" w:rsidR="006F2A61" w:rsidRDefault="006F2A61" w:rsidP="00C96B66">
            <w:pPr>
              <w:rPr>
                <w:rFonts w:eastAsia="Times" w:cs="Arial"/>
              </w:rPr>
            </w:pPr>
          </w:p>
          <w:p w14:paraId="5FD68EFE" w14:textId="77777777" w:rsidR="006F2A61" w:rsidRDefault="006F2A61" w:rsidP="00C96B66">
            <w:pPr>
              <w:rPr>
                <w:rFonts w:eastAsia="Times" w:cs="Arial"/>
                <w:b/>
              </w:rPr>
            </w:pPr>
          </w:p>
          <w:p w14:paraId="45389E29" w14:textId="77777777" w:rsidR="006F2A61" w:rsidRPr="00594622" w:rsidRDefault="006F2A61" w:rsidP="00C96B66">
            <w:pPr>
              <w:rPr>
                <w:rFonts w:eastAsia="Times" w:cs="Arial"/>
                <w:b/>
              </w:rPr>
            </w:pPr>
            <w:r>
              <w:rPr>
                <w:rFonts w:eastAsia="Times" w:cs="Arial"/>
                <w:b/>
              </w:rPr>
              <w:t>Sean McGrade</w:t>
            </w:r>
          </w:p>
        </w:tc>
      </w:tr>
      <w:tr w:rsidR="006F2A61" w:rsidRPr="00921FF1" w14:paraId="49A4A956" w14:textId="77777777" w:rsidTr="00C96B66">
        <w:tc>
          <w:tcPr>
            <w:tcW w:w="877" w:type="dxa"/>
          </w:tcPr>
          <w:p w14:paraId="48B56ACD" w14:textId="77777777" w:rsidR="006F2A61" w:rsidRPr="007B1D80" w:rsidRDefault="006F2A61" w:rsidP="00C96B66">
            <w:pPr>
              <w:rPr>
                <w:rFonts w:eastAsia="Times" w:cs="Arial"/>
                <w:b/>
              </w:rPr>
            </w:pPr>
          </w:p>
        </w:tc>
        <w:tc>
          <w:tcPr>
            <w:tcW w:w="6854" w:type="dxa"/>
          </w:tcPr>
          <w:p w14:paraId="72CF0579" w14:textId="77777777" w:rsidR="006F2A61" w:rsidRPr="00FE53AF" w:rsidRDefault="006F2A61" w:rsidP="00C96B66">
            <w:pPr>
              <w:autoSpaceDE w:val="0"/>
              <w:autoSpaceDN w:val="0"/>
              <w:adjustRightInd w:val="0"/>
              <w:contextualSpacing/>
              <w:jc w:val="both"/>
              <w:rPr>
                <w:rFonts w:eastAsia="Times" w:cs="Arial"/>
                <w:b/>
              </w:rPr>
            </w:pPr>
            <w:r w:rsidRPr="00FE53AF">
              <w:rPr>
                <w:rFonts w:eastAsia="Times" w:cs="Arial"/>
                <w:b/>
              </w:rPr>
              <w:t>Risk 3</w:t>
            </w:r>
            <w:r>
              <w:rPr>
                <w:rFonts w:eastAsia="Times" w:cs="Arial"/>
                <w:b/>
              </w:rPr>
              <w:t xml:space="preserve"> – Information Assurance</w:t>
            </w:r>
          </w:p>
        </w:tc>
        <w:tc>
          <w:tcPr>
            <w:tcW w:w="2463" w:type="dxa"/>
          </w:tcPr>
          <w:p w14:paraId="0B11EC58" w14:textId="77777777" w:rsidR="006F2A61" w:rsidRPr="007B1D80" w:rsidRDefault="006F2A61" w:rsidP="00C96B66">
            <w:pPr>
              <w:rPr>
                <w:rFonts w:eastAsia="Times" w:cs="Arial"/>
                <w:b/>
              </w:rPr>
            </w:pPr>
          </w:p>
        </w:tc>
      </w:tr>
      <w:tr w:rsidR="006F2A61" w:rsidRPr="00F25D8F" w14:paraId="2C7823C7" w14:textId="77777777" w:rsidTr="00C96B66">
        <w:tc>
          <w:tcPr>
            <w:tcW w:w="877" w:type="dxa"/>
          </w:tcPr>
          <w:p w14:paraId="4D011904" w14:textId="77777777" w:rsidR="006F2A61" w:rsidRPr="007B1D80" w:rsidRDefault="006F2A61" w:rsidP="00C96B66">
            <w:pPr>
              <w:rPr>
                <w:rFonts w:eastAsia="Times" w:cs="Arial"/>
                <w:b/>
              </w:rPr>
            </w:pPr>
          </w:p>
        </w:tc>
        <w:tc>
          <w:tcPr>
            <w:tcW w:w="6854" w:type="dxa"/>
          </w:tcPr>
          <w:p w14:paraId="3E2980F3" w14:textId="77777777" w:rsidR="006F2A61" w:rsidRDefault="006F2A61" w:rsidP="00C96B66">
            <w:pPr>
              <w:jc w:val="both"/>
              <w:rPr>
                <w:rFonts w:eastAsia="Times" w:cs="Arial"/>
              </w:rPr>
            </w:pPr>
            <w:r>
              <w:rPr>
                <w:rFonts w:eastAsia="Times" w:cs="Arial"/>
              </w:rPr>
              <w:t>Paul McGurnaghan presented the Information Assurance risk and updated the Committee on the current IT outage that was affecting staff across the Department. This brought into focus the fact the impact of this risk should be high.</w:t>
            </w:r>
          </w:p>
          <w:p w14:paraId="5A881C0D" w14:textId="77777777" w:rsidR="006F2A61" w:rsidRDefault="006F2A61" w:rsidP="00C96B66">
            <w:pPr>
              <w:jc w:val="both"/>
              <w:rPr>
                <w:rFonts w:eastAsia="Times" w:cs="Arial"/>
              </w:rPr>
            </w:pPr>
          </w:p>
          <w:p w14:paraId="5944C397" w14:textId="322EEB3A" w:rsidR="006F2A61" w:rsidRDefault="006F2A61" w:rsidP="00C96B66">
            <w:pPr>
              <w:jc w:val="both"/>
              <w:rPr>
                <w:rFonts w:eastAsia="Times" w:cs="Arial"/>
              </w:rPr>
            </w:pPr>
            <w:r w:rsidRPr="004F3F19">
              <w:rPr>
                <w:rFonts w:eastAsia="Times" w:cs="Arial"/>
                <w:b/>
              </w:rPr>
              <w:t>Action Point:</w:t>
            </w:r>
            <w:r>
              <w:rPr>
                <w:rFonts w:eastAsia="Times" w:cs="Arial"/>
              </w:rPr>
              <w:t xml:space="preserve"> Increase impact of risk to high and overall risk rating to red</w:t>
            </w:r>
            <w:r w:rsidR="00CC1AEB">
              <w:rPr>
                <w:rFonts w:eastAsia="Times" w:cs="Arial"/>
              </w:rPr>
              <w:t xml:space="preserve"> and consider what further actions could be taken.</w:t>
            </w:r>
          </w:p>
          <w:p w14:paraId="3E10657A" w14:textId="77777777" w:rsidR="006F2A61" w:rsidRDefault="006F2A61" w:rsidP="00C96B66">
            <w:pPr>
              <w:jc w:val="both"/>
              <w:rPr>
                <w:rFonts w:eastAsia="Times" w:cs="Arial"/>
              </w:rPr>
            </w:pPr>
          </w:p>
          <w:p w14:paraId="1611C932" w14:textId="77777777" w:rsidR="006F2A61" w:rsidRPr="00BC0A9C" w:rsidRDefault="006F2A61" w:rsidP="00C96B66">
            <w:pPr>
              <w:jc w:val="both"/>
              <w:rPr>
                <w:rFonts w:eastAsia="Times" w:cs="Arial"/>
              </w:rPr>
            </w:pPr>
          </w:p>
        </w:tc>
        <w:tc>
          <w:tcPr>
            <w:tcW w:w="2463" w:type="dxa"/>
          </w:tcPr>
          <w:p w14:paraId="43604EC4" w14:textId="77777777" w:rsidR="006F2A61" w:rsidRDefault="006F2A61" w:rsidP="00C96B66">
            <w:pPr>
              <w:rPr>
                <w:rFonts w:eastAsia="Times" w:cs="Arial"/>
              </w:rPr>
            </w:pPr>
          </w:p>
          <w:p w14:paraId="60BA999B" w14:textId="77777777" w:rsidR="006F2A61" w:rsidRDefault="006F2A61" w:rsidP="00C96B66">
            <w:pPr>
              <w:rPr>
                <w:rFonts w:eastAsia="Times" w:cs="Arial"/>
              </w:rPr>
            </w:pPr>
          </w:p>
          <w:p w14:paraId="71A3B86E" w14:textId="77777777" w:rsidR="006F2A61" w:rsidRDefault="006F2A61" w:rsidP="00C96B66">
            <w:pPr>
              <w:rPr>
                <w:rFonts w:eastAsia="Times" w:cs="Arial"/>
              </w:rPr>
            </w:pPr>
          </w:p>
          <w:p w14:paraId="30E74E18" w14:textId="77777777" w:rsidR="006F2A61" w:rsidRDefault="006F2A61" w:rsidP="00C96B66">
            <w:pPr>
              <w:rPr>
                <w:rFonts w:eastAsia="Times" w:cs="Arial"/>
              </w:rPr>
            </w:pPr>
          </w:p>
          <w:p w14:paraId="34ABCB8E" w14:textId="77777777" w:rsidR="006F2A61" w:rsidRDefault="006F2A61" w:rsidP="00C96B66">
            <w:pPr>
              <w:rPr>
                <w:rFonts w:eastAsia="Times" w:cs="Arial"/>
              </w:rPr>
            </w:pPr>
          </w:p>
          <w:p w14:paraId="3DACE273" w14:textId="77777777" w:rsidR="006F2A61" w:rsidRPr="00FF151D" w:rsidRDefault="006F2A61" w:rsidP="00C96B66">
            <w:pPr>
              <w:rPr>
                <w:rFonts w:eastAsia="Times" w:cs="Arial"/>
                <w:b/>
              </w:rPr>
            </w:pPr>
            <w:r>
              <w:rPr>
                <w:rFonts w:eastAsia="Times" w:cs="Arial"/>
                <w:b/>
              </w:rPr>
              <w:t>Paul McGurnaghan</w:t>
            </w:r>
          </w:p>
        </w:tc>
      </w:tr>
      <w:tr w:rsidR="006F2A61" w:rsidRPr="00F25D8F" w14:paraId="4516D464" w14:textId="77777777" w:rsidTr="00C96B66">
        <w:tc>
          <w:tcPr>
            <w:tcW w:w="877" w:type="dxa"/>
          </w:tcPr>
          <w:p w14:paraId="18016682" w14:textId="77777777" w:rsidR="006F2A61" w:rsidRPr="007B1D80" w:rsidRDefault="006F2A61" w:rsidP="00C96B66">
            <w:pPr>
              <w:rPr>
                <w:rFonts w:eastAsia="Times" w:cs="Arial"/>
                <w:b/>
              </w:rPr>
            </w:pPr>
          </w:p>
        </w:tc>
        <w:tc>
          <w:tcPr>
            <w:tcW w:w="6854" w:type="dxa"/>
          </w:tcPr>
          <w:p w14:paraId="08C63B35" w14:textId="77777777" w:rsidR="006F2A61" w:rsidRPr="00F25D8F" w:rsidRDefault="006F2A61" w:rsidP="00C96B66">
            <w:pPr>
              <w:jc w:val="both"/>
              <w:rPr>
                <w:rFonts w:eastAsia="Times" w:cs="Arial"/>
                <w:b/>
              </w:rPr>
            </w:pPr>
            <w:r>
              <w:rPr>
                <w:rFonts w:eastAsia="Times" w:cs="Arial"/>
                <w:b/>
              </w:rPr>
              <w:t>Risk 4 – Brexit No Deal Planning</w:t>
            </w:r>
          </w:p>
        </w:tc>
        <w:tc>
          <w:tcPr>
            <w:tcW w:w="2463" w:type="dxa"/>
          </w:tcPr>
          <w:p w14:paraId="37DA19A6" w14:textId="77777777" w:rsidR="006F2A61" w:rsidRPr="00F25D8F" w:rsidRDefault="006F2A61" w:rsidP="00C96B66">
            <w:pPr>
              <w:rPr>
                <w:rFonts w:eastAsia="Times" w:cs="Arial"/>
              </w:rPr>
            </w:pPr>
          </w:p>
        </w:tc>
      </w:tr>
      <w:tr w:rsidR="006F2A61" w:rsidRPr="00F25D8F" w14:paraId="6A83EEE8" w14:textId="77777777" w:rsidTr="00C96B66">
        <w:tc>
          <w:tcPr>
            <w:tcW w:w="877" w:type="dxa"/>
          </w:tcPr>
          <w:p w14:paraId="17DEC710" w14:textId="77777777" w:rsidR="006F2A61" w:rsidRPr="007B1D80" w:rsidRDefault="006F2A61" w:rsidP="00C96B66">
            <w:pPr>
              <w:rPr>
                <w:rFonts w:eastAsia="Times" w:cs="Arial"/>
                <w:b/>
              </w:rPr>
            </w:pPr>
          </w:p>
        </w:tc>
        <w:tc>
          <w:tcPr>
            <w:tcW w:w="6854" w:type="dxa"/>
          </w:tcPr>
          <w:p w14:paraId="58877645" w14:textId="108667FC" w:rsidR="006F2A61" w:rsidRDefault="006F2A61" w:rsidP="00C96B66">
            <w:pPr>
              <w:jc w:val="both"/>
              <w:rPr>
                <w:rFonts w:eastAsia="Times" w:cs="Arial"/>
              </w:rPr>
            </w:pPr>
            <w:r>
              <w:rPr>
                <w:rFonts w:eastAsia="Times" w:cs="Arial"/>
              </w:rPr>
              <w:t xml:space="preserve">Derek Williamson </w:t>
            </w:r>
            <w:r w:rsidRPr="006C5EB3">
              <w:rPr>
                <w:rFonts w:eastAsia="Times" w:cs="Arial"/>
              </w:rPr>
              <w:t xml:space="preserve">advised that </w:t>
            </w:r>
            <w:r>
              <w:rPr>
                <w:rFonts w:eastAsia="Times" w:cs="Arial"/>
              </w:rPr>
              <w:t xml:space="preserve">DAERA </w:t>
            </w:r>
            <w:r w:rsidR="00CC46A3">
              <w:rPr>
                <w:rFonts w:eastAsia="Times" w:cs="Arial"/>
              </w:rPr>
              <w:t xml:space="preserve">is </w:t>
            </w:r>
            <w:r>
              <w:rPr>
                <w:rFonts w:eastAsia="Times" w:cs="Arial"/>
              </w:rPr>
              <w:t xml:space="preserve">as prepared as </w:t>
            </w:r>
            <w:r w:rsidR="00CC46A3">
              <w:rPr>
                <w:rFonts w:eastAsia="Times" w:cs="Arial"/>
              </w:rPr>
              <w:t xml:space="preserve">it </w:t>
            </w:r>
            <w:r>
              <w:rPr>
                <w:rFonts w:eastAsia="Times" w:cs="Arial"/>
              </w:rPr>
              <w:t>can be. Despite this he confirmed the Red rating remains appropriate as Brexit it outside our control.</w:t>
            </w:r>
          </w:p>
          <w:p w14:paraId="32A901B4" w14:textId="77777777" w:rsidR="006F2A61" w:rsidRDefault="006F2A61" w:rsidP="00C96B66">
            <w:pPr>
              <w:jc w:val="both"/>
              <w:rPr>
                <w:rFonts w:eastAsia="Times" w:cs="Arial"/>
              </w:rPr>
            </w:pPr>
          </w:p>
          <w:p w14:paraId="5FD11D84" w14:textId="77777777" w:rsidR="006F2A61" w:rsidRDefault="006F2A61" w:rsidP="00C96B66">
            <w:pPr>
              <w:jc w:val="both"/>
              <w:rPr>
                <w:rFonts w:eastAsia="Times" w:cs="Arial"/>
              </w:rPr>
            </w:pPr>
            <w:r w:rsidRPr="000A17F7">
              <w:rPr>
                <w:rFonts w:eastAsia="Times" w:cs="Arial"/>
                <w:b/>
              </w:rPr>
              <w:t>Action Point:</w:t>
            </w:r>
            <w:r>
              <w:rPr>
                <w:rFonts w:eastAsia="Times" w:cs="Arial"/>
              </w:rPr>
              <w:t xml:space="preserve"> Include additional actions on the Major Emergency Response Plan (MERP) and Contingency plans being actively reviewed.</w:t>
            </w:r>
          </w:p>
          <w:p w14:paraId="0FB531B6" w14:textId="77777777" w:rsidR="006F2A61" w:rsidRPr="00F25D8F" w:rsidRDefault="006F2A61" w:rsidP="00C96B66">
            <w:pPr>
              <w:jc w:val="both"/>
              <w:rPr>
                <w:rFonts w:eastAsia="Times" w:cs="Arial"/>
                <w:b/>
              </w:rPr>
            </w:pPr>
            <w:r>
              <w:rPr>
                <w:rFonts w:eastAsia="Times" w:cs="Arial"/>
              </w:rPr>
              <w:t xml:space="preserve"> </w:t>
            </w:r>
          </w:p>
        </w:tc>
        <w:tc>
          <w:tcPr>
            <w:tcW w:w="2463" w:type="dxa"/>
          </w:tcPr>
          <w:p w14:paraId="3540DDAC" w14:textId="77777777" w:rsidR="006F2A61" w:rsidRDefault="006F2A61" w:rsidP="00C96B66">
            <w:pPr>
              <w:rPr>
                <w:rFonts w:eastAsia="Times" w:cs="Arial"/>
              </w:rPr>
            </w:pPr>
          </w:p>
          <w:p w14:paraId="1484DF10" w14:textId="77777777" w:rsidR="006F2A61" w:rsidRDefault="006F2A61" w:rsidP="00C96B66">
            <w:pPr>
              <w:rPr>
                <w:rFonts w:eastAsia="Times" w:cs="Arial"/>
              </w:rPr>
            </w:pPr>
          </w:p>
          <w:p w14:paraId="486E188B" w14:textId="77777777" w:rsidR="006F2A61" w:rsidRDefault="006F2A61" w:rsidP="00C96B66">
            <w:pPr>
              <w:rPr>
                <w:rFonts w:eastAsia="Times" w:cs="Arial"/>
              </w:rPr>
            </w:pPr>
          </w:p>
          <w:p w14:paraId="42B05B05" w14:textId="77777777" w:rsidR="006F2A61" w:rsidRDefault="006F2A61" w:rsidP="00C96B66">
            <w:pPr>
              <w:rPr>
                <w:rFonts w:eastAsia="Times" w:cs="Arial"/>
              </w:rPr>
            </w:pPr>
          </w:p>
          <w:p w14:paraId="02A0B672" w14:textId="77777777" w:rsidR="006F2A61" w:rsidRPr="000A17F7" w:rsidRDefault="006F2A61" w:rsidP="00C96B66">
            <w:pPr>
              <w:rPr>
                <w:rFonts w:eastAsia="Times" w:cs="Arial"/>
                <w:b/>
              </w:rPr>
            </w:pPr>
            <w:r w:rsidRPr="000A17F7">
              <w:rPr>
                <w:rFonts w:eastAsia="Times" w:cs="Arial"/>
                <w:b/>
              </w:rPr>
              <w:t>Derek Williamson</w:t>
            </w:r>
          </w:p>
        </w:tc>
      </w:tr>
      <w:tr w:rsidR="006F2A61" w:rsidRPr="00F25D8F" w14:paraId="5A148BC1" w14:textId="77777777" w:rsidTr="00C96B66">
        <w:tc>
          <w:tcPr>
            <w:tcW w:w="877" w:type="dxa"/>
          </w:tcPr>
          <w:p w14:paraId="62711CAA" w14:textId="77777777" w:rsidR="006F2A61" w:rsidRPr="007B1D80" w:rsidRDefault="006F2A61" w:rsidP="00C96B66">
            <w:pPr>
              <w:rPr>
                <w:rFonts w:eastAsia="Times" w:cs="Arial"/>
                <w:b/>
              </w:rPr>
            </w:pPr>
          </w:p>
        </w:tc>
        <w:tc>
          <w:tcPr>
            <w:tcW w:w="6854" w:type="dxa"/>
          </w:tcPr>
          <w:p w14:paraId="28658332" w14:textId="77777777" w:rsidR="006F2A61" w:rsidRPr="00F25D8F" w:rsidRDefault="006F2A61" w:rsidP="00C96B66">
            <w:pPr>
              <w:jc w:val="both"/>
              <w:rPr>
                <w:rFonts w:eastAsia="Times" w:cs="Arial"/>
                <w:b/>
              </w:rPr>
            </w:pPr>
            <w:r>
              <w:rPr>
                <w:rFonts w:eastAsia="Times" w:cs="Arial"/>
                <w:b/>
              </w:rPr>
              <w:t xml:space="preserve">Risk 5 – Animal Disease Control </w:t>
            </w:r>
          </w:p>
        </w:tc>
        <w:tc>
          <w:tcPr>
            <w:tcW w:w="2463" w:type="dxa"/>
          </w:tcPr>
          <w:p w14:paraId="5966DC0C" w14:textId="77777777" w:rsidR="006F2A61" w:rsidRPr="00F25D8F" w:rsidRDefault="006F2A61" w:rsidP="00C96B66">
            <w:pPr>
              <w:rPr>
                <w:rFonts w:eastAsia="Times" w:cs="Arial"/>
              </w:rPr>
            </w:pPr>
          </w:p>
        </w:tc>
      </w:tr>
      <w:tr w:rsidR="006F2A61" w:rsidRPr="00F25D8F" w14:paraId="12403B19" w14:textId="77777777" w:rsidTr="00C96B66">
        <w:tc>
          <w:tcPr>
            <w:tcW w:w="877" w:type="dxa"/>
          </w:tcPr>
          <w:p w14:paraId="61424B52" w14:textId="77777777" w:rsidR="006F2A61" w:rsidRPr="007B1D80" w:rsidRDefault="006F2A61" w:rsidP="00C96B66">
            <w:pPr>
              <w:rPr>
                <w:rFonts w:eastAsia="Times" w:cs="Arial"/>
                <w:b/>
              </w:rPr>
            </w:pPr>
          </w:p>
        </w:tc>
        <w:tc>
          <w:tcPr>
            <w:tcW w:w="6854" w:type="dxa"/>
          </w:tcPr>
          <w:p w14:paraId="47506B52" w14:textId="2E51DFE6" w:rsidR="006F2A61" w:rsidRDefault="006F2A61" w:rsidP="00C96B66">
            <w:pPr>
              <w:jc w:val="both"/>
              <w:rPr>
                <w:rFonts w:eastAsia="Times" w:cs="Arial"/>
              </w:rPr>
            </w:pPr>
            <w:r>
              <w:rPr>
                <w:rFonts w:eastAsia="Times" w:cs="Arial"/>
              </w:rPr>
              <w:t xml:space="preserve">Brian Dooher </w:t>
            </w:r>
            <w:r w:rsidRPr="006C5EB3">
              <w:rPr>
                <w:rFonts w:eastAsia="Times" w:cs="Arial"/>
              </w:rPr>
              <w:t xml:space="preserve">reported that </w:t>
            </w:r>
            <w:r>
              <w:rPr>
                <w:rFonts w:eastAsia="Times" w:cs="Arial"/>
              </w:rPr>
              <w:t>Avian Influenza and African swine fever are the biggest issues facing the Department at this time of the year</w:t>
            </w:r>
            <w:r w:rsidR="00CC1AEB">
              <w:rPr>
                <w:rFonts w:eastAsia="Times" w:cs="Arial"/>
              </w:rPr>
              <w:t>.</w:t>
            </w:r>
          </w:p>
          <w:p w14:paraId="7331FD28" w14:textId="77777777" w:rsidR="006F2A61" w:rsidRDefault="006F2A61" w:rsidP="00C96B66">
            <w:pPr>
              <w:jc w:val="both"/>
              <w:rPr>
                <w:rFonts w:eastAsia="Times" w:cs="Arial"/>
              </w:rPr>
            </w:pPr>
          </w:p>
          <w:p w14:paraId="5FC9D599" w14:textId="77777777" w:rsidR="006F2A61" w:rsidRDefault="006F2A61" w:rsidP="00C96B66">
            <w:pPr>
              <w:jc w:val="both"/>
              <w:rPr>
                <w:rFonts w:eastAsia="Times" w:cs="Arial"/>
              </w:rPr>
            </w:pPr>
            <w:r>
              <w:rPr>
                <w:rFonts w:eastAsia="Times" w:cs="Arial"/>
              </w:rPr>
              <w:t>R</w:t>
            </w:r>
            <w:r w:rsidRPr="006C5EB3">
              <w:rPr>
                <w:rFonts w:eastAsia="Times" w:cs="Arial"/>
              </w:rPr>
              <w:t>isk rating</w:t>
            </w:r>
            <w:r>
              <w:rPr>
                <w:rFonts w:eastAsia="Times" w:cs="Arial"/>
              </w:rPr>
              <w:t xml:space="preserve"> remains amber</w:t>
            </w:r>
            <w:r w:rsidRPr="006C5EB3">
              <w:rPr>
                <w:rFonts w:eastAsia="Times" w:cs="Arial"/>
              </w:rPr>
              <w:t>.</w:t>
            </w:r>
          </w:p>
          <w:p w14:paraId="5D144857" w14:textId="77777777" w:rsidR="006F2A61" w:rsidRPr="006C5EB3" w:rsidRDefault="006F2A61" w:rsidP="00C96B66">
            <w:pPr>
              <w:jc w:val="both"/>
              <w:rPr>
                <w:rFonts w:eastAsia="Times" w:cs="Arial"/>
              </w:rPr>
            </w:pPr>
          </w:p>
        </w:tc>
        <w:tc>
          <w:tcPr>
            <w:tcW w:w="2463" w:type="dxa"/>
          </w:tcPr>
          <w:p w14:paraId="6E2811D0" w14:textId="77777777" w:rsidR="006F2A61" w:rsidRPr="002E163E" w:rsidRDefault="006F2A61" w:rsidP="00C96B66">
            <w:pPr>
              <w:rPr>
                <w:rFonts w:eastAsia="Times" w:cs="Arial"/>
                <w:b/>
              </w:rPr>
            </w:pPr>
          </w:p>
        </w:tc>
      </w:tr>
      <w:tr w:rsidR="006F2A61" w:rsidRPr="00F25D8F" w14:paraId="0792CCCC" w14:textId="77777777" w:rsidTr="00C96B66">
        <w:tc>
          <w:tcPr>
            <w:tcW w:w="877" w:type="dxa"/>
          </w:tcPr>
          <w:p w14:paraId="4527DC2A" w14:textId="77777777" w:rsidR="006F2A61" w:rsidRPr="007B1D80" w:rsidRDefault="006F2A61" w:rsidP="00C96B66">
            <w:pPr>
              <w:rPr>
                <w:rFonts w:eastAsia="Times" w:cs="Arial"/>
                <w:b/>
              </w:rPr>
            </w:pPr>
            <w:r>
              <w:br w:type="page"/>
            </w:r>
          </w:p>
        </w:tc>
        <w:tc>
          <w:tcPr>
            <w:tcW w:w="6854" w:type="dxa"/>
          </w:tcPr>
          <w:p w14:paraId="253605EF" w14:textId="77777777" w:rsidR="006F2A61" w:rsidRPr="00FE53AF" w:rsidRDefault="006F2A61" w:rsidP="00C96B66">
            <w:pPr>
              <w:rPr>
                <w:rFonts w:eastAsia="Times" w:cs="Arial"/>
                <w:b/>
              </w:rPr>
            </w:pPr>
            <w:r w:rsidRPr="00FE53AF">
              <w:rPr>
                <w:rFonts w:eastAsia="Times" w:cs="Arial"/>
                <w:b/>
              </w:rPr>
              <w:t>Risk 6</w:t>
            </w:r>
            <w:r>
              <w:rPr>
                <w:rFonts w:eastAsia="Times" w:cs="Arial"/>
                <w:b/>
              </w:rPr>
              <w:t xml:space="preserve"> – Plant Health</w:t>
            </w:r>
          </w:p>
        </w:tc>
        <w:tc>
          <w:tcPr>
            <w:tcW w:w="2463" w:type="dxa"/>
          </w:tcPr>
          <w:p w14:paraId="248E7107" w14:textId="77777777" w:rsidR="006F2A61" w:rsidRPr="00F25D8F" w:rsidRDefault="006F2A61" w:rsidP="00C96B66">
            <w:pPr>
              <w:rPr>
                <w:rFonts w:eastAsia="Times" w:cs="Arial"/>
                <w:b/>
              </w:rPr>
            </w:pPr>
          </w:p>
        </w:tc>
      </w:tr>
      <w:tr w:rsidR="006F2A61" w:rsidRPr="00F25D8F" w14:paraId="099A3EE0" w14:textId="77777777" w:rsidTr="00C96B66">
        <w:tc>
          <w:tcPr>
            <w:tcW w:w="877" w:type="dxa"/>
          </w:tcPr>
          <w:p w14:paraId="25C76AE1" w14:textId="77777777" w:rsidR="006F2A61" w:rsidRPr="007B1D80" w:rsidRDefault="006F2A61" w:rsidP="00C96B66">
            <w:pPr>
              <w:rPr>
                <w:rFonts w:eastAsia="Times" w:cs="Arial"/>
                <w:b/>
              </w:rPr>
            </w:pPr>
          </w:p>
        </w:tc>
        <w:tc>
          <w:tcPr>
            <w:tcW w:w="6854" w:type="dxa"/>
          </w:tcPr>
          <w:p w14:paraId="6E5BF920" w14:textId="77777777" w:rsidR="006F2A61" w:rsidRDefault="006F2A61" w:rsidP="00C96B66">
            <w:pPr>
              <w:jc w:val="both"/>
              <w:rPr>
                <w:rFonts w:eastAsia="Times" w:cs="Arial"/>
              </w:rPr>
            </w:pPr>
            <w:r w:rsidRPr="002027D9">
              <w:rPr>
                <w:rFonts w:eastAsia="Times" w:cs="Arial"/>
              </w:rPr>
              <w:t xml:space="preserve">John Joe O’Boyle </w:t>
            </w:r>
            <w:r>
              <w:rPr>
                <w:rFonts w:eastAsia="Times" w:cs="Arial"/>
              </w:rPr>
              <w:t>introduced the</w:t>
            </w:r>
            <w:r w:rsidRPr="002027D9">
              <w:rPr>
                <w:rFonts w:eastAsia="Times" w:cs="Arial"/>
              </w:rPr>
              <w:t xml:space="preserve"> </w:t>
            </w:r>
            <w:r>
              <w:rPr>
                <w:rFonts w:eastAsia="Times" w:cs="Arial"/>
              </w:rPr>
              <w:t>Plant Health risk.</w:t>
            </w:r>
            <w:r w:rsidRPr="002027D9">
              <w:rPr>
                <w:rFonts w:eastAsia="Times" w:cs="Arial"/>
              </w:rPr>
              <w:t xml:space="preserve"> </w:t>
            </w:r>
            <w:r>
              <w:rPr>
                <w:rFonts w:eastAsia="Times" w:cs="Arial"/>
              </w:rPr>
              <w:t>The Committee discussed where best this risk should be captured and dealt with.</w:t>
            </w:r>
          </w:p>
          <w:p w14:paraId="59713417" w14:textId="77777777" w:rsidR="006F2A61" w:rsidRDefault="006F2A61" w:rsidP="00C96B66">
            <w:pPr>
              <w:jc w:val="both"/>
              <w:rPr>
                <w:rFonts w:eastAsia="Times" w:cs="Arial"/>
              </w:rPr>
            </w:pPr>
          </w:p>
          <w:p w14:paraId="66E82CBF" w14:textId="77777777" w:rsidR="006F2A61" w:rsidRDefault="006F2A61" w:rsidP="00C96B66">
            <w:pPr>
              <w:jc w:val="both"/>
              <w:rPr>
                <w:rFonts w:eastAsia="Times" w:cs="Arial"/>
              </w:rPr>
            </w:pPr>
            <w:r w:rsidRPr="007A1C7E">
              <w:rPr>
                <w:rFonts w:eastAsia="Times" w:cs="Arial"/>
                <w:b/>
              </w:rPr>
              <w:t>Action Point:</w:t>
            </w:r>
            <w:r>
              <w:rPr>
                <w:rFonts w:eastAsia="Times" w:cs="Arial"/>
              </w:rPr>
              <w:t xml:space="preserve"> John Joe O’Boyle and Derek Williamson to look at where this risk should sit. Can it be captured under the Brexit risk?</w:t>
            </w:r>
          </w:p>
          <w:p w14:paraId="740985C8" w14:textId="77777777" w:rsidR="006F2A61" w:rsidRDefault="006F2A61" w:rsidP="00C96B66">
            <w:pPr>
              <w:jc w:val="both"/>
              <w:rPr>
                <w:rFonts w:eastAsia="Times" w:cs="Arial"/>
              </w:rPr>
            </w:pPr>
          </w:p>
          <w:p w14:paraId="37DCD353" w14:textId="18B32E36" w:rsidR="006F2A61" w:rsidRDefault="006F2A61" w:rsidP="00C96B66">
            <w:pPr>
              <w:jc w:val="both"/>
              <w:rPr>
                <w:rFonts w:eastAsia="Times" w:cs="Arial"/>
                <w:b/>
              </w:rPr>
            </w:pPr>
            <w:r>
              <w:rPr>
                <w:rFonts w:eastAsia="Times" w:cs="Arial"/>
              </w:rPr>
              <w:t>John Joe O’Boyle to rephrase additional actions to remove reference to ‘hard border’.</w:t>
            </w:r>
          </w:p>
          <w:p w14:paraId="0597AF7E" w14:textId="77777777" w:rsidR="006F2A61" w:rsidRPr="00FE53AF" w:rsidRDefault="006F2A61" w:rsidP="00C96B66">
            <w:pPr>
              <w:jc w:val="both"/>
              <w:rPr>
                <w:rFonts w:eastAsia="Times" w:cs="Arial"/>
                <w:b/>
              </w:rPr>
            </w:pPr>
          </w:p>
        </w:tc>
        <w:tc>
          <w:tcPr>
            <w:tcW w:w="2463" w:type="dxa"/>
          </w:tcPr>
          <w:p w14:paraId="2734263A" w14:textId="77777777" w:rsidR="006F2A61" w:rsidRDefault="006F2A61" w:rsidP="00C96B66">
            <w:pPr>
              <w:rPr>
                <w:rFonts w:eastAsia="Times" w:cs="Arial"/>
                <w:b/>
              </w:rPr>
            </w:pPr>
          </w:p>
          <w:p w14:paraId="16AB546B" w14:textId="77777777" w:rsidR="006F2A61" w:rsidRDefault="006F2A61" w:rsidP="00C96B66">
            <w:pPr>
              <w:rPr>
                <w:rFonts w:eastAsia="Times" w:cs="Arial"/>
                <w:b/>
              </w:rPr>
            </w:pPr>
          </w:p>
          <w:p w14:paraId="45D23C13" w14:textId="77777777" w:rsidR="006F2A61" w:rsidRDefault="006F2A61" w:rsidP="00C96B66">
            <w:pPr>
              <w:rPr>
                <w:rFonts w:eastAsia="Times" w:cs="Arial"/>
                <w:b/>
              </w:rPr>
            </w:pPr>
          </w:p>
          <w:p w14:paraId="2D578F60" w14:textId="77777777" w:rsidR="006F2A61" w:rsidRDefault="006F2A61" w:rsidP="00C96B66">
            <w:pPr>
              <w:rPr>
                <w:rFonts w:eastAsia="Times" w:cs="Arial"/>
                <w:b/>
              </w:rPr>
            </w:pPr>
          </w:p>
          <w:p w14:paraId="132433FD" w14:textId="77777777" w:rsidR="006F2A61" w:rsidRDefault="006F2A61" w:rsidP="00C96B66">
            <w:pPr>
              <w:rPr>
                <w:rFonts w:eastAsia="Times" w:cs="Arial"/>
                <w:b/>
              </w:rPr>
            </w:pPr>
            <w:r>
              <w:rPr>
                <w:rFonts w:eastAsia="Times" w:cs="Arial"/>
                <w:b/>
              </w:rPr>
              <w:t>John Joe O’Boyle / Derek Williamson</w:t>
            </w:r>
          </w:p>
          <w:p w14:paraId="6EEB29C7" w14:textId="77777777" w:rsidR="006F2A61" w:rsidRDefault="006F2A61" w:rsidP="00C96B66">
            <w:pPr>
              <w:rPr>
                <w:rFonts w:eastAsia="Times" w:cs="Arial"/>
                <w:b/>
              </w:rPr>
            </w:pPr>
          </w:p>
          <w:p w14:paraId="4EAEB253" w14:textId="77777777" w:rsidR="006F2A61" w:rsidRDefault="006F2A61" w:rsidP="00C96B66">
            <w:pPr>
              <w:rPr>
                <w:rFonts w:eastAsia="Times" w:cs="Arial"/>
                <w:b/>
              </w:rPr>
            </w:pPr>
          </w:p>
          <w:p w14:paraId="1EFBFDE2" w14:textId="77777777" w:rsidR="006F2A61" w:rsidRDefault="006F2A61" w:rsidP="00C96B66">
            <w:pPr>
              <w:rPr>
                <w:rFonts w:eastAsia="Times" w:cs="Arial"/>
                <w:b/>
              </w:rPr>
            </w:pPr>
            <w:r>
              <w:rPr>
                <w:rFonts w:eastAsia="Times" w:cs="Arial"/>
                <w:b/>
              </w:rPr>
              <w:t>John Joe O’Boyle</w:t>
            </w:r>
          </w:p>
          <w:p w14:paraId="444797E0" w14:textId="77777777" w:rsidR="006F2A61" w:rsidRPr="00F25D8F" w:rsidRDefault="006F2A61" w:rsidP="00C96B66">
            <w:pPr>
              <w:rPr>
                <w:rFonts w:eastAsia="Times" w:cs="Arial"/>
                <w:b/>
              </w:rPr>
            </w:pPr>
          </w:p>
        </w:tc>
      </w:tr>
      <w:tr w:rsidR="006F2A61" w:rsidRPr="00F25D8F" w14:paraId="0A583050" w14:textId="77777777" w:rsidTr="00C96B66">
        <w:tc>
          <w:tcPr>
            <w:tcW w:w="877" w:type="dxa"/>
          </w:tcPr>
          <w:p w14:paraId="7D6ACA53" w14:textId="77777777" w:rsidR="006F2A61" w:rsidRPr="007B1D80" w:rsidRDefault="006F2A61" w:rsidP="00C96B66">
            <w:pPr>
              <w:rPr>
                <w:rFonts w:eastAsia="Times" w:cs="Arial"/>
                <w:b/>
              </w:rPr>
            </w:pPr>
          </w:p>
        </w:tc>
        <w:tc>
          <w:tcPr>
            <w:tcW w:w="6854" w:type="dxa"/>
          </w:tcPr>
          <w:p w14:paraId="04E0BFC7" w14:textId="77777777" w:rsidR="006F2A61" w:rsidRPr="00FE53AF" w:rsidRDefault="006F2A61" w:rsidP="00C96B66">
            <w:pPr>
              <w:jc w:val="both"/>
              <w:rPr>
                <w:rFonts w:eastAsia="Times" w:cs="Arial"/>
                <w:b/>
              </w:rPr>
            </w:pPr>
            <w:r>
              <w:rPr>
                <w:rFonts w:eastAsia="Times" w:cs="Arial"/>
                <w:b/>
              </w:rPr>
              <w:t>Risk 7a – Conformity Audits (IACS)</w:t>
            </w:r>
          </w:p>
        </w:tc>
        <w:tc>
          <w:tcPr>
            <w:tcW w:w="2463" w:type="dxa"/>
          </w:tcPr>
          <w:p w14:paraId="3D29DEE1" w14:textId="77777777" w:rsidR="006F2A61" w:rsidRPr="00F25D8F" w:rsidRDefault="006F2A61" w:rsidP="00C96B66">
            <w:pPr>
              <w:rPr>
                <w:rFonts w:eastAsia="Times" w:cs="Arial"/>
              </w:rPr>
            </w:pPr>
          </w:p>
        </w:tc>
      </w:tr>
      <w:tr w:rsidR="006F2A61" w:rsidRPr="00F25D8F" w14:paraId="08A5A676" w14:textId="77777777" w:rsidTr="00C96B66">
        <w:tc>
          <w:tcPr>
            <w:tcW w:w="877" w:type="dxa"/>
          </w:tcPr>
          <w:p w14:paraId="744226FB" w14:textId="77777777" w:rsidR="006F2A61" w:rsidRPr="007B1D80" w:rsidRDefault="006F2A61" w:rsidP="00C96B66">
            <w:pPr>
              <w:rPr>
                <w:rFonts w:eastAsia="Times" w:cs="Arial"/>
                <w:b/>
              </w:rPr>
            </w:pPr>
          </w:p>
        </w:tc>
        <w:tc>
          <w:tcPr>
            <w:tcW w:w="6854" w:type="dxa"/>
          </w:tcPr>
          <w:p w14:paraId="28DE54AF" w14:textId="138B9B47" w:rsidR="006F2A61" w:rsidRDefault="006F2A61" w:rsidP="00C96B66">
            <w:pPr>
              <w:jc w:val="both"/>
              <w:rPr>
                <w:rFonts w:eastAsia="Times" w:cs="Arial"/>
              </w:rPr>
            </w:pPr>
            <w:r>
              <w:rPr>
                <w:rFonts w:eastAsia="Times" w:cs="Arial"/>
              </w:rPr>
              <w:t xml:space="preserve">Gareth Evans introduced this risk and confirmed that this risk was captured and managed in multiple places. Chair asked that it be noted that this risk may be looked at as part of the review of risk and it may be more appropriate for it to be dealt with by </w:t>
            </w:r>
            <w:r>
              <w:rPr>
                <w:rFonts w:eastAsia="Times" w:cs="Arial"/>
              </w:rPr>
              <w:lastRenderedPageBreak/>
              <w:t xml:space="preserve">Jason Foy and the PAAC Risk Register. Risk to remain on </w:t>
            </w:r>
            <w:r w:rsidR="00CC46A3">
              <w:rPr>
                <w:rFonts w:eastAsia="Times" w:cs="Arial"/>
              </w:rPr>
              <w:t xml:space="preserve">CRR </w:t>
            </w:r>
            <w:r>
              <w:rPr>
                <w:rFonts w:eastAsia="Times" w:cs="Arial"/>
              </w:rPr>
              <w:t>for now.</w:t>
            </w:r>
          </w:p>
          <w:p w14:paraId="74638DD2" w14:textId="77777777" w:rsidR="006F2A61" w:rsidRDefault="006F2A61" w:rsidP="00C96B66">
            <w:pPr>
              <w:jc w:val="both"/>
              <w:rPr>
                <w:rFonts w:eastAsia="Times" w:cs="Arial"/>
              </w:rPr>
            </w:pPr>
          </w:p>
          <w:p w14:paraId="2A449FBC" w14:textId="77777777" w:rsidR="006F2A61" w:rsidRPr="00FE53AF" w:rsidRDefault="006F2A61" w:rsidP="00C96B66">
            <w:pPr>
              <w:jc w:val="both"/>
              <w:rPr>
                <w:rFonts w:eastAsia="Times" w:cs="Arial"/>
                <w:b/>
              </w:rPr>
            </w:pPr>
            <w:r>
              <w:rPr>
                <w:rFonts w:eastAsia="Times" w:cs="Arial"/>
              </w:rPr>
              <w:t>R</w:t>
            </w:r>
            <w:r w:rsidRPr="006C5EB3">
              <w:rPr>
                <w:rFonts w:eastAsia="Times" w:cs="Arial"/>
              </w:rPr>
              <w:t>isk rating</w:t>
            </w:r>
            <w:r>
              <w:rPr>
                <w:rFonts w:eastAsia="Times" w:cs="Arial"/>
              </w:rPr>
              <w:t xml:space="preserve"> remains amber</w:t>
            </w:r>
            <w:r w:rsidRPr="006C5EB3">
              <w:rPr>
                <w:rFonts w:eastAsia="Times" w:cs="Arial"/>
              </w:rPr>
              <w:t>.</w:t>
            </w:r>
          </w:p>
        </w:tc>
        <w:tc>
          <w:tcPr>
            <w:tcW w:w="2463" w:type="dxa"/>
          </w:tcPr>
          <w:p w14:paraId="25B0BF3F" w14:textId="77777777" w:rsidR="006F2A61" w:rsidRPr="00F25D8F" w:rsidRDefault="006F2A61" w:rsidP="00C96B66">
            <w:pPr>
              <w:rPr>
                <w:rFonts w:eastAsia="Times" w:cs="Arial"/>
              </w:rPr>
            </w:pPr>
          </w:p>
        </w:tc>
      </w:tr>
      <w:tr w:rsidR="006F2A61" w:rsidRPr="00F25D8F" w14:paraId="59CB5EC1" w14:textId="77777777" w:rsidTr="00C96B66">
        <w:tc>
          <w:tcPr>
            <w:tcW w:w="877" w:type="dxa"/>
          </w:tcPr>
          <w:p w14:paraId="55EFB6C9" w14:textId="77777777" w:rsidR="006F2A61" w:rsidRPr="007B1D80" w:rsidRDefault="006F2A61" w:rsidP="00C96B66">
            <w:pPr>
              <w:rPr>
                <w:rFonts w:eastAsia="Times" w:cs="Arial"/>
                <w:b/>
              </w:rPr>
            </w:pPr>
          </w:p>
        </w:tc>
        <w:tc>
          <w:tcPr>
            <w:tcW w:w="6854" w:type="dxa"/>
          </w:tcPr>
          <w:p w14:paraId="68442684" w14:textId="77777777" w:rsidR="006F2A61" w:rsidRPr="00FE53AF" w:rsidRDefault="006F2A61" w:rsidP="00C96B66">
            <w:pPr>
              <w:tabs>
                <w:tab w:val="left" w:pos="6807"/>
              </w:tabs>
              <w:jc w:val="both"/>
              <w:rPr>
                <w:rFonts w:eastAsia="Times" w:cs="Arial"/>
                <w:b/>
              </w:rPr>
            </w:pPr>
            <w:r>
              <w:rPr>
                <w:rFonts w:eastAsia="Times" w:cs="Arial"/>
                <w:b/>
              </w:rPr>
              <w:t>Risk 7b - Conformity Audits (Non IACS)</w:t>
            </w:r>
          </w:p>
        </w:tc>
        <w:tc>
          <w:tcPr>
            <w:tcW w:w="2463" w:type="dxa"/>
          </w:tcPr>
          <w:p w14:paraId="19868C91" w14:textId="77777777" w:rsidR="006F2A61" w:rsidRPr="007B1D80" w:rsidRDefault="006F2A61" w:rsidP="00C96B66">
            <w:pPr>
              <w:rPr>
                <w:rFonts w:eastAsia="Times" w:cs="Arial"/>
                <w:b/>
              </w:rPr>
            </w:pPr>
          </w:p>
        </w:tc>
      </w:tr>
      <w:tr w:rsidR="006F2A61" w:rsidRPr="00F25D8F" w14:paraId="5090918B" w14:textId="77777777" w:rsidTr="00C96B66">
        <w:tc>
          <w:tcPr>
            <w:tcW w:w="877" w:type="dxa"/>
          </w:tcPr>
          <w:p w14:paraId="69FF0846" w14:textId="77777777" w:rsidR="006F2A61" w:rsidRPr="007B1D80" w:rsidRDefault="006F2A61" w:rsidP="00C96B66">
            <w:pPr>
              <w:rPr>
                <w:rFonts w:eastAsia="Times" w:cs="Arial"/>
                <w:b/>
              </w:rPr>
            </w:pPr>
          </w:p>
        </w:tc>
        <w:tc>
          <w:tcPr>
            <w:tcW w:w="6854" w:type="dxa"/>
          </w:tcPr>
          <w:p w14:paraId="77ED506D" w14:textId="77777777" w:rsidR="006F2A61" w:rsidRDefault="006F2A61" w:rsidP="00C96B66">
            <w:pPr>
              <w:tabs>
                <w:tab w:val="left" w:pos="6807"/>
              </w:tabs>
              <w:jc w:val="both"/>
              <w:rPr>
                <w:rFonts w:eastAsia="Times" w:cs="Arial"/>
              </w:rPr>
            </w:pPr>
            <w:r>
              <w:rPr>
                <w:rFonts w:eastAsia="Times" w:cs="Arial"/>
              </w:rPr>
              <w:t xml:space="preserve">Chair noted that likelihood of this risk remained medium due to the EFS issues previously discussed. </w:t>
            </w:r>
          </w:p>
          <w:p w14:paraId="66334E1F" w14:textId="77777777" w:rsidR="006F2A61" w:rsidRDefault="006F2A61" w:rsidP="00C96B66">
            <w:pPr>
              <w:tabs>
                <w:tab w:val="left" w:pos="6807"/>
              </w:tabs>
              <w:jc w:val="both"/>
              <w:rPr>
                <w:rFonts w:eastAsia="Times" w:cs="Arial"/>
              </w:rPr>
            </w:pPr>
          </w:p>
          <w:p w14:paraId="5948E416" w14:textId="317FC0E6" w:rsidR="006F2A61" w:rsidRDefault="006F2A61" w:rsidP="00C96B66">
            <w:pPr>
              <w:tabs>
                <w:tab w:val="left" w:pos="6807"/>
              </w:tabs>
              <w:jc w:val="both"/>
              <w:rPr>
                <w:rFonts w:eastAsia="Times" w:cs="Arial"/>
              </w:rPr>
            </w:pPr>
            <w:r w:rsidRPr="00AC7776">
              <w:rPr>
                <w:rFonts w:eastAsia="Times" w:cs="Arial"/>
                <w:b/>
              </w:rPr>
              <w:t>Action Point:</w:t>
            </w:r>
            <w:r>
              <w:rPr>
                <w:rFonts w:eastAsia="Times" w:cs="Arial"/>
              </w:rPr>
              <w:t xml:space="preserve"> Chair asked that additional actions be </w:t>
            </w:r>
            <w:r w:rsidR="00CC1AEB">
              <w:rPr>
                <w:rFonts w:eastAsia="Times" w:cs="Arial"/>
              </w:rPr>
              <w:t>considered/added</w:t>
            </w:r>
            <w:r>
              <w:rPr>
                <w:rFonts w:eastAsia="Times" w:cs="Arial"/>
              </w:rPr>
              <w:t>.</w:t>
            </w:r>
          </w:p>
          <w:p w14:paraId="5C62FE40" w14:textId="77777777" w:rsidR="006F2A61" w:rsidRDefault="006F2A61" w:rsidP="00C96B66">
            <w:pPr>
              <w:tabs>
                <w:tab w:val="left" w:pos="6807"/>
              </w:tabs>
              <w:jc w:val="both"/>
              <w:rPr>
                <w:rFonts w:eastAsia="Times" w:cs="Arial"/>
              </w:rPr>
            </w:pPr>
          </w:p>
          <w:p w14:paraId="5CC0CA6B" w14:textId="77777777" w:rsidR="006F2A61" w:rsidRDefault="006F2A61" w:rsidP="00C96B66">
            <w:pPr>
              <w:tabs>
                <w:tab w:val="left" w:pos="6807"/>
              </w:tabs>
              <w:jc w:val="both"/>
              <w:rPr>
                <w:rFonts w:eastAsia="Times" w:cs="Arial"/>
              </w:rPr>
            </w:pPr>
            <w:r>
              <w:rPr>
                <w:rFonts w:eastAsia="Times" w:cs="Arial"/>
              </w:rPr>
              <w:t>R</w:t>
            </w:r>
            <w:r w:rsidRPr="00C352B2">
              <w:rPr>
                <w:rFonts w:eastAsia="Times" w:cs="Arial"/>
              </w:rPr>
              <w:t>isk rating</w:t>
            </w:r>
            <w:r>
              <w:rPr>
                <w:rFonts w:eastAsia="Times" w:cs="Arial"/>
              </w:rPr>
              <w:t xml:space="preserve"> remains amber</w:t>
            </w:r>
            <w:r w:rsidRPr="00C352B2">
              <w:rPr>
                <w:rFonts w:eastAsia="Times" w:cs="Arial"/>
              </w:rPr>
              <w:t>.</w:t>
            </w:r>
          </w:p>
          <w:p w14:paraId="6B225DA9" w14:textId="77777777" w:rsidR="006F2A61" w:rsidRPr="00FE53AF" w:rsidRDefault="006F2A61" w:rsidP="00C96B66">
            <w:pPr>
              <w:tabs>
                <w:tab w:val="left" w:pos="6807"/>
              </w:tabs>
              <w:jc w:val="both"/>
              <w:rPr>
                <w:rFonts w:eastAsia="Times" w:cs="Arial"/>
                <w:b/>
              </w:rPr>
            </w:pPr>
          </w:p>
        </w:tc>
        <w:tc>
          <w:tcPr>
            <w:tcW w:w="2463" w:type="dxa"/>
          </w:tcPr>
          <w:p w14:paraId="207000BA" w14:textId="77777777" w:rsidR="006F2A61" w:rsidRDefault="006F2A61" w:rsidP="00C96B66">
            <w:pPr>
              <w:rPr>
                <w:rFonts w:eastAsia="Times" w:cs="Arial"/>
                <w:b/>
              </w:rPr>
            </w:pPr>
          </w:p>
          <w:p w14:paraId="03D89B71" w14:textId="77777777" w:rsidR="006F2A61" w:rsidRDefault="006F2A61" w:rsidP="00C96B66">
            <w:pPr>
              <w:rPr>
                <w:rFonts w:eastAsia="Times" w:cs="Arial"/>
                <w:b/>
              </w:rPr>
            </w:pPr>
          </w:p>
          <w:p w14:paraId="27CFF68C" w14:textId="77777777" w:rsidR="006F2A61" w:rsidRDefault="006F2A61" w:rsidP="00C96B66">
            <w:pPr>
              <w:rPr>
                <w:rFonts w:eastAsia="Times" w:cs="Arial"/>
                <w:b/>
              </w:rPr>
            </w:pPr>
          </w:p>
          <w:p w14:paraId="7032310C" w14:textId="77777777" w:rsidR="006F2A61" w:rsidRPr="007B1D80" w:rsidRDefault="006F2A61" w:rsidP="00C96B66">
            <w:pPr>
              <w:rPr>
                <w:rFonts w:eastAsia="Times" w:cs="Arial"/>
                <w:b/>
              </w:rPr>
            </w:pPr>
            <w:r>
              <w:rPr>
                <w:rFonts w:eastAsia="Times" w:cs="Arial"/>
                <w:b/>
              </w:rPr>
              <w:t>Colette McMaster</w:t>
            </w:r>
          </w:p>
        </w:tc>
      </w:tr>
      <w:tr w:rsidR="006F2A61" w:rsidRPr="00F25D8F" w14:paraId="48F098C7" w14:textId="77777777" w:rsidTr="00C96B66">
        <w:tc>
          <w:tcPr>
            <w:tcW w:w="877" w:type="dxa"/>
          </w:tcPr>
          <w:p w14:paraId="552C68D2" w14:textId="77777777" w:rsidR="006F2A61" w:rsidRPr="007B1D80" w:rsidRDefault="006F2A61" w:rsidP="00C96B66">
            <w:pPr>
              <w:rPr>
                <w:rFonts w:eastAsia="Times" w:cs="Arial"/>
                <w:b/>
              </w:rPr>
            </w:pPr>
          </w:p>
        </w:tc>
        <w:tc>
          <w:tcPr>
            <w:tcW w:w="6854" w:type="dxa"/>
          </w:tcPr>
          <w:p w14:paraId="23BE2CA3" w14:textId="77777777" w:rsidR="006F2A61" w:rsidRPr="00FE53AF" w:rsidRDefault="006F2A61" w:rsidP="00C96B66">
            <w:pPr>
              <w:tabs>
                <w:tab w:val="left" w:pos="6807"/>
              </w:tabs>
              <w:jc w:val="both"/>
              <w:rPr>
                <w:rFonts w:eastAsia="Times" w:cs="Arial"/>
                <w:b/>
              </w:rPr>
            </w:pPr>
            <w:r w:rsidRPr="00FE53AF">
              <w:rPr>
                <w:rFonts w:eastAsia="Times" w:cs="Arial"/>
                <w:b/>
              </w:rPr>
              <w:t xml:space="preserve">Risk </w:t>
            </w:r>
            <w:r>
              <w:rPr>
                <w:rFonts w:eastAsia="Times" w:cs="Arial"/>
                <w:b/>
              </w:rPr>
              <w:t xml:space="preserve">8 - </w:t>
            </w:r>
            <w:proofErr w:type="spellStart"/>
            <w:r>
              <w:rPr>
                <w:rFonts w:eastAsia="Times" w:cs="Arial"/>
                <w:b/>
              </w:rPr>
              <w:t>Mobuoy</w:t>
            </w:r>
            <w:proofErr w:type="spellEnd"/>
          </w:p>
        </w:tc>
        <w:tc>
          <w:tcPr>
            <w:tcW w:w="2463" w:type="dxa"/>
          </w:tcPr>
          <w:p w14:paraId="51C335B7" w14:textId="77777777" w:rsidR="006F2A61" w:rsidRPr="007B1D80" w:rsidRDefault="006F2A61" w:rsidP="00C96B66">
            <w:pPr>
              <w:rPr>
                <w:rFonts w:eastAsia="Times" w:cs="Arial"/>
                <w:b/>
              </w:rPr>
            </w:pPr>
          </w:p>
        </w:tc>
      </w:tr>
      <w:tr w:rsidR="006F2A61" w:rsidRPr="00F25D8F" w14:paraId="1F092044" w14:textId="77777777" w:rsidTr="00C96B66">
        <w:tc>
          <w:tcPr>
            <w:tcW w:w="877" w:type="dxa"/>
          </w:tcPr>
          <w:p w14:paraId="5121E854" w14:textId="77777777" w:rsidR="006F2A61" w:rsidRPr="007B1D80" w:rsidRDefault="006F2A61" w:rsidP="00C96B66">
            <w:pPr>
              <w:rPr>
                <w:rFonts w:eastAsia="Times" w:cs="Arial"/>
                <w:b/>
              </w:rPr>
            </w:pPr>
          </w:p>
        </w:tc>
        <w:tc>
          <w:tcPr>
            <w:tcW w:w="6854" w:type="dxa"/>
          </w:tcPr>
          <w:p w14:paraId="1CDAB6C9" w14:textId="3AED17AC" w:rsidR="006F2A61" w:rsidRDefault="006F2A61" w:rsidP="00C96B66">
            <w:pPr>
              <w:jc w:val="both"/>
              <w:rPr>
                <w:rFonts w:eastAsia="Times" w:cs="Arial"/>
              </w:rPr>
            </w:pPr>
            <w:r>
              <w:rPr>
                <w:rFonts w:eastAsia="Times" w:cs="Arial"/>
              </w:rPr>
              <w:t>Theresa Kearney updated colleagues on this risk and confirmed the criminal trial is due to start 4 November.</w:t>
            </w:r>
            <w:r w:rsidR="00CC1AEB">
              <w:rPr>
                <w:rFonts w:eastAsia="Times" w:cs="Arial"/>
              </w:rPr>
              <w:t xml:space="preserve"> Chair noted this is an exemplar of good project management.</w:t>
            </w:r>
          </w:p>
          <w:p w14:paraId="0DA2EF73" w14:textId="77777777" w:rsidR="006F2A61" w:rsidRDefault="006F2A61" w:rsidP="00C96B66">
            <w:pPr>
              <w:jc w:val="both"/>
              <w:rPr>
                <w:rFonts w:eastAsia="Times" w:cs="Arial"/>
              </w:rPr>
            </w:pPr>
          </w:p>
          <w:p w14:paraId="3EC8CB9F" w14:textId="77777777" w:rsidR="006F2A61" w:rsidRDefault="006F2A61" w:rsidP="00C96B66">
            <w:pPr>
              <w:jc w:val="both"/>
              <w:rPr>
                <w:rFonts w:eastAsia="Times" w:cs="Arial"/>
              </w:rPr>
            </w:pPr>
            <w:r>
              <w:rPr>
                <w:rFonts w:eastAsia="Times" w:cs="Arial"/>
              </w:rPr>
              <w:t>Risk rating remains Amber.</w:t>
            </w:r>
          </w:p>
          <w:p w14:paraId="3838591F" w14:textId="77777777" w:rsidR="006F2A61" w:rsidRDefault="006F2A61" w:rsidP="00C96B66">
            <w:pPr>
              <w:jc w:val="both"/>
              <w:rPr>
                <w:rFonts w:eastAsia="Times" w:cs="Arial"/>
              </w:rPr>
            </w:pPr>
          </w:p>
          <w:p w14:paraId="64BFC33D" w14:textId="77777777" w:rsidR="006F2A61" w:rsidRDefault="006F2A61" w:rsidP="00C96B66">
            <w:pPr>
              <w:jc w:val="both"/>
              <w:rPr>
                <w:rFonts w:eastAsia="Times" w:cs="Arial"/>
              </w:rPr>
            </w:pPr>
            <w:r w:rsidRPr="00AC7776">
              <w:rPr>
                <w:rFonts w:eastAsia="Times" w:cs="Arial"/>
                <w:b/>
              </w:rPr>
              <w:t>Action Point:</w:t>
            </w:r>
            <w:r>
              <w:rPr>
                <w:rFonts w:eastAsia="Times" w:cs="Arial"/>
              </w:rPr>
              <w:t xml:space="preserve"> Additional actions to be updated to include 2</w:t>
            </w:r>
            <w:r w:rsidRPr="00AC7776">
              <w:rPr>
                <w:rFonts w:eastAsia="Times" w:cs="Arial"/>
                <w:vertAlign w:val="superscript"/>
              </w:rPr>
              <w:t>nd</w:t>
            </w:r>
            <w:r>
              <w:rPr>
                <w:rFonts w:eastAsia="Times" w:cs="Arial"/>
              </w:rPr>
              <w:t xml:space="preserve"> OBC and getting advice on Procurement and criminal case considerations.</w:t>
            </w:r>
          </w:p>
          <w:p w14:paraId="2BB1F838" w14:textId="77777777" w:rsidR="006F2A61" w:rsidRPr="00FE53AF" w:rsidRDefault="006F2A61" w:rsidP="00C96B66">
            <w:pPr>
              <w:jc w:val="both"/>
              <w:rPr>
                <w:rFonts w:eastAsia="Times" w:cs="Arial"/>
                <w:b/>
              </w:rPr>
            </w:pPr>
          </w:p>
        </w:tc>
        <w:tc>
          <w:tcPr>
            <w:tcW w:w="2463" w:type="dxa"/>
          </w:tcPr>
          <w:p w14:paraId="658C35E3" w14:textId="77777777" w:rsidR="006F2A61" w:rsidRDefault="006F2A61" w:rsidP="00C96B66">
            <w:pPr>
              <w:rPr>
                <w:rFonts w:eastAsia="Times" w:cs="Arial"/>
              </w:rPr>
            </w:pPr>
          </w:p>
          <w:p w14:paraId="4EFC327C" w14:textId="77777777" w:rsidR="006F2A61" w:rsidRDefault="006F2A61" w:rsidP="00C96B66">
            <w:pPr>
              <w:rPr>
                <w:rFonts w:eastAsia="Times" w:cs="Arial"/>
              </w:rPr>
            </w:pPr>
          </w:p>
          <w:p w14:paraId="3C29A3E7" w14:textId="77777777" w:rsidR="006F2A61" w:rsidRDefault="006F2A61" w:rsidP="00C96B66">
            <w:pPr>
              <w:rPr>
                <w:rFonts w:eastAsia="Times" w:cs="Arial"/>
              </w:rPr>
            </w:pPr>
          </w:p>
          <w:p w14:paraId="24819B21" w14:textId="77777777" w:rsidR="006F2A61" w:rsidRDefault="006F2A61" w:rsidP="00C96B66">
            <w:pPr>
              <w:rPr>
                <w:rFonts w:eastAsia="Times" w:cs="Arial"/>
              </w:rPr>
            </w:pPr>
          </w:p>
          <w:p w14:paraId="1B28FC09" w14:textId="77777777" w:rsidR="006F2A61" w:rsidRDefault="006F2A61" w:rsidP="00C96B66">
            <w:pPr>
              <w:rPr>
                <w:rFonts w:eastAsia="Times" w:cs="Arial"/>
              </w:rPr>
            </w:pPr>
          </w:p>
          <w:p w14:paraId="0D181465" w14:textId="77777777" w:rsidR="009D2766" w:rsidRDefault="009D2766" w:rsidP="00C96B66">
            <w:pPr>
              <w:rPr>
                <w:rFonts w:eastAsia="Times" w:cs="Arial"/>
                <w:b/>
              </w:rPr>
            </w:pPr>
          </w:p>
          <w:p w14:paraId="0E599DD8" w14:textId="77777777" w:rsidR="006F2A61" w:rsidRPr="00AC7776" w:rsidRDefault="006F2A61" w:rsidP="00C96B66">
            <w:pPr>
              <w:rPr>
                <w:rFonts w:eastAsia="Times" w:cs="Arial"/>
                <w:b/>
              </w:rPr>
            </w:pPr>
            <w:r w:rsidRPr="00AC7776">
              <w:rPr>
                <w:rFonts w:eastAsia="Times" w:cs="Arial"/>
                <w:b/>
              </w:rPr>
              <w:t>Tracey Teague</w:t>
            </w:r>
          </w:p>
        </w:tc>
      </w:tr>
      <w:tr w:rsidR="006F2A61" w:rsidRPr="00F25D8F" w14:paraId="7E766777" w14:textId="77777777" w:rsidTr="00C96B66">
        <w:tc>
          <w:tcPr>
            <w:tcW w:w="877" w:type="dxa"/>
          </w:tcPr>
          <w:p w14:paraId="3C279E68" w14:textId="77777777" w:rsidR="006F2A61" w:rsidRPr="007B1D80" w:rsidRDefault="006F2A61" w:rsidP="00C96B66">
            <w:pPr>
              <w:rPr>
                <w:rFonts w:eastAsia="Times" w:cs="Arial"/>
                <w:b/>
              </w:rPr>
            </w:pPr>
          </w:p>
        </w:tc>
        <w:tc>
          <w:tcPr>
            <w:tcW w:w="6854" w:type="dxa"/>
          </w:tcPr>
          <w:p w14:paraId="56F4BD1E" w14:textId="77777777" w:rsidR="006F2A61" w:rsidRPr="00FE53AF" w:rsidRDefault="006F2A61" w:rsidP="00C96B66">
            <w:pPr>
              <w:jc w:val="both"/>
              <w:rPr>
                <w:rFonts w:eastAsia="Times" w:cs="Arial"/>
                <w:b/>
              </w:rPr>
            </w:pPr>
            <w:r w:rsidRPr="00FE53AF">
              <w:rPr>
                <w:rFonts w:eastAsia="Times" w:cs="Arial"/>
                <w:b/>
              </w:rPr>
              <w:t xml:space="preserve">Risk </w:t>
            </w:r>
            <w:r>
              <w:rPr>
                <w:rFonts w:eastAsia="Times" w:cs="Arial"/>
                <w:b/>
              </w:rPr>
              <w:t xml:space="preserve">9 – </w:t>
            </w:r>
            <w:proofErr w:type="spellStart"/>
            <w:r>
              <w:rPr>
                <w:rFonts w:eastAsia="Times" w:cs="Arial"/>
                <w:b/>
              </w:rPr>
              <w:t>bTB</w:t>
            </w:r>
            <w:proofErr w:type="spellEnd"/>
            <w:r>
              <w:rPr>
                <w:rFonts w:eastAsia="Times" w:cs="Arial"/>
                <w:b/>
              </w:rPr>
              <w:t xml:space="preserve"> Eradication</w:t>
            </w:r>
          </w:p>
        </w:tc>
        <w:tc>
          <w:tcPr>
            <w:tcW w:w="2463" w:type="dxa"/>
          </w:tcPr>
          <w:p w14:paraId="060810BA" w14:textId="77777777" w:rsidR="006F2A61" w:rsidRPr="00F25D8F" w:rsidRDefault="006F2A61" w:rsidP="00C96B66">
            <w:pPr>
              <w:rPr>
                <w:rFonts w:eastAsia="Times" w:cs="Arial"/>
              </w:rPr>
            </w:pPr>
          </w:p>
        </w:tc>
      </w:tr>
      <w:tr w:rsidR="006F2A61" w:rsidRPr="00E96242" w14:paraId="17FC5E08" w14:textId="77777777" w:rsidTr="00C96B66">
        <w:tc>
          <w:tcPr>
            <w:tcW w:w="877" w:type="dxa"/>
          </w:tcPr>
          <w:p w14:paraId="1F6C2D67" w14:textId="77777777" w:rsidR="006F2A61" w:rsidRPr="007B1D80" w:rsidRDefault="006F2A61" w:rsidP="00C96B66">
            <w:pPr>
              <w:rPr>
                <w:rFonts w:eastAsia="Times" w:cs="Arial"/>
                <w:b/>
              </w:rPr>
            </w:pPr>
          </w:p>
        </w:tc>
        <w:tc>
          <w:tcPr>
            <w:tcW w:w="6854" w:type="dxa"/>
          </w:tcPr>
          <w:p w14:paraId="141694EC" w14:textId="77777777" w:rsidR="006F2A61" w:rsidRDefault="006F2A61" w:rsidP="00C96B66">
            <w:pPr>
              <w:jc w:val="both"/>
              <w:rPr>
                <w:rFonts w:eastAsia="Times" w:cs="Arial"/>
              </w:rPr>
            </w:pPr>
            <w:r>
              <w:rPr>
                <w:rFonts w:eastAsia="Times" w:cs="Arial"/>
              </w:rPr>
              <w:t xml:space="preserve">Catherine Fisher confirmed that the SDMF had now approved the strategic direction. Discussion then centred around whether it was appropriate to have a 30 year risk on the Register. The risk is the impact of the </w:t>
            </w:r>
            <w:proofErr w:type="spellStart"/>
            <w:r>
              <w:rPr>
                <w:rFonts w:eastAsia="Times" w:cs="Arial"/>
              </w:rPr>
              <w:t>bTB</w:t>
            </w:r>
            <w:proofErr w:type="spellEnd"/>
            <w:r>
              <w:rPr>
                <w:rFonts w:eastAsia="Times" w:cs="Arial"/>
              </w:rPr>
              <w:t xml:space="preserve"> incidence.</w:t>
            </w:r>
          </w:p>
          <w:p w14:paraId="415BE6AB" w14:textId="77777777" w:rsidR="006F2A61" w:rsidRDefault="006F2A61" w:rsidP="00C96B66">
            <w:pPr>
              <w:jc w:val="both"/>
              <w:rPr>
                <w:rFonts w:eastAsia="Times" w:cs="Arial"/>
              </w:rPr>
            </w:pPr>
          </w:p>
          <w:p w14:paraId="7DAD0C27" w14:textId="77777777" w:rsidR="006F2A61" w:rsidRDefault="006F2A61" w:rsidP="00C96B66">
            <w:pPr>
              <w:jc w:val="both"/>
              <w:rPr>
                <w:rFonts w:eastAsia="Times" w:cs="Arial"/>
              </w:rPr>
            </w:pPr>
            <w:r w:rsidRPr="006F2A61">
              <w:rPr>
                <w:rFonts w:eastAsia="Times" w:cs="Arial"/>
                <w:b/>
              </w:rPr>
              <w:t>Action Point:</w:t>
            </w:r>
            <w:r>
              <w:rPr>
                <w:rFonts w:eastAsia="Times" w:cs="Arial"/>
              </w:rPr>
              <w:t xml:space="preserve"> Robert Huey to revisit wording of this risk and reflect the impact if TB rates increase. </w:t>
            </w:r>
          </w:p>
          <w:p w14:paraId="72B832CB" w14:textId="77777777" w:rsidR="006F2A61" w:rsidRPr="000370F9" w:rsidRDefault="006F2A61" w:rsidP="00C96B66">
            <w:pPr>
              <w:jc w:val="both"/>
              <w:rPr>
                <w:rFonts w:eastAsia="Times" w:cs="Arial"/>
              </w:rPr>
            </w:pPr>
          </w:p>
        </w:tc>
        <w:tc>
          <w:tcPr>
            <w:tcW w:w="2463" w:type="dxa"/>
          </w:tcPr>
          <w:p w14:paraId="1F81950D" w14:textId="77777777" w:rsidR="006F2A61" w:rsidRDefault="006F2A61" w:rsidP="00C96B66">
            <w:pPr>
              <w:rPr>
                <w:rFonts w:eastAsia="Times" w:cs="Arial"/>
              </w:rPr>
            </w:pPr>
          </w:p>
          <w:p w14:paraId="493FDE93" w14:textId="77777777" w:rsidR="006F2A61" w:rsidRDefault="006F2A61" w:rsidP="00C96B66">
            <w:pPr>
              <w:rPr>
                <w:rFonts w:eastAsia="Times" w:cs="Arial"/>
              </w:rPr>
            </w:pPr>
          </w:p>
          <w:p w14:paraId="324A98DA" w14:textId="77777777" w:rsidR="006F2A61" w:rsidRDefault="006F2A61" w:rsidP="00C96B66">
            <w:pPr>
              <w:rPr>
                <w:rFonts w:eastAsia="Times" w:cs="Arial"/>
              </w:rPr>
            </w:pPr>
          </w:p>
          <w:p w14:paraId="72D6A8CD" w14:textId="77777777" w:rsidR="006F2A61" w:rsidRDefault="006F2A61" w:rsidP="00C96B66">
            <w:pPr>
              <w:rPr>
                <w:rFonts w:eastAsia="Times" w:cs="Arial"/>
              </w:rPr>
            </w:pPr>
          </w:p>
          <w:p w14:paraId="3016B6DC" w14:textId="77777777" w:rsidR="006F2A61" w:rsidRDefault="006F2A61" w:rsidP="00C96B66">
            <w:pPr>
              <w:rPr>
                <w:rFonts w:eastAsia="Times" w:cs="Arial"/>
              </w:rPr>
            </w:pPr>
          </w:p>
          <w:p w14:paraId="7271EF75" w14:textId="77777777" w:rsidR="006F2A61" w:rsidRPr="00CF7E8C" w:rsidRDefault="006F2A61" w:rsidP="00C96B66">
            <w:pPr>
              <w:rPr>
                <w:rFonts w:eastAsia="Times" w:cs="Arial"/>
                <w:b/>
              </w:rPr>
            </w:pPr>
            <w:r w:rsidRPr="00CF7E8C">
              <w:rPr>
                <w:rFonts w:eastAsia="Times" w:cs="Arial"/>
                <w:b/>
              </w:rPr>
              <w:t>Catherine Fisher/Robert Huey</w:t>
            </w:r>
          </w:p>
        </w:tc>
      </w:tr>
      <w:tr w:rsidR="006F2A61" w:rsidRPr="00F25D8F" w14:paraId="5B73B54F" w14:textId="77777777" w:rsidTr="00C96B66">
        <w:tc>
          <w:tcPr>
            <w:tcW w:w="877" w:type="dxa"/>
          </w:tcPr>
          <w:p w14:paraId="47B01C91" w14:textId="77777777" w:rsidR="006F2A61" w:rsidRPr="007B1D80" w:rsidRDefault="006F2A61" w:rsidP="00C96B66">
            <w:pPr>
              <w:rPr>
                <w:rFonts w:eastAsia="Times" w:cs="Arial"/>
                <w:b/>
              </w:rPr>
            </w:pPr>
          </w:p>
        </w:tc>
        <w:tc>
          <w:tcPr>
            <w:tcW w:w="6854" w:type="dxa"/>
          </w:tcPr>
          <w:p w14:paraId="4A44C157" w14:textId="77777777" w:rsidR="006F2A61" w:rsidRPr="00FE53AF" w:rsidRDefault="006F2A61" w:rsidP="00C96B66">
            <w:pPr>
              <w:jc w:val="both"/>
              <w:rPr>
                <w:rFonts w:eastAsia="Times" w:cs="Arial"/>
                <w:b/>
              </w:rPr>
            </w:pPr>
            <w:r w:rsidRPr="00FE53AF">
              <w:rPr>
                <w:rFonts w:eastAsia="Times" w:cs="Arial"/>
                <w:b/>
              </w:rPr>
              <w:t>Risk 1</w:t>
            </w:r>
            <w:r>
              <w:rPr>
                <w:rFonts w:eastAsia="Times" w:cs="Arial"/>
                <w:b/>
              </w:rPr>
              <w:t>0 - NIFAIS</w:t>
            </w:r>
          </w:p>
        </w:tc>
        <w:tc>
          <w:tcPr>
            <w:tcW w:w="2463" w:type="dxa"/>
          </w:tcPr>
          <w:p w14:paraId="4AB9F834" w14:textId="77777777" w:rsidR="006F2A61" w:rsidRPr="00F25D8F" w:rsidRDefault="006F2A61" w:rsidP="00C96B66">
            <w:pPr>
              <w:rPr>
                <w:rFonts w:eastAsia="Times" w:cs="Arial"/>
              </w:rPr>
            </w:pPr>
          </w:p>
        </w:tc>
      </w:tr>
      <w:tr w:rsidR="006F2A61" w:rsidRPr="00E96242" w14:paraId="3222EB4A" w14:textId="77777777" w:rsidTr="00C96B66">
        <w:tc>
          <w:tcPr>
            <w:tcW w:w="877" w:type="dxa"/>
          </w:tcPr>
          <w:p w14:paraId="00FF906A" w14:textId="77777777" w:rsidR="006F2A61" w:rsidRPr="007B1D80" w:rsidRDefault="006F2A61" w:rsidP="00C96B66">
            <w:pPr>
              <w:rPr>
                <w:rFonts w:eastAsia="Times" w:cs="Arial"/>
                <w:b/>
              </w:rPr>
            </w:pPr>
          </w:p>
        </w:tc>
        <w:tc>
          <w:tcPr>
            <w:tcW w:w="6854" w:type="dxa"/>
          </w:tcPr>
          <w:p w14:paraId="6753D785" w14:textId="77777777" w:rsidR="006F2A61" w:rsidRDefault="006F2A61" w:rsidP="00C96B66">
            <w:pPr>
              <w:jc w:val="both"/>
              <w:rPr>
                <w:rFonts w:eastAsia="Times" w:cs="Arial"/>
              </w:rPr>
            </w:pPr>
            <w:r>
              <w:rPr>
                <w:rFonts w:eastAsia="Times" w:cs="Arial"/>
              </w:rPr>
              <w:t xml:space="preserve">David Torrens reported that this risk had been elevated to DB who have got a paper on the latest position. </w:t>
            </w:r>
          </w:p>
          <w:p w14:paraId="167FFF2F" w14:textId="77777777" w:rsidR="006F2A61" w:rsidRDefault="006F2A61" w:rsidP="00C96B66">
            <w:pPr>
              <w:jc w:val="both"/>
              <w:rPr>
                <w:rFonts w:eastAsia="Times" w:cs="Arial"/>
              </w:rPr>
            </w:pPr>
          </w:p>
          <w:p w14:paraId="476D624D" w14:textId="77777777" w:rsidR="006F2A61" w:rsidRDefault="006F2A61" w:rsidP="00C96B66">
            <w:pPr>
              <w:jc w:val="both"/>
              <w:rPr>
                <w:rFonts w:eastAsia="Times" w:cs="Arial"/>
              </w:rPr>
            </w:pPr>
            <w:r>
              <w:rPr>
                <w:rFonts w:eastAsia="Times" w:cs="Arial"/>
              </w:rPr>
              <w:t>Chair confirmed that this had now gone from a risk to an issue. The issue is being dealt with by DB and the Programme Board and it was agreed this risk be removed from the CRR.</w:t>
            </w:r>
          </w:p>
          <w:p w14:paraId="4A60EE9A" w14:textId="77777777" w:rsidR="006F2A61" w:rsidRDefault="006F2A61" w:rsidP="00C96B66">
            <w:pPr>
              <w:jc w:val="both"/>
              <w:rPr>
                <w:rFonts w:eastAsia="Times" w:cs="Arial"/>
              </w:rPr>
            </w:pPr>
          </w:p>
          <w:p w14:paraId="03AE607E" w14:textId="77777777" w:rsidR="006F2A61" w:rsidRDefault="006F2A61" w:rsidP="00C96B66">
            <w:pPr>
              <w:jc w:val="both"/>
              <w:rPr>
                <w:rFonts w:eastAsia="Times" w:cs="Arial"/>
              </w:rPr>
            </w:pPr>
            <w:r w:rsidRPr="0045309E">
              <w:rPr>
                <w:rFonts w:eastAsia="Times" w:cs="Arial"/>
                <w:b/>
              </w:rPr>
              <w:t>Action Point</w:t>
            </w:r>
            <w:r>
              <w:rPr>
                <w:rFonts w:eastAsia="Times" w:cs="Arial"/>
                <w:b/>
              </w:rPr>
              <w:t>:</w:t>
            </w:r>
            <w:r>
              <w:rPr>
                <w:rFonts w:eastAsia="Times" w:cs="Arial"/>
              </w:rPr>
              <w:t xml:space="preserve"> Risk to be removed.</w:t>
            </w:r>
          </w:p>
          <w:p w14:paraId="53B86D61" w14:textId="77777777" w:rsidR="006F2A61" w:rsidRDefault="006F2A61" w:rsidP="00C96B66">
            <w:pPr>
              <w:jc w:val="both"/>
              <w:rPr>
                <w:rFonts w:eastAsia="Times" w:cs="Arial"/>
              </w:rPr>
            </w:pPr>
          </w:p>
          <w:p w14:paraId="65491780" w14:textId="77777777" w:rsidR="006F2A61" w:rsidRPr="000370F9" w:rsidRDefault="006F2A61" w:rsidP="00C96B66">
            <w:pPr>
              <w:jc w:val="both"/>
              <w:rPr>
                <w:rFonts w:eastAsia="Times" w:cs="Arial"/>
              </w:rPr>
            </w:pPr>
          </w:p>
        </w:tc>
        <w:tc>
          <w:tcPr>
            <w:tcW w:w="2463" w:type="dxa"/>
          </w:tcPr>
          <w:p w14:paraId="40176D9B" w14:textId="77777777" w:rsidR="006F2A61" w:rsidRDefault="006F2A61" w:rsidP="00C96B66">
            <w:pPr>
              <w:rPr>
                <w:rFonts w:eastAsia="Times" w:cs="Arial"/>
              </w:rPr>
            </w:pPr>
          </w:p>
          <w:p w14:paraId="5DD4A08F" w14:textId="77777777" w:rsidR="006F2A61" w:rsidRDefault="006F2A61" w:rsidP="00C96B66">
            <w:pPr>
              <w:rPr>
                <w:rFonts w:eastAsia="Times" w:cs="Arial"/>
              </w:rPr>
            </w:pPr>
          </w:p>
          <w:p w14:paraId="41207234" w14:textId="77777777" w:rsidR="006F2A61" w:rsidRDefault="006F2A61" w:rsidP="00C96B66">
            <w:pPr>
              <w:rPr>
                <w:rFonts w:eastAsia="Times" w:cs="Arial"/>
              </w:rPr>
            </w:pPr>
          </w:p>
          <w:p w14:paraId="14CA1015" w14:textId="77777777" w:rsidR="006F2A61" w:rsidRDefault="006F2A61" w:rsidP="00C96B66">
            <w:pPr>
              <w:rPr>
                <w:rFonts w:eastAsia="Times" w:cs="Arial"/>
              </w:rPr>
            </w:pPr>
          </w:p>
          <w:p w14:paraId="26D7AB48" w14:textId="77777777" w:rsidR="006F2A61" w:rsidRDefault="006F2A61" w:rsidP="00C96B66">
            <w:pPr>
              <w:rPr>
                <w:rFonts w:eastAsia="Times" w:cs="Arial"/>
              </w:rPr>
            </w:pPr>
          </w:p>
          <w:p w14:paraId="3AD29EBB" w14:textId="77777777" w:rsidR="006F2A61" w:rsidRDefault="006F2A61" w:rsidP="00C96B66">
            <w:pPr>
              <w:rPr>
                <w:rFonts w:eastAsia="Times" w:cs="Arial"/>
              </w:rPr>
            </w:pPr>
          </w:p>
          <w:p w14:paraId="3D2040E7" w14:textId="77777777" w:rsidR="006F2A61" w:rsidRDefault="006F2A61" w:rsidP="00C96B66">
            <w:pPr>
              <w:rPr>
                <w:rFonts w:eastAsia="Times" w:cs="Arial"/>
                <w:b/>
              </w:rPr>
            </w:pPr>
          </w:p>
          <w:p w14:paraId="1966B703" w14:textId="77777777" w:rsidR="006F2A61" w:rsidRDefault="006F2A61" w:rsidP="00C96B66">
            <w:pPr>
              <w:rPr>
                <w:rFonts w:eastAsia="Times" w:cs="Arial"/>
              </w:rPr>
            </w:pPr>
            <w:r>
              <w:rPr>
                <w:rFonts w:eastAsia="Times" w:cs="Arial"/>
                <w:b/>
              </w:rPr>
              <w:t>Delivery Committee Secretariat</w:t>
            </w:r>
          </w:p>
          <w:p w14:paraId="1487A072" w14:textId="77777777" w:rsidR="006F2A61" w:rsidRPr="0045309E" w:rsidRDefault="006F2A61" w:rsidP="00C96B66">
            <w:pPr>
              <w:rPr>
                <w:rFonts w:eastAsia="Times" w:cs="Arial"/>
                <w:b/>
              </w:rPr>
            </w:pPr>
          </w:p>
        </w:tc>
      </w:tr>
      <w:tr w:rsidR="006F2A61" w:rsidRPr="00E96242" w14:paraId="5D23242F" w14:textId="77777777" w:rsidTr="00C96B66">
        <w:tc>
          <w:tcPr>
            <w:tcW w:w="877" w:type="dxa"/>
          </w:tcPr>
          <w:p w14:paraId="00A9405E" w14:textId="77777777" w:rsidR="006F2A61" w:rsidRPr="007B1D80" w:rsidRDefault="006F2A61" w:rsidP="00C96B66">
            <w:pPr>
              <w:rPr>
                <w:rFonts w:eastAsia="Times" w:cs="Arial"/>
                <w:b/>
              </w:rPr>
            </w:pPr>
          </w:p>
        </w:tc>
        <w:tc>
          <w:tcPr>
            <w:tcW w:w="6854" w:type="dxa"/>
          </w:tcPr>
          <w:p w14:paraId="7816F863" w14:textId="77777777" w:rsidR="006F2A61" w:rsidRPr="009C52D9" w:rsidRDefault="006F2A61" w:rsidP="00C96B66">
            <w:pPr>
              <w:jc w:val="both"/>
              <w:rPr>
                <w:rFonts w:eastAsia="Times" w:cs="Arial"/>
                <w:b/>
              </w:rPr>
            </w:pPr>
            <w:r w:rsidRPr="009C52D9">
              <w:rPr>
                <w:rFonts w:eastAsia="Times" w:cs="Arial"/>
                <w:b/>
              </w:rPr>
              <w:t>Risk 11</w:t>
            </w:r>
            <w:r>
              <w:rPr>
                <w:rFonts w:eastAsia="Times" w:cs="Arial"/>
                <w:b/>
              </w:rPr>
              <w:t xml:space="preserve"> – Environmental Farming Scheme (New Risk)</w:t>
            </w:r>
          </w:p>
        </w:tc>
        <w:tc>
          <w:tcPr>
            <w:tcW w:w="2463" w:type="dxa"/>
          </w:tcPr>
          <w:p w14:paraId="2443EE8C" w14:textId="77777777" w:rsidR="006F2A61" w:rsidRDefault="006F2A61" w:rsidP="00C96B66">
            <w:pPr>
              <w:rPr>
                <w:rFonts w:eastAsia="Times" w:cs="Arial"/>
              </w:rPr>
            </w:pPr>
          </w:p>
        </w:tc>
      </w:tr>
      <w:tr w:rsidR="006F2A61" w:rsidRPr="00E96242" w14:paraId="2A34221A" w14:textId="77777777" w:rsidTr="00C96B66">
        <w:tc>
          <w:tcPr>
            <w:tcW w:w="877" w:type="dxa"/>
          </w:tcPr>
          <w:p w14:paraId="2830092D" w14:textId="77777777" w:rsidR="006F2A61" w:rsidRPr="007B1D80" w:rsidRDefault="006F2A61" w:rsidP="00C96B66">
            <w:pPr>
              <w:rPr>
                <w:rFonts w:eastAsia="Times" w:cs="Arial"/>
                <w:b/>
              </w:rPr>
            </w:pPr>
          </w:p>
        </w:tc>
        <w:tc>
          <w:tcPr>
            <w:tcW w:w="6854" w:type="dxa"/>
          </w:tcPr>
          <w:p w14:paraId="55DCBE9D" w14:textId="0F4FF941" w:rsidR="006F2A61" w:rsidRDefault="006F2A61" w:rsidP="00C96B66">
            <w:pPr>
              <w:jc w:val="both"/>
              <w:rPr>
                <w:rFonts w:eastAsia="Times" w:cs="Arial"/>
              </w:rPr>
            </w:pPr>
            <w:r>
              <w:rPr>
                <w:rFonts w:eastAsia="Times" w:cs="Arial"/>
              </w:rPr>
              <w:t xml:space="preserve">Brian Ervine introduced the EFS risk. Chair noted the EFS issues are </w:t>
            </w:r>
            <w:r w:rsidR="00CC46A3">
              <w:rPr>
                <w:rFonts w:eastAsia="Times" w:cs="Arial"/>
              </w:rPr>
              <w:t xml:space="preserve">very significant </w:t>
            </w:r>
            <w:r>
              <w:rPr>
                <w:rFonts w:eastAsia="Times" w:cs="Arial"/>
              </w:rPr>
              <w:t>and the current risk wording needs updated to reflect this.</w:t>
            </w:r>
          </w:p>
          <w:p w14:paraId="108980E1" w14:textId="77777777" w:rsidR="006F2A61" w:rsidRDefault="006F2A61" w:rsidP="00C96B66">
            <w:pPr>
              <w:jc w:val="both"/>
              <w:rPr>
                <w:rFonts w:eastAsia="Times" w:cs="Arial"/>
              </w:rPr>
            </w:pPr>
          </w:p>
          <w:p w14:paraId="2D007C99" w14:textId="06760153" w:rsidR="006F2A61" w:rsidRDefault="006F2A61" w:rsidP="00C96B66">
            <w:pPr>
              <w:jc w:val="both"/>
              <w:rPr>
                <w:rFonts w:cs="Arial"/>
                <w:lang w:eastAsia="en-US"/>
              </w:rPr>
            </w:pPr>
            <w:r w:rsidRPr="009C52D9">
              <w:rPr>
                <w:rFonts w:eastAsia="Times" w:cs="Arial"/>
                <w:b/>
              </w:rPr>
              <w:t>Action Point:</w:t>
            </w:r>
            <w:r>
              <w:rPr>
                <w:rFonts w:eastAsia="Times" w:cs="Arial"/>
              </w:rPr>
              <w:t xml:space="preserve"> EFS risk including controls and actions to be updated to address concerns surrounding th</w:t>
            </w:r>
            <w:r w:rsidRPr="009C52D9">
              <w:rPr>
                <w:rFonts w:cs="Arial"/>
                <w:lang w:eastAsia="en-US"/>
              </w:rPr>
              <w:t>e impact of the risk on achieving environmental targets, finance,</w:t>
            </w:r>
            <w:r>
              <w:rPr>
                <w:rFonts w:cs="Arial"/>
                <w:lang w:eastAsia="en-US"/>
              </w:rPr>
              <w:t xml:space="preserve"> </w:t>
            </w:r>
            <w:r w:rsidRPr="009C52D9">
              <w:rPr>
                <w:rFonts w:cs="Arial"/>
                <w:lang w:eastAsia="en-US"/>
              </w:rPr>
              <w:t xml:space="preserve">VFM, irregular spend and reputational risk.  </w:t>
            </w:r>
            <w:r>
              <w:rPr>
                <w:rFonts w:cs="Arial"/>
                <w:lang w:eastAsia="en-US"/>
              </w:rPr>
              <w:t>A</w:t>
            </w:r>
            <w:r w:rsidRPr="009C52D9">
              <w:rPr>
                <w:rFonts w:cs="Arial"/>
                <w:lang w:eastAsia="en-US"/>
              </w:rPr>
              <w:t>ddition</w:t>
            </w:r>
            <w:r>
              <w:rPr>
                <w:rFonts w:cs="Arial"/>
                <w:lang w:eastAsia="en-US"/>
              </w:rPr>
              <w:t>al</w:t>
            </w:r>
            <w:r w:rsidRPr="009C52D9">
              <w:rPr>
                <w:rFonts w:cs="Arial"/>
                <w:lang w:eastAsia="en-US"/>
              </w:rPr>
              <w:t xml:space="preserve"> actions should include </w:t>
            </w:r>
            <w:r w:rsidRPr="009C52D9">
              <w:rPr>
                <w:rFonts w:cs="Arial"/>
                <w:lang w:eastAsia="en-US"/>
              </w:rPr>
              <w:lastRenderedPageBreak/>
              <w:t>the key controls and actions needed to address the VFM and irregularity issues</w:t>
            </w:r>
            <w:r>
              <w:rPr>
                <w:rFonts w:cs="Arial"/>
                <w:lang w:eastAsia="en-US"/>
              </w:rPr>
              <w:t>. D</w:t>
            </w:r>
            <w:r w:rsidRPr="009C52D9">
              <w:rPr>
                <w:rFonts w:cs="Arial"/>
                <w:lang w:eastAsia="en-US"/>
              </w:rPr>
              <w:t>raft rewording is to be shared with both David Reid and Jason Foy within a week of its discussion at November’s Departmental Board</w:t>
            </w:r>
            <w:r w:rsidR="00CC46A3">
              <w:rPr>
                <w:rFonts w:cs="Arial"/>
                <w:lang w:eastAsia="en-US"/>
              </w:rPr>
              <w:t>,</w:t>
            </w:r>
            <w:r w:rsidRPr="009C52D9">
              <w:rPr>
                <w:rFonts w:cs="Arial"/>
                <w:lang w:eastAsia="en-US"/>
              </w:rPr>
              <w:t xml:space="preserve"> with the final agreed version </w:t>
            </w:r>
            <w:r>
              <w:rPr>
                <w:rFonts w:cs="Arial"/>
                <w:lang w:eastAsia="en-US"/>
              </w:rPr>
              <w:t>forward to Delivery Committee Secretariat</w:t>
            </w:r>
            <w:r w:rsidRPr="009C52D9">
              <w:rPr>
                <w:rFonts w:cs="Arial"/>
                <w:lang w:eastAsia="en-US"/>
              </w:rPr>
              <w:t xml:space="preserve">.  It was also agreed today that the RAG status should be changed to Red. </w:t>
            </w:r>
          </w:p>
          <w:p w14:paraId="6FD31C30" w14:textId="77777777" w:rsidR="009D2766" w:rsidRDefault="009D2766" w:rsidP="00C96B66">
            <w:pPr>
              <w:jc w:val="both"/>
              <w:rPr>
                <w:rFonts w:cs="Arial"/>
                <w:lang w:eastAsia="en-US"/>
              </w:rPr>
            </w:pPr>
          </w:p>
          <w:p w14:paraId="3B24D0AD" w14:textId="478625A8" w:rsidR="00CC7605" w:rsidRDefault="00CC7605" w:rsidP="00C96B66">
            <w:pPr>
              <w:jc w:val="both"/>
              <w:rPr>
                <w:rFonts w:cs="Arial"/>
                <w:lang w:eastAsia="en-US"/>
              </w:rPr>
            </w:pPr>
            <w:r>
              <w:rPr>
                <w:rFonts w:cs="Arial"/>
                <w:lang w:eastAsia="en-US"/>
              </w:rPr>
              <w:t>Clarification sought as to how this risk is worded within NIEA’s RR and whether it has been raised as an issue to the NIEA board.</w:t>
            </w:r>
          </w:p>
          <w:p w14:paraId="0621E42D" w14:textId="77777777" w:rsidR="006F2A61" w:rsidRDefault="006F2A61" w:rsidP="00C96B66">
            <w:pPr>
              <w:jc w:val="both"/>
              <w:rPr>
                <w:rFonts w:eastAsia="Times" w:cs="Arial"/>
              </w:rPr>
            </w:pPr>
          </w:p>
        </w:tc>
        <w:tc>
          <w:tcPr>
            <w:tcW w:w="2463" w:type="dxa"/>
          </w:tcPr>
          <w:p w14:paraId="5D3B3ACF" w14:textId="77777777" w:rsidR="006F2A61" w:rsidRDefault="006F2A61" w:rsidP="00C96B66">
            <w:pPr>
              <w:rPr>
                <w:rFonts w:eastAsia="Times" w:cs="Arial"/>
              </w:rPr>
            </w:pPr>
          </w:p>
          <w:p w14:paraId="444BF456" w14:textId="77777777" w:rsidR="006F2A61" w:rsidRDefault="006F2A61" w:rsidP="00C96B66">
            <w:pPr>
              <w:rPr>
                <w:rFonts w:eastAsia="Times" w:cs="Arial"/>
              </w:rPr>
            </w:pPr>
          </w:p>
          <w:p w14:paraId="30E9589E" w14:textId="77777777" w:rsidR="006F2A61" w:rsidRDefault="006F2A61" w:rsidP="00C96B66">
            <w:pPr>
              <w:rPr>
                <w:rFonts w:eastAsia="Times" w:cs="Arial"/>
                <w:b/>
              </w:rPr>
            </w:pPr>
          </w:p>
          <w:p w14:paraId="02F962EB" w14:textId="77777777" w:rsidR="006F2A61" w:rsidRDefault="006F2A61" w:rsidP="00C96B66">
            <w:pPr>
              <w:rPr>
                <w:rFonts w:eastAsia="Times" w:cs="Arial"/>
                <w:b/>
              </w:rPr>
            </w:pPr>
          </w:p>
          <w:p w14:paraId="345489B8" w14:textId="77777777" w:rsidR="006F2A61" w:rsidRPr="009C52D9" w:rsidRDefault="006F2A61" w:rsidP="00C96B66">
            <w:pPr>
              <w:rPr>
                <w:rFonts w:eastAsia="Times" w:cs="Arial"/>
                <w:b/>
              </w:rPr>
            </w:pPr>
            <w:r>
              <w:rPr>
                <w:rFonts w:eastAsia="Times" w:cs="Arial"/>
                <w:b/>
              </w:rPr>
              <w:t>Dave Foster/</w:t>
            </w:r>
            <w:r w:rsidRPr="009C52D9">
              <w:rPr>
                <w:rFonts w:eastAsia="Times" w:cs="Arial"/>
                <w:b/>
              </w:rPr>
              <w:t>Brian Ervine</w:t>
            </w:r>
          </w:p>
        </w:tc>
      </w:tr>
      <w:tr w:rsidR="006F2A61" w:rsidRPr="00E96242" w14:paraId="1C237912" w14:textId="77777777" w:rsidTr="00C96B66">
        <w:tc>
          <w:tcPr>
            <w:tcW w:w="877" w:type="dxa"/>
          </w:tcPr>
          <w:p w14:paraId="2D0D0A26" w14:textId="77777777" w:rsidR="006F2A61" w:rsidRPr="007B1D80" w:rsidRDefault="006F2A61" w:rsidP="00C96B66">
            <w:pPr>
              <w:rPr>
                <w:rFonts w:eastAsia="Times" w:cs="Arial"/>
                <w:b/>
              </w:rPr>
            </w:pPr>
          </w:p>
        </w:tc>
        <w:tc>
          <w:tcPr>
            <w:tcW w:w="6854" w:type="dxa"/>
          </w:tcPr>
          <w:p w14:paraId="684B3150" w14:textId="77777777" w:rsidR="006F2A61" w:rsidRPr="009C52D9" w:rsidRDefault="006F2A61" w:rsidP="00C96B66">
            <w:pPr>
              <w:jc w:val="both"/>
              <w:rPr>
                <w:rFonts w:eastAsia="Times" w:cs="Arial"/>
                <w:b/>
              </w:rPr>
            </w:pPr>
            <w:r w:rsidRPr="009C52D9">
              <w:rPr>
                <w:rFonts w:eastAsia="Times" w:cs="Arial"/>
                <w:b/>
              </w:rPr>
              <w:t>Risk 12</w:t>
            </w:r>
            <w:r>
              <w:rPr>
                <w:rFonts w:eastAsia="Times" w:cs="Arial"/>
                <w:b/>
              </w:rPr>
              <w:t xml:space="preserve"> – Official Regulation Controls (New Risk)</w:t>
            </w:r>
          </w:p>
        </w:tc>
        <w:tc>
          <w:tcPr>
            <w:tcW w:w="2463" w:type="dxa"/>
          </w:tcPr>
          <w:p w14:paraId="27AFBE47" w14:textId="77777777" w:rsidR="006F2A61" w:rsidRDefault="006F2A61" w:rsidP="00C96B66">
            <w:pPr>
              <w:rPr>
                <w:rFonts w:eastAsia="Times" w:cs="Arial"/>
              </w:rPr>
            </w:pPr>
          </w:p>
        </w:tc>
      </w:tr>
      <w:tr w:rsidR="006F2A61" w:rsidRPr="00E96242" w14:paraId="35070B9E" w14:textId="77777777" w:rsidTr="00C96B66">
        <w:tc>
          <w:tcPr>
            <w:tcW w:w="877" w:type="dxa"/>
          </w:tcPr>
          <w:p w14:paraId="17E861C3" w14:textId="77777777" w:rsidR="006F2A61" w:rsidRPr="007B1D80" w:rsidRDefault="006F2A61" w:rsidP="00C96B66">
            <w:pPr>
              <w:rPr>
                <w:rFonts w:eastAsia="Times" w:cs="Arial"/>
                <w:b/>
              </w:rPr>
            </w:pPr>
          </w:p>
        </w:tc>
        <w:tc>
          <w:tcPr>
            <w:tcW w:w="6854" w:type="dxa"/>
          </w:tcPr>
          <w:p w14:paraId="48FB2E7C" w14:textId="77777777" w:rsidR="006F2A61" w:rsidRDefault="006F2A61" w:rsidP="00C96B66">
            <w:pPr>
              <w:jc w:val="both"/>
              <w:rPr>
                <w:rFonts w:eastAsia="Times" w:cs="Arial"/>
              </w:rPr>
            </w:pPr>
            <w:r>
              <w:rPr>
                <w:rFonts w:eastAsia="Times" w:cs="Arial"/>
              </w:rPr>
              <w:t>Catherine Fisher introduced this new risk. Committee agreed to leave risk on for now.</w:t>
            </w:r>
          </w:p>
          <w:p w14:paraId="6733312C" w14:textId="77777777" w:rsidR="006F2A61" w:rsidRDefault="006F2A61" w:rsidP="00C96B66">
            <w:pPr>
              <w:jc w:val="both"/>
              <w:rPr>
                <w:rFonts w:eastAsia="Times" w:cs="Arial"/>
              </w:rPr>
            </w:pPr>
          </w:p>
          <w:p w14:paraId="31F254EE" w14:textId="77777777" w:rsidR="006F2A61" w:rsidRDefault="006F2A61" w:rsidP="00C96B66">
            <w:pPr>
              <w:jc w:val="both"/>
              <w:rPr>
                <w:rFonts w:eastAsia="Times" w:cs="Arial"/>
              </w:rPr>
            </w:pPr>
            <w:r w:rsidRPr="00F10F1C">
              <w:rPr>
                <w:rFonts w:eastAsia="Times" w:cs="Arial"/>
                <w:b/>
              </w:rPr>
              <w:t>Action Point:</w:t>
            </w:r>
            <w:r>
              <w:rPr>
                <w:rFonts w:eastAsia="Times" w:cs="Arial"/>
              </w:rPr>
              <w:t xml:space="preserve"> Highlight what the impact of this risk is and review the overall risk ratings after controls.</w:t>
            </w:r>
          </w:p>
        </w:tc>
        <w:tc>
          <w:tcPr>
            <w:tcW w:w="2463" w:type="dxa"/>
          </w:tcPr>
          <w:p w14:paraId="38B0F02C" w14:textId="77777777" w:rsidR="006F2A61" w:rsidRDefault="006F2A61" w:rsidP="00C96B66">
            <w:pPr>
              <w:rPr>
                <w:rFonts w:eastAsia="Times" w:cs="Arial"/>
              </w:rPr>
            </w:pPr>
          </w:p>
          <w:p w14:paraId="76FAAD49" w14:textId="77777777" w:rsidR="006F2A61" w:rsidRDefault="006F2A61" w:rsidP="00C96B66">
            <w:pPr>
              <w:rPr>
                <w:rFonts w:eastAsia="Times" w:cs="Arial"/>
              </w:rPr>
            </w:pPr>
          </w:p>
          <w:p w14:paraId="09D6B98A" w14:textId="77777777" w:rsidR="006F2A61" w:rsidRDefault="006F2A61" w:rsidP="00C96B66">
            <w:pPr>
              <w:rPr>
                <w:rFonts w:eastAsia="Times" w:cs="Arial"/>
              </w:rPr>
            </w:pPr>
          </w:p>
          <w:p w14:paraId="06B8CF27" w14:textId="77777777" w:rsidR="006F2A61" w:rsidRDefault="006F2A61" w:rsidP="00C96B66">
            <w:pPr>
              <w:rPr>
                <w:rFonts w:eastAsia="Times" w:cs="Arial"/>
                <w:b/>
              </w:rPr>
            </w:pPr>
            <w:r w:rsidRPr="003B49D7">
              <w:rPr>
                <w:rFonts w:eastAsia="Times" w:cs="Arial"/>
                <w:b/>
              </w:rPr>
              <w:t>Catherine Fisher/ David Simpson</w:t>
            </w:r>
          </w:p>
          <w:p w14:paraId="0D98ABE4" w14:textId="77777777" w:rsidR="006F2A61" w:rsidRPr="003B49D7" w:rsidRDefault="006F2A61" w:rsidP="00C96B66">
            <w:pPr>
              <w:rPr>
                <w:rFonts w:eastAsia="Times" w:cs="Arial"/>
                <w:b/>
              </w:rPr>
            </w:pPr>
          </w:p>
        </w:tc>
      </w:tr>
    </w:tbl>
    <w:p w14:paraId="6A55724E" w14:textId="77777777" w:rsidR="006F2A61" w:rsidRPr="00921FF1" w:rsidRDefault="006F2A61" w:rsidP="006F2A61">
      <w:pPr>
        <w:rPr>
          <w:rFonts w:cs="Arial"/>
        </w:rPr>
      </w:pPr>
    </w:p>
    <w:p w14:paraId="6B0F063B" w14:textId="77777777" w:rsidR="006F2A61" w:rsidRDefault="006F2A61" w:rsidP="006F2A61">
      <w:pPr>
        <w:ind w:left="720" w:hanging="720"/>
        <w:rPr>
          <w:rFonts w:cs="Arial"/>
          <w:b/>
        </w:rPr>
      </w:pPr>
      <w:r>
        <w:rPr>
          <w:rFonts w:cs="Arial"/>
          <w:b/>
        </w:rPr>
        <w:t>5.</w:t>
      </w:r>
      <w:r>
        <w:rPr>
          <w:rFonts w:cs="Arial"/>
          <w:b/>
        </w:rPr>
        <w:tab/>
        <w:t xml:space="preserve">Update on Review of the Operation of Risk Management in DAERA and Thematic Review of Risk Management </w:t>
      </w:r>
      <w:proofErr w:type="gramStart"/>
      <w:r>
        <w:rPr>
          <w:rFonts w:cs="Arial"/>
          <w:b/>
        </w:rPr>
        <w:t>Across</w:t>
      </w:r>
      <w:proofErr w:type="gramEnd"/>
      <w:r>
        <w:rPr>
          <w:rFonts w:cs="Arial"/>
          <w:b/>
        </w:rPr>
        <w:t xml:space="preserve"> the NICS </w:t>
      </w:r>
    </w:p>
    <w:p w14:paraId="3A6EF4DA" w14:textId="77777777" w:rsidR="006F2A61" w:rsidRDefault="006F2A61" w:rsidP="006F2A61">
      <w:pPr>
        <w:ind w:left="720" w:hanging="720"/>
        <w:rPr>
          <w:rFonts w:cs="Arial"/>
          <w:b/>
        </w:rPr>
      </w:pPr>
    </w:p>
    <w:p w14:paraId="4DB42CEE" w14:textId="77777777" w:rsidR="006F2A61" w:rsidRPr="0046178B" w:rsidRDefault="006F2A61" w:rsidP="006F2A61">
      <w:pPr>
        <w:rPr>
          <w:rFonts w:cs="Arial"/>
        </w:rPr>
      </w:pPr>
      <w:r w:rsidRPr="0046178B">
        <w:rPr>
          <w:rFonts w:cs="Arial"/>
        </w:rPr>
        <w:t>Briege Lafferty reported that both reviews had now been completed and they will be discussed at a future DB meeting. Briege advised that she will now meet with each of the Group Heads to discuss the reviews and proposed next steps.</w:t>
      </w:r>
    </w:p>
    <w:p w14:paraId="142C8938" w14:textId="77777777" w:rsidR="006F2A61" w:rsidRDefault="006F2A61" w:rsidP="006F2A61">
      <w:pPr>
        <w:jc w:val="both"/>
        <w:rPr>
          <w:rFonts w:cs="Arial"/>
          <w:b/>
        </w:rPr>
      </w:pPr>
    </w:p>
    <w:p w14:paraId="0B98EC42" w14:textId="77777777" w:rsidR="006F2A61" w:rsidRDefault="006F2A61" w:rsidP="006F2A61">
      <w:pPr>
        <w:jc w:val="both"/>
        <w:rPr>
          <w:rFonts w:cs="Arial"/>
          <w:b/>
        </w:rPr>
      </w:pPr>
    </w:p>
    <w:p w14:paraId="04AC5B53" w14:textId="77777777" w:rsidR="006F2A61" w:rsidRPr="005241A3" w:rsidRDefault="006F2A61" w:rsidP="006F2A61">
      <w:pPr>
        <w:jc w:val="both"/>
        <w:rPr>
          <w:rFonts w:cs="Arial"/>
          <w:b/>
        </w:rPr>
      </w:pPr>
      <w:r>
        <w:rPr>
          <w:rFonts w:cs="Arial"/>
          <w:b/>
        </w:rPr>
        <w:t>6.</w:t>
      </w:r>
      <w:r>
        <w:rPr>
          <w:rFonts w:cs="Arial"/>
          <w:b/>
        </w:rPr>
        <w:tab/>
      </w:r>
      <w:r w:rsidRPr="005241A3">
        <w:rPr>
          <w:rFonts w:cs="Arial"/>
          <w:b/>
        </w:rPr>
        <w:t>Paying Agency Accreditation Committee (PAAC) Risk Register</w:t>
      </w:r>
    </w:p>
    <w:p w14:paraId="63382D3B" w14:textId="77777777" w:rsidR="006F2A61" w:rsidRDefault="006F2A61" w:rsidP="006F2A61">
      <w:pPr>
        <w:jc w:val="both"/>
        <w:rPr>
          <w:rFonts w:cs="Arial"/>
        </w:rPr>
      </w:pPr>
    </w:p>
    <w:p w14:paraId="7D2C2578" w14:textId="77777777" w:rsidR="006F2A61" w:rsidRDefault="006F2A61" w:rsidP="006F2A61">
      <w:pPr>
        <w:jc w:val="both"/>
        <w:rPr>
          <w:rFonts w:cs="Arial"/>
        </w:rPr>
      </w:pPr>
      <w:r>
        <w:rPr>
          <w:rFonts w:cs="Arial"/>
        </w:rPr>
        <w:t xml:space="preserve">Brian Doherty reported that </w:t>
      </w:r>
      <w:r w:rsidRPr="005241A3">
        <w:rPr>
          <w:rFonts w:cs="Arial"/>
        </w:rPr>
        <w:t xml:space="preserve">Anna Campbell </w:t>
      </w:r>
      <w:r>
        <w:rPr>
          <w:rFonts w:cs="Arial"/>
        </w:rPr>
        <w:t xml:space="preserve">had </w:t>
      </w:r>
      <w:r w:rsidRPr="005241A3">
        <w:rPr>
          <w:rFonts w:cs="Arial"/>
        </w:rPr>
        <w:t>provided a</w:t>
      </w:r>
      <w:r>
        <w:rPr>
          <w:rFonts w:cs="Arial"/>
        </w:rPr>
        <w:t xml:space="preserve"> paper providing a</w:t>
      </w:r>
      <w:r w:rsidRPr="005241A3">
        <w:rPr>
          <w:rFonts w:cs="Arial"/>
        </w:rPr>
        <w:t>n update on the PAAC Risk Register</w:t>
      </w:r>
      <w:r>
        <w:rPr>
          <w:rFonts w:cs="Arial"/>
        </w:rPr>
        <w:t xml:space="preserve">. </w:t>
      </w:r>
      <w:r w:rsidRPr="005241A3">
        <w:rPr>
          <w:rFonts w:cs="Arial"/>
        </w:rPr>
        <w:t xml:space="preserve"> </w:t>
      </w:r>
    </w:p>
    <w:p w14:paraId="21A66229" w14:textId="77777777" w:rsidR="006F2A61" w:rsidRDefault="006F2A61" w:rsidP="006F2A61">
      <w:pPr>
        <w:jc w:val="both"/>
        <w:rPr>
          <w:rFonts w:cs="Arial"/>
        </w:rPr>
      </w:pPr>
    </w:p>
    <w:p w14:paraId="07107239" w14:textId="77777777" w:rsidR="006F2A61" w:rsidRDefault="006F2A61" w:rsidP="006F2A61">
      <w:pPr>
        <w:rPr>
          <w:rFonts w:cs="Arial"/>
        </w:rPr>
      </w:pPr>
      <w:r>
        <w:rPr>
          <w:rFonts w:cs="Arial"/>
        </w:rPr>
        <w:t>No comments were provided on the paper.</w:t>
      </w:r>
    </w:p>
    <w:p w14:paraId="1CFAB872" w14:textId="77777777" w:rsidR="006F2A61" w:rsidRPr="00B7732D" w:rsidRDefault="006F2A61" w:rsidP="006F2A61">
      <w:pPr>
        <w:rPr>
          <w:rFonts w:cs="Arial"/>
        </w:rPr>
      </w:pPr>
    </w:p>
    <w:p w14:paraId="5982A8AE" w14:textId="77777777" w:rsidR="006F2A61" w:rsidRDefault="006F2A61" w:rsidP="006F2A61">
      <w:pPr>
        <w:rPr>
          <w:rFonts w:cs="Arial"/>
          <w:b/>
        </w:rPr>
      </w:pPr>
      <w:r>
        <w:rPr>
          <w:rFonts w:cs="Arial"/>
          <w:b/>
        </w:rPr>
        <w:t>7</w:t>
      </w:r>
      <w:r w:rsidRPr="00164D62">
        <w:rPr>
          <w:rFonts w:cs="Arial"/>
          <w:b/>
        </w:rPr>
        <w:t>.</w:t>
      </w:r>
      <w:r w:rsidRPr="00164D62">
        <w:rPr>
          <w:rFonts w:cs="Arial"/>
          <w:b/>
        </w:rPr>
        <w:tab/>
      </w:r>
      <w:r>
        <w:rPr>
          <w:rFonts w:cs="Arial"/>
          <w:b/>
        </w:rPr>
        <w:t>AOB</w:t>
      </w:r>
    </w:p>
    <w:p w14:paraId="048E0F0E" w14:textId="77777777" w:rsidR="006F2A61" w:rsidRDefault="006F2A61" w:rsidP="006F2A61">
      <w:pPr>
        <w:rPr>
          <w:rFonts w:cs="Arial"/>
          <w:b/>
        </w:rPr>
      </w:pPr>
    </w:p>
    <w:p w14:paraId="58E43884" w14:textId="77777777" w:rsidR="006F2A61" w:rsidRDefault="006F2A61" w:rsidP="006F2A61">
      <w:pPr>
        <w:rPr>
          <w:rFonts w:cs="Arial"/>
        </w:rPr>
      </w:pPr>
      <w:r w:rsidRPr="00164D62">
        <w:rPr>
          <w:rFonts w:cs="Arial"/>
        </w:rPr>
        <w:t xml:space="preserve">Brian Doherty </w:t>
      </w:r>
      <w:r>
        <w:rPr>
          <w:rFonts w:cs="Arial"/>
        </w:rPr>
        <w:t>advised that at future Delivery Committee meetings there will be a deep dive on one particular risk. David Reid confirmed that he was content to put forward the Finance risk to be considered at the next meeting.</w:t>
      </w:r>
    </w:p>
    <w:p w14:paraId="46591524" w14:textId="77777777" w:rsidR="006F2A61" w:rsidRDefault="006F2A61" w:rsidP="006F2A61">
      <w:pPr>
        <w:rPr>
          <w:rFonts w:cs="Arial"/>
        </w:rPr>
      </w:pPr>
    </w:p>
    <w:p w14:paraId="628CE336" w14:textId="77777777" w:rsidR="006F2A61" w:rsidRDefault="006F2A61" w:rsidP="006F2A61">
      <w:pPr>
        <w:rPr>
          <w:rFonts w:cs="Arial"/>
        </w:rPr>
      </w:pPr>
    </w:p>
    <w:p w14:paraId="51F5865A" w14:textId="77777777" w:rsidR="006F2A61" w:rsidRDefault="006F2A61" w:rsidP="006F2A61">
      <w:pPr>
        <w:rPr>
          <w:rFonts w:cs="Arial"/>
          <w:b/>
        </w:rPr>
      </w:pPr>
    </w:p>
    <w:p w14:paraId="36023AD3" w14:textId="4B5C12D1" w:rsidR="006F2A61" w:rsidRPr="00921FF1" w:rsidRDefault="001D3295" w:rsidP="001D3295">
      <w:pPr>
        <w:jc w:val="center"/>
        <w:rPr>
          <w:rFonts w:cs="Arial"/>
          <w:b/>
        </w:rPr>
      </w:pPr>
      <w:bookmarkStart w:id="0" w:name="_GoBack"/>
      <w:bookmarkEnd w:id="0"/>
      <w:r w:rsidRPr="00073A6B" w:rsidDel="001D3295">
        <w:rPr>
          <w:rFonts w:cs="Arial"/>
          <w:b/>
          <w:caps/>
        </w:rPr>
        <w:t xml:space="preserve"> </w:t>
      </w:r>
    </w:p>
    <w:p w14:paraId="4CC9975A" w14:textId="77777777" w:rsidR="00CC2EDA" w:rsidRPr="00921FF1" w:rsidRDefault="00CC2EDA" w:rsidP="006F2A61">
      <w:pPr>
        <w:jc w:val="center"/>
        <w:rPr>
          <w:rFonts w:cs="Arial"/>
          <w:b/>
        </w:rPr>
      </w:pPr>
    </w:p>
    <w:sectPr w:rsidR="00CC2EDA" w:rsidRPr="00921FF1" w:rsidSect="00624E1D">
      <w:footerReference w:type="default" r:id="rId8"/>
      <w:type w:val="continuous"/>
      <w:pgSz w:w="11906" w:h="16838"/>
      <w:pgMar w:top="993" w:right="851" w:bottom="993" w:left="85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23ADD" w14:textId="77777777" w:rsidR="00B270B8" w:rsidRDefault="00B270B8">
      <w:r>
        <w:separator/>
      </w:r>
    </w:p>
  </w:endnote>
  <w:endnote w:type="continuationSeparator" w:id="0">
    <w:p w14:paraId="4ED948C7" w14:textId="77777777" w:rsidR="00B270B8" w:rsidRDefault="00B2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0614" w14:textId="4739DD3F" w:rsidR="004435C4" w:rsidRPr="008476F2" w:rsidRDefault="004435C4" w:rsidP="00A85833">
    <w:pPr>
      <w:tabs>
        <w:tab w:val="center" w:pos="4320"/>
        <w:tab w:val="right" w:pos="8640"/>
      </w:tabs>
      <w:jc w:val="right"/>
      <w:rPr>
        <w:sz w:val="18"/>
        <w:szCs w:val="18"/>
      </w:rPr>
    </w:pPr>
    <w:r w:rsidRPr="00A85833">
      <w:rPr>
        <w:lang w:eastAsia="en-US"/>
      </w:rPr>
      <w:fldChar w:fldCharType="begin"/>
    </w:r>
    <w:r w:rsidRPr="00A85833">
      <w:rPr>
        <w:lang w:eastAsia="en-US"/>
      </w:rPr>
      <w:instrText xml:space="preserve"> PAGE   \* MERGEFORMAT </w:instrText>
    </w:r>
    <w:r w:rsidRPr="00A85833">
      <w:rPr>
        <w:lang w:eastAsia="en-US"/>
      </w:rPr>
      <w:fldChar w:fldCharType="separate"/>
    </w:r>
    <w:r w:rsidR="001D3295">
      <w:rPr>
        <w:noProof/>
        <w:lang w:eastAsia="en-US"/>
      </w:rPr>
      <w:t>4</w:t>
    </w:r>
    <w:r w:rsidRPr="00A85833">
      <w:rPr>
        <w:noProof/>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E595" w14:textId="77777777" w:rsidR="00B270B8" w:rsidRDefault="00B270B8">
      <w:r>
        <w:separator/>
      </w:r>
    </w:p>
  </w:footnote>
  <w:footnote w:type="continuationSeparator" w:id="0">
    <w:p w14:paraId="7623DC38" w14:textId="77777777" w:rsidR="00B270B8" w:rsidRDefault="00B27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0FCD"/>
    <w:multiLevelType w:val="hybridMultilevel"/>
    <w:tmpl w:val="518E3082"/>
    <w:lvl w:ilvl="0" w:tplc="C6E6FED2">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C2437"/>
    <w:multiLevelType w:val="hybridMultilevel"/>
    <w:tmpl w:val="F75C3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46AE1"/>
    <w:multiLevelType w:val="hybridMultilevel"/>
    <w:tmpl w:val="A78AF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31921"/>
    <w:multiLevelType w:val="hybridMultilevel"/>
    <w:tmpl w:val="575E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E263F"/>
    <w:multiLevelType w:val="hybridMultilevel"/>
    <w:tmpl w:val="D77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92CF5"/>
    <w:multiLevelType w:val="hybridMultilevel"/>
    <w:tmpl w:val="F0188CA6"/>
    <w:lvl w:ilvl="0" w:tplc="462A27D4">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2C2E85"/>
    <w:multiLevelType w:val="hybridMultilevel"/>
    <w:tmpl w:val="A18AC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390FE7"/>
    <w:multiLevelType w:val="hybridMultilevel"/>
    <w:tmpl w:val="A5B22B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FC226AA"/>
    <w:multiLevelType w:val="hybridMultilevel"/>
    <w:tmpl w:val="A3240A88"/>
    <w:lvl w:ilvl="0" w:tplc="4BF6775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930BE"/>
    <w:multiLevelType w:val="hybridMultilevel"/>
    <w:tmpl w:val="5EBE2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F24AF4"/>
    <w:multiLevelType w:val="hybridMultilevel"/>
    <w:tmpl w:val="5CD8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8"/>
  </w:num>
  <w:num w:numId="7">
    <w:abstractNumId w:val="9"/>
  </w:num>
  <w:num w:numId="8">
    <w:abstractNumId w:val="10"/>
  </w:num>
  <w:num w:numId="9">
    <w:abstractNumId w:val="7"/>
  </w:num>
  <w:num w:numId="10">
    <w:abstractNumId w:val="4"/>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8"/>
    <w:rsid w:val="00013345"/>
    <w:rsid w:val="000133C6"/>
    <w:rsid w:val="000225BF"/>
    <w:rsid w:val="00022FA0"/>
    <w:rsid w:val="00026570"/>
    <w:rsid w:val="00031017"/>
    <w:rsid w:val="000314EC"/>
    <w:rsid w:val="00034EF0"/>
    <w:rsid w:val="00035536"/>
    <w:rsid w:val="000359C8"/>
    <w:rsid w:val="00035C17"/>
    <w:rsid w:val="00035C2F"/>
    <w:rsid w:val="00035ED4"/>
    <w:rsid w:val="000370F9"/>
    <w:rsid w:val="00041D83"/>
    <w:rsid w:val="000461BB"/>
    <w:rsid w:val="000477A2"/>
    <w:rsid w:val="00047F41"/>
    <w:rsid w:val="00050169"/>
    <w:rsid w:val="00050EEE"/>
    <w:rsid w:val="00051C88"/>
    <w:rsid w:val="00053B0C"/>
    <w:rsid w:val="00054317"/>
    <w:rsid w:val="00054998"/>
    <w:rsid w:val="00063EA0"/>
    <w:rsid w:val="000672CC"/>
    <w:rsid w:val="0007160D"/>
    <w:rsid w:val="00073A6B"/>
    <w:rsid w:val="00073F17"/>
    <w:rsid w:val="00074177"/>
    <w:rsid w:val="000753E1"/>
    <w:rsid w:val="000762E4"/>
    <w:rsid w:val="000805CA"/>
    <w:rsid w:val="000818CC"/>
    <w:rsid w:val="000820D6"/>
    <w:rsid w:val="000858CA"/>
    <w:rsid w:val="00087DC5"/>
    <w:rsid w:val="00091419"/>
    <w:rsid w:val="00092885"/>
    <w:rsid w:val="00097442"/>
    <w:rsid w:val="000A17F7"/>
    <w:rsid w:val="000A3F74"/>
    <w:rsid w:val="000A5ABF"/>
    <w:rsid w:val="000B6B43"/>
    <w:rsid w:val="000B7EDE"/>
    <w:rsid w:val="000C0D16"/>
    <w:rsid w:val="000C2E8B"/>
    <w:rsid w:val="000C318B"/>
    <w:rsid w:val="000D2532"/>
    <w:rsid w:val="000D51BE"/>
    <w:rsid w:val="000E1074"/>
    <w:rsid w:val="000E428C"/>
    <w:rsid w:val="000E4E2A"/>
    <w:rsid w:val="000E7153"/>
    <w:rsid w:val="000F5371"/>
    <w:rsid w:val="0010605A"/>
    <w:rsid w:val="00114FBF"/>
    <w:rsid w:val="00115332"/>
    <w:rsid w:val="001178EE"/>
    <w:rsid w:val="00120402"/>
    <w:rsid w:val="00120CAD"/>
    <w:rsid w:val="00122863"/>
    <w:rsid w:val="00127030"/>
    <w:rsid w:val="001278DB"/>
    <w:rsid w:val="00131342"/>
    <w:rsid w:val="00135805"/>
    <w:rsid w:val="0013747B"/>
    <w:rsid w:val="001374A7"/>
    <w:rsid w:val="00145838"/>
    <w:rsid w:val="0015090A"/>
    <w:rsid w:val="00150B04"/>
    <w:rsid w:val="00156F69"/>
    <w:rsid w:val="00157CBD"/>
    <w:rsid w:val="00162029"/>
    <w:rsid w:val="001624DA"/>
    <w:rsid w:val="001641AB"/>
    <w:rsid w:val="00164D62"/>
    <w:rsid w:val="00173D99"/>
    <w:rsid w:val="0017679A"/>
    <w:rsid w:val="00180A1E"/>
    <w:rsid w:val="00183141"/>
    <w:rsid w:val="0018548B"/>
    <w:rsid w:val="00186125"/>
    <w:rsid w:val="00187592"/>
    <w:rsid w:val="00190B71"/>
    <w:rsid w:val="00192379"/>
    <w:rsid w:val="001943EF"/>
    <w:rsid w:val="00195651"/>
    <w:rsid w:val="00196485"/>
    <w:rsid w:val="00196808"/>
    <w:rsid w:val="001A0E93"/>
    <w:rsid w:val="001A2C38"/>
    <w:rsid w:val="001A4D27"/>
    <w:rsid w:val="001A515B"/>
    <w:rsid w:val="001B4878"/>
    <w:rsid w:val="001C4099"/>
    <w:rsid w:val="001C4450"/>
    <w:rsid w:val="001D3295"/>
    <w:rsid w:val="001D4307"/>
    <w:rsid w:val="001D5A1D"/>
    <w:rsid w:val="001D6053"/>
    <w:rsid w:val="001D659B"/>
    <w:rsid w:val="001E52DC"/>
    <w:rsid w:val="001F0C64"/>
    <w:rsid w:val="001F1E9B"/>
    <w:rsid w:val="001F3205"/>
    <w:rsid w:val="001F40F0"/>
    <w:rsid w:val="001F59F2"/>
    <w:rsid w:val="002025F9"/>
    <w:rsid w:val="002027D9"/>
    <w:rsid w:val="00204742"/>
    <w:rsid w:val="0020694F"/>
    <w:rsid w:val="0020766D"/>
    <w:rsid w:val="00207DE7"/>
    <w:rsid w:val="002122E0"/>
    <w:rsid w:val="002211BA"/>
    <w:rsid w:val="002252CB"/>
    <w:rsid w:val="00233D80"/>
    <w:rsid w:val="00236429"/>
    <w:rsid w:val="00236FEA"/>
    <w:rsid w:val="002418E5"/>
    <w:rsid w:val="00241DB2"/>
    <w:rsid w:val="00243383"/>
    <w:rsid w:val="002450DD"/>
    <w:rsid w:val="00245944"/>
    <w:rsid w:val="002532E3"/>
    <w:rsid w:val="00255067"/>
    <w:rsid w:val="00256887"/>
    <w:rsid w:val="00260729"/>
    <w:rsid w:val="00262439"/>
    <w:rsid w:val="00264B88"/>
    <w:rsid w:val="00266649"/>
    <w:rsid w:val="00267CFC"/>
    <w:rsid w:val="002759DE"/>
    <w:rsid w:val="002767EA"/>
    <w:rsid w:val="00280E97"/>
    <w:rsid w:val="00283990"/>
    <w:rsid w:val="002876A1"/>
    <w:rsid w:val="002A4C7D"/>
    <w:rsid w:val="002B4AEB"/>
    <w:rsid w:val="002C357B"/>
    <w:rsid w:val="002C5534"/>
    <w:rsid w:val="002C675E"/>
    <w:rsid w:val="002D090C"/>
    <w:rsid w:val="002D178D"/>
    <w:rsid w:val="002D1E37"/>
    <w:rsid w:val="002D6A38"/>
    <w:rsid w:val="002D6D60"/>
    <w:rsid w:val="002D7A29"/>
    <w:rsid w:val="002E163E"/>
    <w:rsid w:val="002E3324"/>
    <w:rsid w:val="002E7A32"/>
    <w:rsid w:val="002F0DD7"/>
    <w:rsid w:val="002F4AFE"/>
    <w:rsid w:val="002F6C32"/>
    <w:rsid w:val="00302034"/>
    <w:rsid w:val="00304218"/>
    <w:rsid w:val="00305D48"/>
    <w:rsid w:val="00306A9D"/>
    <w:rsid w:val="0031010C"/>
    <w:rsid w:val="00312848"/>
    <w:rsid w:val="003144AE"/>
    <w:rsid w:val="00314E3A"/>
    <w:rsid w:val="0031769F"/>
    <w:rsid w:val="003207CA"/>
    <w:rsid w:val="00320887"/>
    <w:rsid w:val="00322541"/>
    <w:rsid w:val="003237E6"/>
    <w:rsid w:val="00333685"/>
    <w:rsid w:val="00334117"/>
    <w:rsid w:val="00335C63"/>
    <w:rsid w:val="00337447"/>
    <w:rsid w:val="00342775"/>
    <w:rsid w:val="00342C6B"/>
    <w:rsid w:val="00345AC2"/>
    <w:rsid w:val="003528B0"/>
    <w:rsid w:val="003529AF"/>
    <w:rsid w:val="0035307B"/>
    <w:rsid w:val="0036064A"/>
    <w:rsid w:val="00360D71"/>
    <w:rsid w:val="0036118C"/>
    <w:rsid w:val="0036273C"/>
    <w:rsid w:val="00365725"/>
    <w:rsid w:val="003761B0"/>
    <w:rsid w:val="0039492E"/>
    <w:rsid w:val="003A409E"/>
    <w:rsid w:val="003A683E"/>
    <w:rsid w:val="003A6B7E"/>
    <w:rsid w:val="003A6C3E"/>
    <w:rsid w:val="003B0F56"/>
    <w:rsid w:val="003B49D7"/>
    <w:rsid w:val="003B679E"/>
    <w:rsid w:val="003C00B1"/>
    <w:rsid w:val="003C11B1"/>
    <w:rsid w:val="003C205B"/>
    <w:rsid w:val="003C286F"/>
    <w:rsid w:val="003C3249"/>
    <w:rsid w:val="003C49E9"/>
    <w:rsid w:val="003C5401"/>
    <w:rsid w:val="003C6AC2"/>
    <w:rsid w:val="003C7462"/>
    <w:rsid w:val="003D7ED5"/>
    <w:rsid w:val="003E5DCC"/>
    <w:rsid w:val="003F67A5"/>
    <w:rsid w:val="0040238E"/>
    <w:rsid w:val="0040309F"/>
    <w:rsid w:val="004076C3"/>
    <w:rsid w:val="00407808"/>
    <w:rsid w:val="00407B9F"/>
    <w:rsid w:val="00410C3E"/>
    <w:rsid w:val="00421265"/>
    <w:rsid w:val="00423E16"/>
    <w:rsid w:val="0042608B"/>
    <w:rsid w:val="0043282A"/>
    <w:rsid w:val="00441F42"/>
    <w:rsid w:val="004430D4"/>
    <w:rsid w:val="004435C4"/>
    <w:rsid w:val="004461A8"/>
    <w:rsid w:val="0044638C"/>
    <w:rsid w:val="00451CBF"/>
    <w:rsid w:val="0045309E"/>
    <w:rsid w:val="00454455"/>
    <w:rsid w:val="004600FE"/>
    <w:rsid w:val="0046178B"/>
    <w:rsid w:val="00465826"/>
    <w:rsid w:val="00473E62"/>
    <w:rsid w:val="00477FA3"/>
    <w:rsid w:val="00483E6A"/>
    <w:rsid w:val="00490958"/>
    <w:rsid w:val="004928E2"/>
    <w:rsid w:val="004A4FA0"/>
    <w:rsid w:val="004A7B3A"/>
    <w:rsid w:val="004C1B09"/>
    <w:rsid w:val="004C24FC"/>
    <w:rsid w:val="004C5564"/>
    <w:rsid w:val="004E0E49"/>
    <w:rsid w:val="004E3B8B"/>
    <w:rsid w:val="004E4B24"/>
    <w:rsid w:val="004E6DD1"/>
    <w:rsid w:val="004F119C"/>
    <w:rsid w:val="004F3F19"/>
    <w:rsid w:val="005004C6"/>
    <w:rsid w:val="00501EFC"/>
    <w:rsid w:val="0050650A"/>
    <w:rsid w:val="00510D94"/>
    <w:rsid w:val="005116A3"/>
    <w:rsid w:val="00513F1B"/>
    <w:rsid w:val="005141D1"/>
    <w:rsid w:val="00517551"/>
    <w:rsid w:val="005204F4"/>
    <w:rsid w:val="00520A30"/>
    <w:rsid w:val="005234DF"/>
    <w:rsid w:val="00523EB5"/>
    <w:rsid w:val="005241A3"/>
    <w:rsid w:val="0053171B"/>
    <w:rsid w:val="005375F0"/>
    <w:rsid w:val="00537FB0"/>
    <w:rsid w:val="00540CED"/>
    <w:rsid w:val="00542610"/>
    <w:rsid w:val="00545946"/>
    <w:rsid w:val="005557BF"/>
    <w:rsid w:val="00556A45"/>
    <w:rsid w:val="005728EE"/>
    <w:rsid w:val="0057599D"/>
    <w:rsid w:val="00582829"/>
    <w:rsid w:val="005849BE"/>
    <w:rsid w:val="0058665C"/>
    <w:rsid w:val="00586C1A"/>
    <w:rsid w:val="00594622"/>
    <w:rsid w:val="005A0549"/>
    <w:rsid w:val="005A258C"/>
    <w:rsid w:val="005A57A4"/>
    <w:rsid w:val="005A661B"/>
    <w:rsid w:val="005A66CC"/>
    <w:rsid w:val="005B036F"/>
    <w:rsid w:val="005B25F5"/>
    <w:rsid w:val="005B5FDD"/>
    <w:rsid w:val="005B6380"/>
    <w:rsid w:val="005C5AFC"/>
    <w:rsid w:val="005C6768"/>
    <w:rsid w:val="005D3775"/>
    <w:rsid w:val="005D6E43"/>
    <w:rsid w:val="005D6EBD"/>
    <w:rsid w:val="005E10B6"/>
    <w:rsid w:val="005E2362"/>
    <w:rsid w:val="005E60EF"/>
    <w:rsid w:val="005F0A07"/>
    <w:rsid w:val="005F26D9"/>
    <w:rsid w:val="005F34B6"/>
    <w:rsid w:val="005F4503"/>
    <w:rsid w:val="006022B0"/>
    <w:rsid w:val="006029CB"/>
    <w:rsid w:val="006074A2"/>
    <w:rsid w:val="00613090"/>
    <w:rsid w:val="00614BA6"/>
    <w:rsid w:val="00615DEC"/>
    <w:rsid w:val="00616C99"/>
    <w:rsid w:val="00620552"/>
    <w:rsid w:val="0062096C"/>
    <w:rsid w:val="00624E1D"/>
    <w:rsid w:val="00624FB1"/>
    <w:rsid w:val="00631991"/>
    <w:rsid w:val="00632437"/>
    <w:rsid w:val="006353F5"/>
    <w:rsid w:val="00635D96"/>
    <w:rsid w:val="00636047"/>
    <w:rsid w:val="00636FB9"/>
    <w:rsid w:val="00642B92"/>
    <w:rsid w:val="0064309F"/>
    <w:rsid w:val="00647B94"/>
    <w:rsid w:val="00650AF5"/>
    <w:rsid w:val="00657AF6"/>
    <w:rsid w:val="00660F30"/>
    <w:rsid w:val="00663565"/>
    <w:rsid w:val="00663924"/>
    <w:rsid w:val="0066491F"/>
    <w:rsid w:val="00675294"/>
    <w:rsid w:val="00676A9C"/>
    <w:rsid w:val="00683C51"/>
    <w:rsid w:val="00695078"/>
    <w:rsid w:val="006A52EA"/>
    <w:rsid w:val="006A5719"/>
    <w:rsid w:val="006A5C5C"/>
    <w:rsid w:val="006B1FC4"/>
    <w:rsid w:val="006B6ECF"/>
    <w:rsid w:val="006C1148"/>
    <w:rsid w:val="006C444A"/>
    <w:rsid w:val="006C5407"/>
    <w:rsid w:val="006C5EB3"/>
    <w:rsid w:val="006C775F"/>
    <w:rsid w:val="006D02C3"/>
    <w:rsid w:val="006D2FB9"/>
    <w:rsid w:val="006D39ED"/>
    <w:rsid w:val="006D5FDF"/>
    <w:rsid w:val="006E35F3"/>
    <w:rsid w:val="006E40C2"/>
    <w:rsid w:val="006E4ACB"/>
    <w:rsid w:val="006F041A"/>
    <w:rsid w:val="006F27F4"/>
    <w:rsid w:val="006F2A61"/>
    <w:rsid w:val="00701202"/>
    <w:rsid w:val="00704BC6"/>
    <w:rsid w:val="00707B83"/>
    <w:rsid w:val="0071016B"/>
    <w:rsid w:val="00710732"/>
    <w:rsid w:val="00721B04"/>
    <w:rsid w:val="00721F3B"/>
    <w:rsid w:val="00723054"/>
    <w:rsid w:val="007236C2"/>
    <w:rsid w:val="00727ADA"/>
    <w:rsid w:val="00732085"/>
    <w:rsid w:val="00733D2A"/>
    <w:rsid w:val="00735FD2"/>
    <w:rsid w:val="00740F74"/>
    <w:rsid w:val="0074198B"/>
    <w:rsid w:val="007442B3"/>
    <w:rsid w:val="00746E09"/>
    <w:rsid w:val="007510D7"/>
    <w:rsid w:val="00766D47"/>
    <w:rsid w:val="00767D66"/>
    <w:rsid w:val="00775CCC"/>
    <w:rsid w:val="00776A77"/>
    <w:rsid w:val="00786DD4"/>
    <w:rsid w:val="00792AAF"/>
    <w:rsid w:val="00793A05"/>
    <w:rsid w:val="00793C64"/>
    <w:rsid w:val="0079471B"/>
    <w:rsid w:val="007A0D85"/>
    <w:rsid w:val="007A1C7E"/>
    <w:rsid w:val="007A4CE9"/>
    <w:rsid w:val="007B1D80"/>
    <w:rsid w:val="007B63C5"/>
    <w:rsid w:val="007B7E52"/>
    <w:rsid w:val="007C0F1D"/>
    <w:rsid w:val="007C2E41"/>
    <w:rsid w:val="007D0DF3"/>
    <w:rsid w:val="007D376E"/>
    <w:rsid w:val="007E0F9A"/>
    <w:rsid w:val="007E648D"/>
    <w:rsid w:val="007F0DA9"/>
    <w:rsid w:val="007F0F6C"/>
    <w:rsid w:val="007F5211"/>
    <w:rsid w:val="007F5F54"/>
    <w:rsid w:val="0080215B"/>
    <w:rsid w:val="008038EE"/>
    <w:rsid w:val="00804DC8"/>
    <w:rsid w:val="00806E61"/>
    <w:rsid w:val="00807639"/>
    <w:rsid w:val="00810322"/>
    <w:rsid w:val="0081159B"/>
    <w:rsid w:val="00813308"/>
    <w:rsid w:val="008146D4"/>
    <w:rsid w:val="00820C79"/>
    <w:rsid w:val="00820DDC"/>
    <w:rsid w:val="008226F5"/>
    <w:rsid w:val="00823645"/>
    <w:rsid w:val="00830468"/>
    <w:rsid w:val="00831279"/>
    <w:rsid w:val="00831294"/>
    <w:rsid w:val="00832371"/>
    <w:rsid w:val="00834B75"/>
    <w:rsid w:val="00837B49"/>
    <w:rsid w:val="00843551"/>
    <w:rsid w:val="00844E2A"/>
    <w:rsid w:val="00846B35"/>
    <w:rsid w:val="008476F2"/>
    <w:rsid w:val="0085043A"/>
    <w:rsid w:val="00860ABF"/>
    <w:rsid w:val="008611D4"/>
    <w:rsid w:val="008646D9"/>
    <w:rsid w:val="00871868"/>
    <w:rsid w:val="008719BA"/>
    <w:rsid w:val="00871B60"/>
    <w:rsid w:val="00871DDD"/>
    <w:rsid w:val="00872CCD"/>
    <w:rsid w:val="00873563"/>
    <w:rsid w:val="00881A49"/>
    <w:rsid w:val="00887E27"/>
    <w:rsid w:val="008906D7"/>
    <w:rsid w:val="00895395"/>
    <w:rsid w:val="008A1F4A"/>
    <w:rsid w:val="008A3451"/>
    <w:rsid w:val="008A64C5"/>
    <w:rsid w:val="008A7712"/>
    <w:rsid w:val="008A7897"/>
    <w:rsid w:val="008B189A"/>
    <w:rsid w:val="008B3711"/>
    <w:rsid w:val="008B7971"/>
    <w:rsid w:val="008B7E1E"/>
    <w:rsid w:val="008C05D3"/>
    <w:rsid w:val="008C198C"/>
    <w:rsid w:val="008C3D20"/>
    <w:rsid w:val="008D4F9B"/>
    <w:rsid w:val="008D5A80"/>
    <w:rsid w:val="008E261E"/>
    <w:rsid w:val="008E3511"/>
    <w:rsid w:val="008E6201"/>
    <w:rsid w:val="008F2F33"/>
    <w:rsid w:val="008F53DD"/>
    <w:rsid w:val="008F73DF"/>
    <w:rsid w:val="00901086"/>
    <w:rsid w:val="00902428"/>
    <w:rsid w:val="00903B2F"/>
    <w:rsid w:val="009068DC"/>
    <w:rsid w:val="00910580"/>
    <w:rsid w:val="00911D2A"/>
    <w:rsid w:val="009139FB"/>
    <w:rsid w:val="009168FA"/>
    <w:rsid w:val="00921FF1"/>
    <w:rsid w:val="00924E5F"/>
    <w:rsid w:val="00925919"/>
    <w:rsid w:val="00934F07"/>
    <w:rsid w:val="00935F96"/>
    <w:rsid w:val="00936B3C"/>
    <w:rsid w:val="00942391"/>
    <w:rsid w:val="00942A83"/>
    <w:rsid w:val="00943392"/>
    <w:rsid w:val="009452AA"/>
    <w:rsid w:val="00946CD4"/>
    <w:rsid w:val="0095133F"/>
    <w:rsid w:val="0095145B"/>
    <w:rsid w:val="00955B4D"/>
    <w:rsid w:val="00955D6E"/>
    <w:rsid w:val="00960E91"/>
    <w:rsid w:val="0096105B"/>
    <w:rsid w:val="00963228"/>
    <w:rsid w:val="00967D33"/>
    <w:rsid w:val="00971335"/>
    <w:rsid w:val="0097214A"/>
    <w:rsid w:val="0097436D"/>
    <w:rsid w:val="00974700"/>
    <w:rsid w:val="00975014"/>
    <w:rsid w:val="009770EA"/>
    <w:rsid w:val="00982731"/>
    <w:rsid w:val="00983BC0"/>
    <w:rsid w:val="00985988"/>
    <w:rsid w:val="00987835"/>
    <w:rsid w:val="009919CB"/>
    <w:rsid w:val="00991C9A"/>
    <w:rsid w:val="00992DDD"/>
    <w:rsid w:val="00995EE5"/>
    <w:rsid w:val="009963F7"/>
    <w:rsid w:val="00996E1E"/>
    <w:rsid w:val="009A35A4"/>
    <w:rsid w:val="009B1B35"/>
    <w:rsid w:val="009B2D11"/>
    <w:rsid w:val="009B532B"/>
    <w:rsid w:val="009B541C"/>
    <w:rsid w:val="009C52D9"/>
    <w:rsid w:val="009C6D94"/>
    <w:rsid w:val="009C74D4"/>
    <w:rsid w:val="009D2236"/>
    <w:rsid w:val="009D2766"/>
    <w:rsid w:val="009D2850"/>
    <w:rsid w:val="009E17AB"/>
    <w:rsid w:val="009E287F"/>
    <w:rsid w:val="009F044D"/>
    <w:rsid w:val="009F04FC"/>
    <w:rsid w:val="009F0A46"/>
    <w:rsid w:val="009F1A71"/>
    <w:rsid w:val="009F304A"/>
    <w:rsid w:val="009F6CD6"/>
    <w:rsid w:val="00A04266"/>
    <w:rsid w:val="00A053F3"/>
    <w:rsid w:val="00A12684"/>
    <w:rsid w:val="00A13FE1"/>
    <w:rsid w:val="00A14F7C"/>
    <w:rsid w:val="00A15EE0"/>
    <w:rsid w:val="00A20BAE"/>
    <w:rsid w:val="00A21BE0"/>
    <w:rsid w:val="00A23C12"/>
    <w:rsid w:val="00A25200"/>
    <w:rsid w:val="00A2631F"/>
    <w:rsid w:val="00A3271B"/>
    <w:rsid w:val="00A3503D"/>
    <w:rsid w:val="00A3549E"/>
    <w:rsid w:val="00A36079"/>
    <w:rsid w:val="00A36AAE"/>
    <w:rsid w:val="00A401C0"/>
    <w:rsid w:val="00A4238F"/>
    <w:rsid w:val="00A46199"/>
    <w:rsid w:val="00A4726D"/>
    <w:rsid w:val="00A537BE"/>
    <w:rsid w:val="00A55026"/>
    <w:rsid w:val="00A7127B"/>
    <w:rsid w:val="00A740C0"/>
    <w:rsid w:val="00A74932"/>
    <w:rsid w:val="00A768E1"/>
    <w:rsid w:val="00A85833"/>
    <w:rsid w:val="00A85C34"/>
    <w:rsid w:val="00A902C2"/>
    <w:rsid w:val="00A91EA3"/>
    <w:rsid w:val="00A954AC"/>
    <w:rsid w:val="00AA0A05"/>
    <w:rsid w:val="00AA348F"/>
    <w:rsid w:val="00AA40BC"/>
    <w:rsid w:val="00AB07FD"/>
    <w:rsid w:val="00AB7067"/>
    <w:rsid w:val="00AC08D3"/>
    <w:rsid w:val="00AC1371"/>
    <w:rsid w:val="00AC4918"/>
    <w:rsid w:val="00AC5453"/>
    <w:rsid w:val="00AC7776"/>
    <w:rsid w:val="00AD0CB8"/>
    <w:rsid w:val="00AD30C7"/>
    <w:rsid w:val="00AD5122"/>
    <w:rsid w:val="00AD5B40"/>
    <w:rsid w:val="00AE3681"/>
    <w:rsid w:val="00AE7C8B"/>
    <w:rsid w:val="00B00C61"/>
    <w:rsid w:val="00B01638"/>
    <w:rsid w:val="00B102E6"/>
    <w:rsid w:val="00B17E35"/>
    <w:rsid w:val="00B2104B"/>
    <w:rsid w:val="00B270B8"/>
    <w:rsid w:val="00B2756B"/>
    <w:rsid w:val="00B30AFB"/>
    <w:rsid w:val="00B3584D"/>
    <w:rsid w:val="00B456E8"/>
    <w:rsid w:val="00B56198"/>
    <w:rsid w:val="00B56D56"/>
    <w:rsid w:val="00B601A7"/>
    <w:rsid w:val="00B60B94"/>
    <w:rsid w:val="00B63562"/>
    <w:rsid w:val="00B66B7E"/>
    <w:rsid w:val="00B709B0"/>
    <w:rsid w:val="00B731C9"/>
    <w:rsid w:val="00B7520A"/>
    <w:rsid w:val="00B7732D"/>
    <w:rsid w:val="00B831C8"/>
    <w:rsid w:val="00B831FC"/>
    <w:rsid w:val="00B834BE"/>
    <w:rsid w:val="00B8491E"/>
    <w:rsid w:val="00B85437"/>
    <w:rsid w:val="00B85632"/>
    <w:rsid w:val="00B85CD0"/>
    <w:rsid w:val="00B93A65"/>
    <w:rsid w:val="00B9638F"/>
    <w:rsid w:val="00BA1051"/>
    <w:rsid w:val="00BA155A"/>
    <w:rsid w:val="00BA3B24"/>
    <w:rsid w:val="00BA7E85"/>
    <w:rsid w:val="00BB49FC"/>
    <w:rsid w:val="00BC0A9C"/>
    <w:rsid w:val="00BC386A"/>
    <w:rsid w:val="00BC7AD0"/>
    <w:rsid w:val="00BC7E59"/>
    <w:rsid w:val="00BD2FD1"/>
    <w:rsid w:val="00BD337A"/>
    <w:rsid w:val="00BD608A"/>
    <w:rsid w:val="00BE00E8"/>
    <w:rsid w:val="00BE01F7"/>
    <w:rsid w:val="00BE1ED8"/>
    <w:rsid w:val="00BF0E6A"/>
    <w:rsid w:val="00BF45C9"/>
    <w:rsid w:val="00BF4DDA"/>
    <w:rsid w:val="00BF7536"/>
    <w:rsid w:val="00C0021D"/>
    <w:rsid w:val="00C14C2E"/>
    <w:rsid w:val="00C1557C"/>
    <w:rsid w:val="00C17756"/>
    <w:rsid w:val="00C17DFA"/>
    <w:rsid w:val="00C20270"/>
    <w:rsid w:val="00C24A34"/>
    <w:rsid w:val="00C258BB"/>
    <w:rsid w:val="00C25D66"/>
    <w:rsid w:val="00C267C7"/>
    <w:rsid w:val="00C35212"/>
    <w:rsid w:val="00C352B2"/>
    <w:rsid w:val="00C40CCE"/>
    <w:rsid w:val="00C41B5A"/>
    <w:rsid w:val="00C41F16"/>
    <w:rsid w:val="00C421F8"/>
    <w:rsid w:val="00C448DD"/>
    <w:rsid w:val="00C44F52"/>
    <w:rsid w:val="00C46DEF"/>
    <w:rsid w:val="00C528F4"/>
    <w:rsid w:val="00C52B48"/>
    <w:rsid w:val="00C56A25"/>
    <w:rsid w:val="00C66F59"/>
    <w:rsid w:val="00C673A2"/>
    <w:rsid w:val="00C67B30"/>
    <w:rsid w:val="00C70087"/>
    <w:rsid w:val="00C72A1B"/>
    <w:rsid w:val="00C73A7F"/>
    <w:rsid w:val="00C73FCF"/>
    <w:rsid w:val="00C929DF"/>
    <w:rsid w:val="00C9466E"/>
    <w:rsid w:val="00C94BB1"/>
    <w:rsid w:val="00C95C00"/>
    <w:rsid w:val="00C978E4"/>
    <w:rsid w:val="00CA222B"/>
    <w:rsid w:val="00CA25A7"/>
    <w:rsid w:val="00CA558C"/>
    <w:rsid w:val="00CA5BBA"/>
    <w:rsid w:val="00CB5C8C"/>
    <w:rsid w:val="00CB5E33"/>
    <w:rsid w:val="00CC1AEB"/>
    <w:rsid w:val="00CC20DF"/>
    <w:rsid w:val="00CC2EDA"/>
    <w:rsid w:val="00CC46A3"/>
    <w:rsid w:val="00CC5904"/>
    <w:rsid w:val="00CC7605"/>
    <w:rsid w:val="00CD2D0D"/>
    <w:rsid w:val="00CD6824"/>
    <w:rsid w:val="00CE0ACB"/>
    <w:rsid w:val="00CE3F70"/>
    <w:rsid w:val="00CE7D1B"/>
    <w:rsid w:val="00CF46A6"/>
    <w:rsid w:val="00CF65C7"/>
    <w:rsid w:val="00CF7E8C"/>
    <w:rsid w:val="00D060B0"/>
    <w:rsid w:val="00D1637A"/>
    <w:rsid w:val="00D176AB"/>
    <w:rsid w:val="00D21D14"/>
    <w:rsid w:val="00D22C82"/>
    <w:rsid w:val="00D25C23"/>
    <w:rsid w:val="00D30DF1"/>
    <w:rsid w:val="00D31ACF"/>
    <w:rsid w:val="00D3306F"/>
    <w:rsid w:val="00D33C83"/>
    <w:rsid w:val="00D36D86"/>
    <w:rsid w:val="00D40F92"/>
    <w:rsid w:val="00D440F4"/>
    <w:rsid w:val="00D50FFB"/>
    <w:rsid w:val="00D51FF2"/>
    <w:rsid w:val="00D53BD6"/>
    <w:rsid w:val="00D55CCB"/>
    <w:rsid w:val="00D566B7"/>
    <w:rsid w:val="00D576D8"/>
    <w:rsid w:val="00D60BC5"/>
    <w:rsid w:val="00D707FA"/>
    <w:rsid w:val="00D726CA"/>
    <w:rsid w:val="00D86D39"/>
    <w:rsid w:val="00D87EAA"/>
    <w:rsid w:val="00D92BD3"/>
    <w:rsid w:val="00D93857"/>
    <w:rsid w:val="00DA5184"/>
    <w:rsid w:val="00DA6739"/>
    <w:rsid w:val="00DA7541"/>
    <w:rsid w:val="00DB056D"/>
    <w:rsid w:val="00DB0A3D"/>
    <w:rsid w:val="00DB0CBC"/>
    <w:rsid w:val="00DB12D4"/>
    <w:rsid w:val="00DB5852"/>
    <w:rsid w:val="00DB78A4"/>
    <w:rsid w:val="00DC2752"/>
    <w:rsid w:val="00DC5340"/>
    <w:rsid w:val="00DC6ED2"/>
    <w:rsid w:val="00DD1186"/>
    <w:rsid w:val="00DD6C2D"/>
    <w:rsid w:val="00DF083D"/>
    <w:rsid w:val="00DF5241"/>
    <w:rsid w:val="00DF54D4"/>
    <w:rsid w:val="00DF68F7"/>
    <w:rsid w:val="00DF6D1E"/>
    <w:rsid w:val="00E00B7F"/>
    <w:rsid w:val="00E02FF6"/>
    <w:rsid w:val="00E05FC3"/>
    <w:rsid w:val="00E0641C"/>
    <w:rsid w:val="00E12AB5"/>
    <w:rsid w:val="00E2174B"/>
    <w:rsid w:val="00E32759"/>
    <w:rsid w:val="00E336A9"/>
    <w:rsid w:val="00E41E40"/>
    <w:rsid w:val="00E45C20"/>
    <w:rsid w:val="00E46E83"/>
    <w:rsid w:val="00E50B43"/>
    <w:rsid w:val="00E50DCB"/>
    <w:rsid w:val="00E51F23"/>
    <w:rsid w:val="00E55201"/>
    <w:rsid w:val="00E653D8"/>
    <w:rsid w:val="00E72B48"/>
    <w:rsid w:val="00E779D9"/>
    <w:rsid w:val="00E84CCA"/>
    <w:rsid w:val="00E85B06"/>
    <w:rsid w:val="00E86F50"/>
    <w:rsid w:val="00E8732A"/>
    <w:rsid w:val="00E92A40"/>
    <w:rsid w:val="00E93679"/>
    <w:rsid w:val="00E9500C"/>
    <w:rsid w:val="00E95E99"/>
    <w:rsid w:val="00E96242"/>
    <w:rsid w:val="00E9681A"/>
    <w:rsid w:val="00E96ABD"/>
    <w:rsid w:val="00EA66C0"/>
    <w:rsid w:val="00EB28EF"/>
    <w:rsid w:val="00EC3A9F"/>
    <w:rsid w:val="00EC54A9"/>
    <w:rsid w:val="00EC5C87"/>
    <w:rsid w:val="00EC5EA4"/>
    <w:rsid w:val="00EC6DCE"/>
    <w:rsid w:val="00ED05EB"/>
    <w:rsid w:val="00ED0C25"/>
    <w:rsid w:val="00ED4220"/>
    <w:rsid w:val="00ED484C"/>
    <w:rsid w:val="00EE768E"/>
    <w:rsid w:val="00EF272E"/>
    <w:rsid w:val="00EF409C"/>
    <w:rsid w:val="00EF529E"/>
    <w:rsid w:val="00F00729"/>
    <w:rsid w:val="00F00792"/>
    <w:rsid w:val="00F01CA4"/>
    <w:rsid w:val="00F01F28"/>
    <w:rsid w:val="00F0277A"/>
    <w:rsid w:val="00F02F79"/>
    <w:rsid w:val="00F10401"/>
    <w:rsid w:val="00F10F1C"/>
    <w:rsid w:val="00F11E6B"/>
    <w:rsid w:val="00F11EB5"/>
    <w:rsid w:val="00F121AB"/>
    <w:rsid w:val="00F14C02"/>
    <w:rsid w:val="00F15C57"/>
    <w:rsid w:val="00F16519"/>
    <w:rsid w:val="00F20349"/>
    <w:rsid w:val="00F20413"/>
    <w:rsid w:val="00F25701"/>
    <w:rsid w:val="00F25D8F"/>
    <w:rsid w:val="00F26D1B"/>
    <w:rsid w:val="00F3110C"/>
    <w:rsid w:val="00F37170"/>
    <w:rsid w:val="00F41C2F"/>
    <w:rsid w:val="00F423F8"/>
    <w:rsid w:val="00F45E65"/>
    <w:rsid w:val="00F547AE"/>
    <w:rsid w:val="00F54851"/>
    <w:rsid w:val="00F56155"/>
    <w:rsid w:val="00F61013"/>
    <w:rsid w:val="00F64942"/>
    <w:rsid w:val="00F76ED0"/>
    <w:rsid w:val="00F77CC9"/>
    <w:rsid w:val="00F80F36"/>
    <w:rsid w:val="00F81457"/>
    <w:rsid w:val="00F8362A"/>
    <w:rsid w:val="00F926F4"/>
    <w:rsid w:val="00F93ADD"/>
    <w:rsid w:val="00FA0111"/>
    <w:rsid w:val="00FA1960"/>
    <w:rsid w:val="00FA2D10"/>
    <w:rsid w:val="00FA39E4"/>
    <w:rsid w:val="00FA55D4"/>
    <w:rsid w:val="00FB2AF9"/>
    <w:rsid w:val="00FC0AB1"/>
    <w:rsid w:val="00FC10C6"/>
    <w:rsid w:val="00FC222C"/>
    <w:rsid w:val="00FC2D38"/>
    <w:rsid w:val="00FC6D18"/>
    <w:rsid w:val="00FD33DD"/>
    <w:rsid w:val="00FD66A9"/>
    <w:rsid w:val="00FD7170"/>
    <w:rsid w:val="00FE2207"/>
    <w:rsid w:val="00FE53AF"/>
    <w:rsid w:val="00FF151D"/>
    <w:rsid w:val="00FF20E1"/>
    <w:rsid w:val="00FF2BE6"/>
    <w:rsid w:val="00FF45E6"/>
    <w:rsid w:val="00FF52B7"/>
    <w:rsid w:val="00FF71A3"/>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2D8DB"/>
  <w15:docId w15:val="{76B753EB-3196-4230-98FA-A9A66AB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2B"/>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86A"/>
    <w:pPr>
      <w:tabs>
        <w:tab w:val="center" w:pos="4320"/>
        <w:tab w:val="right" w:pos="8640"/>
      </w:tabs>
    </w:pPr>
    <w:rPr>
      <w:rFonts w:ascii="Times" w:hAnsi="Times"/>
      <w:szCs w:val="20"/>
      <w:lang w:val="en-US" w:eastAsia="en-US"/>
    </w:rPr>
  </w:style>
  <w:style w:type="character" w:styleId="Hyperlink">
    <w:name w:val="Hyperlink"/>
    <w:rsid w:val="00BC386A"/>
    <w:rPr>
      <w:color w:val="0000FF"/>
      <w:u w:val="single"/>
    </w:rPr>
  </w:style>
  <w:style w:type="character" w:customStyle="1" w:styleId="StyleArial">
    <w:name w:val="Style Arial"/>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link w:val="Footer"/>
    <w:uiPriority w:val="99"/>
    <w:rsid w:val="00631991"/>
    <w:rPr>
      <w:rFonts w:ascii="Arial" w:hAnsi="Arial"/>
      <w:sz w:val="24"/>
      <w:szCs w:val="24"/>
    </w:rPr>
  </w:style>
  <w:style w:type="character" w:styleId="CommentReference">
    <w:name w:val="annotation reference"/>
    <w:rsid w:val="006E40C2"/>
    <w:rPr>
      <w:sz w:val="16"/>
      <w:szCs w:val="16"/>
    </w:rPr>
  </w:style>
  <w:style w:type="paragraph" w:styleId="CommentText">
    <w:name w:val="annotation text"/>
    <w:basedOn w:val="Normal"/>
    <w:link w:val="CommentTextChar"/>
    <w:rsid w:val="006E40C2"/>
    <w:rPr>
      <w:sz w:val="20"/>
      <w:szCs w:val="20"/>
    </w:rPr>
  </w:style>
  <w:style w:type="character" w:customStyle="1" w:styleId="CommentTextChar">
    <w:name w:val="Comment Text Char"/>
    <w:link w:val="CommentText"/>
    <w:rsid w:val="006E40C2"/>
    <w:rPr>
      <w:rFonts w:ascii="Arial" w:hAnsi="Arial"/>
    </w:rPr>
  </w:style>
  <w:style w:type="paragraph" w:styleId="CommentSubject">
    <w:name w:val="annotation subject"/>
    <w:basedOn w:val="CommentText"/>
    <w:next w:val="CommentText"/>
    <w:link w:val="CommentSubjectChar"/>
    <w:rsid w:val="006E40C2"/>
    <w:rPr>
      <w:b/>
      <w:bCs/>
    </w:rPr>
  </w:style>
  <w:style w:type="character" w:customStyle="1" w:styleId="CommentSubjectChar">
    <w:name w:val="Comment Subject Char"/>
    <w:link w:val="CommentSubject"/>
    <w:rsid w:val="006E40C2"/>
    <w:rPr>
      <w:rFonts w:ascii="Arial" w:hAnsi="Arial"/>
      <w:b/>
      <w:bC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792AAF"/>
    <w:pPr>
      <w:ind w:left="720"/>
    </w:pPr>
    <w:rPr>
      <w:rFonts w:ascii="Calibri" w:eastAsia="Calibri" w:hAnsi="Calibri"/>
      <w:sz w:val="22"/>
      <w:szCs w:val="22"/>
    </w:rPr>
  </w:style>
  <w:style w:type="character" w:customStyle="1" w:styleId="HeaderChar">
    <w:name w:val="Header Char"/>
    <w:basedOn w:val="DefaultParagraphFont"/>
    <w:link w:val="Header"/>
    <w:uiPriority w:val="99"/>
    <w:rsid w:val="00A85833"/>
    <w:rPr>
      <w:rFonts w:ascii="Times" w:hAnsi="Times"/>
      <w:sz w:val="24"/>
      <w:lang w:val="en-US" w:eastAsia="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8906D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3296">
      <w:bodyDiv w:val="1"/>
      <w:marLeft w:val="0"/>
      <w:marRight w:val="0"/>
      <w:marTop w:val="0"/>
      <w:marBottom w:val="0"/>
      <w:divBdr>
        <w:top w:val="none" w:sz="0" w:space="0" w:color="auto"/>
        <w:left w:val="none" w:sz="0" w:space="0" w:color="auto"/>
        <w:bottom w:val="none" w:sz="0" w:space="0" w:color="auto"/>
        <w:right w:val="none" w:sz="0" w:space="0" w:color="auto"/>
      </w:divBdr>
    </w:div>
    <w:div w:id="680277974">
      <w:bodyDiv w:val="1"/>
      <w:marLeft w:val="0"/>
      <w:marRight w:val="0"/>
      <w:marTop w:val="0"/>
      <w:marBottom w:val="0"/>
      <w:divBdr>
        <w:top w:val="none" w:sz="0" w:space="0" w:color="auto"/>
        <w:left w:val="none" w:sz="0" w:space="0" w:color="auto"/>
        <w:bottom w:val="none" w:sz="0" w:space="0" w:color="auto"/>
        <w:right w:val="none" w:sz="0" w:space="0" w:color="auto"/>
      </w:divBdr>
    </w:div>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1035959933">
      <w:bodyDiv w:val="1"/>
      <w:marLeft w:val="0"/>
      <w:marRight w:val="0"/>
      <w:marTop w:val="0"/>
      <w:marBottom w:val="0"/>
      <w:divBdr>
        <w:top w:val="none" w:sz="0" w:space="0" w:color="auto"/>
        <w:left w:val="none" w:sz="0" w:space="0" w:color="auto"/>
        <w:bottom w:val="none" w:sz="0" w:space="0" w:color="auto"/>
        <w:right w:val="none" w:sz="0" w:space="0" w:color="auto"/>
      </w:divBdr>
    </w:div>
    <w:div w:id="1066493701">
      <w:bodyDiv w:val="1"/>
      <w:marLeft w:val="0"/>
      <w:marRight w:val="0"/>
      <w:marTop w:val="0"/>
      <w:marBottom w:val="0"/>
      <w:divBdr>
        <w:top w:val="none" w:sz="0" w:space="0" w:color="auto"/>
        <w:left w:val="none" w:sz="0" w:space="0" w:color="auto"/>
        <w:bottom w:val="none" w:sz="0" w:space="0" w:color="auto"/>
        <w:right w:val="none" w:sz="0" w:space="0" w:color="auto"/>
      </w:divBdr>
    </w:div>
    <w:div w:id="1213468144">
      <w:bodyDiv w:val="1"/>
      <w:marLeft w:val="0"/>
      <w:marRight w:val="0"/>
      <w:marTop w:val="0"/>
      <w:marBottom w:val="0"/>
      <w:divBdr>
        <w:top w:val="none" w:sz="0" w:space="0" w:color="auto"/>
        <w:left w:val="none" w:sz="0" w:space="0" w:color="auto"/>
        <w:bottom w:val="none" w:sz="0" w:space="0" w:color="auto"/>
        <w:right w:val="none" w:sz="0" w:space="0" w:color="auto"/>
      </w:divBdr>
    </w:div>
    <w:div w:id="1518352543">
      <w:bodyDiv w:val="1"/>
      <w:marLeft w:val="0"/>
      <w:marRight w:val="0"/>
      <w:marTop w:val="0"/>
      <w:marBottom w:val="0"/>
      <w:divBdr>
        <w:top w:val="none" w:sz="0" w:space="0" w:color="auto"/>
        <w:left w:val="none" w:sz="0" w:space="0" w:color="auto"/>
        <w:bottom w:val="none" w:sz="0" w:space="0" w:color="auto"/>
        <w:right w:val="none" w:sz="0" w:space="0" w:color="auto"/>
      </w:divBdr>
    </w:div>
    <w:div w:id="1560094359">
      <w:bodyDiv w:val="1"/>
      <w:marLeft w:val="0"/>
      <w:marRight w:val="0"/>
      <w:marTop w:val="0"/>
      <w:marBottom w:val="0"/>
      <w:divBdr>
        <w:top w:val="none" w:sz="0" w:space="0" w:color="auto"/>
        <w:left w:val="none" w:sz="0" w:space="0" w:color="auto"/>
        <w:bottom w:val="none" w:sz="0" w:space="0" w:color="auto"/>
        <w:right w:val="none" w:sz="0" w:space="0" w:color="auto"/>
      </w:divBdr>
    </w:div>
    <w:div w:id="1645155430">
      <w:bodyDiv w:val="1"/>
      <w:marLeft w:val="0"/>
      <w:marRight w:val="0"/>
      <w:marTop w:val="0"/>
      <w:marBottom w:val="0"/>
      <w:divBdr>
        <w:top w:val="none" w:sz="0" w:space="0" w:color="auto"/>
        <w:left w:val="none" w:sz="0" w:space="0" w:color="auto"/>
        <w:bottom w:val="none" w:sz="0" w:space="0" w:color="auto"/>
        <w:right w:val="none" w:sz="0" w:space="0" w:color="auto"/>
      </w:divBdr>
    </w:div>
    <w:div w:id="1888104395">
      <w:bodyDiv w:val="1"/>
      <w:marLeft w:val="0"/>
      <w:marRight w:val="0"/>
      <w:marTop w:val="0"/>
      <w:marBottom w:val="0"/>
      <w:divBdr>
        <w:top w:val="none" w:sz="0" w:space="0" w:color="auto"/>
        <w:left w:val="none" w:sz="0" w:space="0" w:color="auto"/>
        <w:bottom w:val="none" w:sz="0" w:space="0" w:color="auto"/>
        <w:right w:val="none" w:sz="0" w:space="0" w:color="auto"/>
      </w:divBdr>
    </w:div>
    <w:div w:id="1949727885">
      <w:bodyDiv w:val="1"/>
      <w:marLeft w:val="0"/>
      <w:marRight w:val="0"/>
      <w:marTop w:val="0"/>
      <w:marBottom w:val="0"/>
      <w:divBdr>
        <w:top w:val="none" w:sz="0" w:space="0" w:color="auto"/>
        <w:left w:val="none" w:sz="0" w:space="0" w:color="auto"/>
        <w:bottom w:val="none" w:sz="0" w:space="0" w:color="auto"/>
        <w:right w:val="none" w:sz="0" w:space="0" w:color="auto"/>
      </w:divBdr>
    </w:div>
    <w:div w:id="2047483409">
      <w:bodyDiv w:val="1"/>
      <w:marLeft w:val="0"/>
      <w:marRight w:val="0"/>
      <w:marTop w:val="0"/>
      <w:marBottom w:val="0"/>
      <w:divBdr>
        <w:top w:val="none" w:sz="0" w:space="0" w:color="auto"/>
        <w:left w:val="none" w:sz="0" w:space="0" w:color="auto"/>
        <w:bottom w:val="none" w:sz="0" w:space="0" w:color="auto"/>
        <w:right w:val="none" w:sz="0" w:space="0" w:color="auto"/>
      </w:divBdr>
    </w:div>
    <w:div w:id="20566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D097-EE7A-49BE-A0D0-24364C34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Gunn, Ronan</cp:lastModifiedBy>
  <cp:revision>38</cp:revision>
  <cp:lastPrinted>2018-05-01T12:14:00Z</cp:lastPrinted>
  <dcterms:created xsi:type="dcterms:W3CDTF">2018-10-03T10:48:00Z</dcterms:created>
  <dcterms:modified xsi:type="dcterms:W3CDTF">2020-08-25T10:35:00Z</dcterms:modified>
</cp:coreProperties>
</file>