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9748" w14:textId="55CA29A1" w:rsidR="00A63A7C" w:rsidRPr="00D82430" w:rsidRDefault="00D82430" w:rsidP="00D8243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82430">
        <w:rPr>
          <w:rFonts w:ascii="Arial" w:hAnsi="Arial" w:cs="Arial"/>
          <w:b/>
          <w:bCs/>
          <w:sz w:val="24"/>
          <w:szCs w:val="24"/>
          <w:lang w:val="en-US"/>
        </w:rPr>
        <w:t>DAERA FINANCE COMMITTEE (FC) MEETING</w:t>
      </w:r>
    </w:p>
    <w:p w14:paraId="47ABDB22" w14:textId="0AD187E9" w:rsidR="00D82430" w:rsidRPr="00D82430" w:rsidRDefault="00D82430" w:rsidP="00D8243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82430">
        <w:rPr>
          <w:rFonts w:ascii="Arial" w:hAnsi="Arial" w:cs="Arial"/>
          <w:b/>
          <w:bCs/>
          <w:sz w:val="24"/>
          <w:szCs w:val="24"/>
          <w:lang w:val="en-US"/>
        </w:rPr>
        <w:t>7 February 2023 @ 14.00-15.30</w:t>
      </w:r>
    </w:p>
    <w:p w14:paraId="2357AA9F" w14:textId="37BAE747" w:rsidR="00D82430" w:rsidRPr="00D82430" w:rsidRDefault="008F081D" w:rsidP="00D8243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Via </w:t>
      </w:r>
      <w:r w:rsidR="00D82430" w:rsidRPr="00D82430">
        <w:rPr>
          <w:rFonts w:ascii="Arial" w:hAnsi="Arial" w:cs="Arial"/>
          <w:b/>
          <w:bCs/>
          <w:sz w:val="24"/>
          <w:szCs w:val="24"/>
          <w:lang w:val="en-US"/>
        </w:rPr>
        <w:t>Microsoft Teams</w:t>
      </w:r>
    </w:p>
    <w:p w14:paraId="377DF439" w14:textId="760F1189" w:rsidR="00D82430" w:rsidRPr="00D82430" w:rsidRDefault="00D82430" w:rsidP="00D8243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20A503" w14:textId="3018FA26" w:rsidR="00D82430" w:rsidRPr="00D82430" w:rsidRDefault="00D82430" w:rsidP="00D8243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D82430">
        <w:rPr>
          <w:rFonts w:ascii="Arial" w:hAnsi="Arial" w:cs="Arial"/>
          <w:b/>
          <w:bCs/>
          <w:sz w:val="24"/>
          <w:szCs w:val="24"/>
          <w:u w:val="single"/>
          <w:lang w:val="en-US"/>
        </w:rPr>
        <w:t>Minutes</w:t>
      </w:r>
    </w:p>
    <w:p w14:paraId="494163A3" w14:textId="2BB506CD" w:rsidR="00D82430" w:rsidRPr="00F85202" w:rsidRDefault="00D82430" w:rsidP="00D8243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Attendees:</w:t>
      </w:r>
      <w:r w:rsidRPr="00F85202">
        <w:rPr>
          <w:rFonts w:ascii="Arial" w:hAnsi="Arial" w:cs="Arial"/>
          <w:b/>
          <w:bCs/>
          <w:sz w:val="24"/>
          <w:szCs w:val="24"/>
          <w:lang w:val="en-US"/>
        </w:rPr>
        <w:tab/>
        <w:t>Brian Doherty (Chair)</w:t>
      </w:r>
    </w:p>
    <w:p w14:paraId="15DBE142" w14:textId="739B2B8B" w:rsidR="00D82430" w:rsidRPr="00F85202" w:rsidRDefault="00D82430" w:rsidP="00D8243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Kathryn Clarke</w:t>
      </w:r>
    </w:p>
    <w:p w14:paraId="22E27799" w14:textId="2FAF8099" w:rsidR="00D82430" w:rsidRPr="00F85202" w:rsidRDefault="00D82430" w:rsidP="00D8243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Paul Donnelly</w:t>
      </w:r>
    </w:p>
    <w:p w14:paraId="5AD2AA22" w14:textId="763F5414" w:rsidR="00D82430" w:rsidRPr="00F85202" w:rsidRDefault="00D82430" w:rsidP="00D8243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Roger Downey</w:t>
      </w:r>
    </w:p>
    <w:p w14:paraId="76897F7E" w14:textId="1329D7A7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Norman Fulton</w:t>
      </w:r>
    </w:p>
    <w:p w14:paraId="6B7F4A30" w14:textId="7AE53955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Robert Huey</w:t>
      </w:r>
    </w:p>
    <w:p w14:paraId="46D56438" w14:textId="6A9F0305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David Reid</w:t>
      </w:r>
    </w:p>
    <w:p w14:paraId="0E797F69" w14:textId="4D29CF1A" w:rsidR="00D82430" w:rsidRDefault="00675C2D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John Mills (Deputising for Tracey Teague)</w:t>
      </w:r>
    </w:p>
    <w:p w14:paraId="57FB0338" w14:textId="0EA54841" w:rsidR="003625B2" w:rsidRPr="00F85202" w:rsidRDefault="003625B2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Seamus McErlean</w:t>
      </w:r>
    </w:p>
    <w:p w14:paraId="1681379E" w14:textId="77777777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William Peel</w:t>
      </w:r>
    </w:p>
    <w:p w14:paraId="47EA25C7" w14:textId="5EA671EC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Briege Lafferty</w:t>
      </w:r>
    </w:p>
    <w:p w14:paraId="326D538F" w14:textId="514FA8B7" w:rsidR="00D82430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Lynda Lowe</w:t>
      </w:r>
    </w:p>
    <w:p w14:paraId="78086193" w14:textId="479257A8" w:rsidR="00252B3A" w:rsidRDefault="00252B3A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Richard McAuley</w:t>
      </w:r>
    </w:p>
    <w:p w14:paraId="5439A265" w14:textId="2C69E117" w:rsidR="003625B2" w:rsidRDefault="003625B2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Nichola Patton</w:t>
      </w:r>
    </w:p>
    <w:p w14:paraId="74ECF975" w14:textId="4236D8D9" w:rsidR="003625B2" w:rsidRDefault="003625B2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Nuala Hennessy</w:t>
      </w:r>
    </w:p>
    <w:p w14:paraId="2CC6DFAC" w14:textId="75D19809" w:rsidR="003625B2" w:rsidRDefault="003625B2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Donna Hodge</w:t>
      </w:r>
    </w:p>
    <w:p w14:paraId="04C29AD8" w14:textId="55278AC9" w:rsidR="003625B2" w:rsidRPr="00F85202" w:rsidRDefault="003625B2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Helen Mullan</w:t>
      </w:r>
    </w:p>
    <w:p w14:paraId="2938CC2F" w14:textId="12BA306C" w:rsidR="00D82430" w:rsidRPr="00F85202" w:rsidRDefault="00D82430" w:rsidP="00D82430">
      <w:pPr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F85202">
        <w:rPr>
          <w:rFonts w:ascii="Arial" w:hAnsi="Arial" w:cs="Arial"/>
          <w:b/>
          <w:bCs/>
          <w:sz w:val="24"/>
          <w:szCs w:val="24"/>
          <w:lang w:val="en-US"/>
        </w:rPr>
        <w:t>Beverley Bhatia (Secretariat)</w:t>
      </w:r>
    </w:p>
    <w:p w14:paraId="03B71BE9" w14:textId="2D90E84E" w:rsidR="00D82430" w:rsidRDefault="00D8243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2CC25E" w14:textId="4F062B98" w:rsidR="00F85202" w:rsidRDefault="00F8520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Apologies:</w:t>
      </w:r>
      <w:r w:rsidR="00675C2D">
        <w:rPr>
          <w:rFonts w:ascii="Arial" w:hAnsi="Arial" w:cs="Arial"/>
          <w:b/>
          <w:bCs/>
          <w:sz w:val="24"/>
          <w:szCs w:val="24"/>
          <w:lang w:val="en-US"/>
        </w:rPr>
        <w:t xml:space="preserve"> Tracey Teague</w:t>
      </w:r>
    </w:p>
    <w:p w14:paraId="6A644161" w14:textId="232D211F" w:rsidR="00F85202" w:rsidRDefault="00F852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7230"/>
        <w:gridCol w:w="1842"/>
      </w:tblGrid>
      <w:tr w:rsidR="00F85202" w14:paraId="7CB888A6" w14:textId="77777777" w:rsidTr="00F76ADA">
        <w:tc>
          <w:tcPr>
            <w:tcW w:w="562" w:type="dxa"/>
          </w:tcPr>
          <w:p w14:paraId="115B7A83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7D779E98" w14:textId="705D1592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842" w:type="dxa"/>
          </w:tcPr>
          <w:p w14:paraId="710C3775" w14:textId="7432B523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Paper Reference</w:t>
            </w:r>
            <w:r w:rsidR="00F76A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Action owner</w:t>
            </w:r>
          </w:p>
        </w:tc>
      </w:tr>
      <w:tr w:rsidR="00F85202" w14:paraId="50B05C7E" w14:textId="77777777" w:rsidTr="00F76ADA">
        <w:tc>
          <w:tcPr>
            <w:tcW w:w="562" w:type="dxa"/>
          </w:tcPr>
          <w:p w14:paraId="7960C919" w14:textId="2B34B46C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</w:tcPr>
          <w:p w14:paraId="110FB59A" w14:textId="2D48584F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Apologies and Minutes and Action Points of Previous Meeting</w:t>
            </w:r>
          </w:p>
        </w:tc>
        <w:tc>
          <w:tcPr>
            <w:tcW w:w="1842" w:type="dxa"/>
          </w:tcPr>
          <w:p w14:paraId="22B68F9E" w14:textId="5623E006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42/22</w:t>
            </w:r>
          </w:p>
        </w:tc>
      </w:tr>
      <w:tr w:rsidR="00F85202" w14:paraId="76331A88" w14:textId="77777777" w:rsidTr="00F76ADA">
        <w:tc>
          <w:tcPr>
            <w:tcW w:w="562" w:type="dxa"/>
          </w:tcPr>
          <w:p w14:paraId="1A1E0E18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3C11076A" w14:textId="06AE3D41" w:rsidR="005A4B1B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25B2">
              <w:rPr>
                <w:rFonts w:ascii="Arial" w:hAnsi="Arial" w:cs="Arial"/>
                <w:sz w:val="24"/>
                <w:szCs w:val="24"/>
                <w:lang w:val="en-US"/>
              </w:rPr>
              <w:t xml:space="preserve">The Chair welcomed members to the meeting and noted the apologies. </w:t>
            </w:r>
          </w:p>
          <w:p w14:paraId="657098AA" w14:textId="77777777" w:rsidR="006D1638" w:rsidRPr="003625B2" w:rsidRDefault="006D16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C66095" w14:textId="2B9D987C" w:rsidR="005F3091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25B2">
              <w:rPr>
                <w:rFonts w:ascii="Arial" w:hAnsi="Arial" w:cs="Arial"/>
                <w:sz w:val="24"/>
                <w:szCs w:val="24"/>
                <w:lang w:val="en-US"/>
              </w:rPr>
              <w:t xml:space="preserve">Members agreed the Minutes of 15 November 2022 </w:t>
            </w:r>
            <w:r w:rsidR="005F3091" w:rsidRPr="003625B2">
              <w:rPr>
                <w:rFonts w:ascii="Arial" w:hAnsi="Arial" w:cs="Arial"/>
                <w:sz w:val="24"/>
                <w:szCs w:val="24"/>
                <w:lang w:val="en-US"/>
              </w:rPr>
              <w:t xml:space="preserve">Finance Committee </w:t>
            </w:r>
            <w:r w:rsidRPr="003625B2">
              <w:rPr>
                <w:rFonts w:ascii="Arial" w:hAnsi="Arial" w:cs="Arial"/>
                <w:sz w:val="24"/>
                <w:szCs w:val="24"/>
                <w:lang w:val="en-US"/>
              </w:rPr>
              <w:t xml:space="preserve">meeting. </w:t>
            </w:r>
          </w:p>
          <w:p w14:paraId="57EFA802" w14:textId="77777777" w:rsidR="006D1638" w:rsidRPr="003625B2" w:rsidRDefault="006D16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AF9F16" w14:textId="77777777" w:rsidR="00F85202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25B2">
              <w:rPr>
                <w:rFonts w:ascii="Arial" w:hAnsi="Arial" w:cs="Arial"/>
                <w:sz w:val="24"/>
                <w:szCs w:val="24"/>
                <w:lang w:val="en-US"/>
              </w:rPr>
              <w:t>There were no actions arising from the meeting on 15 November 2022.</w:t>
            </w:r>
          </w:p>
          <w:p w14:paraId="0E0F77DA" w14:textId="640FBC17" w:rsidR="002B69DE" w:rsidRPr="008F081D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275A477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202" w14:paraId="7B5908C2" w14:textId="77777777" w:rsidTr="00F76ADA">
        <w:tc>
          <w:tcPr>
            <w:tcW w:w="562" w:type="dxa"/>
          </w:tcPr>
          <w:p w14:paraId="17F42834" w14:textId="1FFA6608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230" w:type="dxa"/>
          </w:tcPr>
          <w:p w14:paraId="0CB70E89" w14:textId="3D53626E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852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2023-24 update</w:t>
            </w:r>
          </w:p>
        </w:tc>
        <w:tc>
          <w:tcPr>
            <w:tcW w:w="1842" w:type="dxa"/>
          </w:tcPr>
          <w:p w14:paraId="65B567B9" w14:textId="4C3ECAFD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01/23</w:t>
            </w:r>
          </w:p>
        </w:tc>
      </w:tr>
      <w:tr w:rsidR="00F85202" w14:paraId="4E08354D" w14:textId="77777777" w:rsidTr="00F76ADA">
        <w:tc>
          <w:tcPr>
            <w:tcW w:w="562" w:type="dxa"/>
          </w:tcPr>
          <w:p w14:paraId="63ED73A2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13845A4A" w14:textId="0BB84750" w:rsidR="00C05102" w:rsidRPr="003B0B40" w:rsidRDefault="003625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Brian Doherty </w:t>
            </w:r>
            <w:r w:rsidR="00C05102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advised </w:t>
            </w:r>
            <w:r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that there is a standalone </w:t>
            </w:r>
            <w:r w:rsidR="007E00B5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discussion item </w:t>
            </w:r>
            <w:r w:rsidR="00C05102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regarding the 2023/24 Budget </w:t>
            </w:r>
            <w:r w:rsidR="007E00B5" w:rsidRPr="003B0B40">
              <w:rPr>
                <w:rFonts w:ascii="Arial" w:hAnsi="Arial" w:cs="Arial"/>
                <w:sz w:val="24"/>
                <w:szCs w:val="24"/>
                <w:lang w:val="en-US"/>
              </w:rPr>
              <w:t>at the Top Leadership Team</w:t>
            </w:r>
            <w:r w:rsidR="00DC0466">
              <w:rPr>
                <w:rFonts w:ascii="Arial" w:hAnsi="Arial" w:cs="Arial"/>
                <w:sz w:val="24"/>
                <w:szCs w:val="24"/>
                <w:lang w:val="en-US"/>
              </w:rPr>
              <w:t xml:space="preserve"> (TLT)</w:t>
            </w:r>
            <w:r w:rsidR="007E00B5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 meeting on 8 </w:t>
            </w:r>
            <w:r w:rsidRPr="003B0B40">
              <w:rPr>
                <w:rFonts w:ascii="Arial" w:hAnsi="Arial" w:cs="Arial"/>
                <w:sz w:val="24"/>
                <w:szCs w:val="24"/>
                <w:lang w:val="en-US"/>
              </w:rPr>
              <w:t>February 2023</w:t>
            </w:r>
            <w:r w:rsidR="007E00B5" w:rsidRPr="003B0B4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C05102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BC2E7BD" w14:textId="4B261757" w:rsidR="00F85202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0B4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Lynda Lowe</w:t>
            </w:r>
            <w:r w:rsidR="005F3091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B0B40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confirmed the </w:t>
            </w:r>
            <w:r w:rsidR="00AC5102">
              <w:rPr>
                <w:rFonts w:ascii="Arial" w:hAnsi="Arial" w:cs="Arial"/>
                <w:sz w:val="24"/>
                <w:szCs w:val="24"/>
                <w:lang w:val="en-US"/>
              </w:rPr>
              <w:t xml:space="preserve">Budget 2023-24 </w:t>
            </w:r>
            <w:r w:rsidR="003B0B40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position has changed since the paper was provided to members, 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as </w:t>
            </w:r>
            <w:r w:rsidR="003B0B40" w:rsidRPr="003B0B40">
              <w:rPr>
                <w:rFonts w:ascii="Arial" w:hAnsi="Arial" w:cs="Arial"/>
                <w:sz w:val="24"/>
                <w:szCs w:val="24"/>
                <w:lang w:val="en-US"/>
              </w:rPr>
              <w:t xml:space="preserve">an exercise 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has </w:t>
            </w:r>
            <w:r w:rsidR="003B0B40" w:rsidRPr="003B0B40">
              <w:rPr>
                <w:rFonts w:ascii="Arial" w:hAnsi="Arial" w:cs="Arial"/>
                <w:sz w:val="24"/>
                <w:szCs w:val="24"/>
                <w:lang w:val="en-US"/>
              </w:rPr>
              <w:t>now been commissioned by DoF and information has been circulated to Grade 3s.</w:t>
            </w:r>
            <w:r w:rsidR="00DC0466">
              <w:rPr>
                <w:rFonts w:ascii="Arial" w:hAnsi="Arial" w:cs="Arial"/>
                <w:sz w:val="24"/>
                <w:szCs w:val="24"/>
                <w:lang w:val="en-US"/>
              </w:rPr>
              <w:t xml:space="preserve"> Discussions on proposals will be discussed at the TLT meeting.</w:t>
            </w:r>
          </w:p>
          <w:p w14:paraId="22839A13" w14:textId="506D818E" w:rsidR="003B0B40" w:rsidRDefault="00BE01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Roger advised that the return is due with DoF </w:t>
            </w:r>
            <w:r w:rsid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on </w:t>
            </w:r>
            <w:r w:rsidR="007264B1" w:rsidRPr="007264B1">
              <w:rPr>
                <w:rFonts w:ascii="Arial" w:hAnsi="Arial" w:cs="Arial"/>
                <w:sz w:val="24"/>
                <w:szCs w:val="24"/>
                <w:lang w:val="en-US"/>
              </w:rPr>
              <w:t>8 February 2023</w:t>
            </w:r>
            <w:r w:rsid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 Finance colleagues are due to meet with DoF week</w:t>
            </w:r>
            <w:r w:rsid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 commencing 13 February 2023.</w:t>
            </w:r>
          </w:p>
          <w:p w14:paraId="141014C2" w14:textId="77777777" w:rsidR="006D1638" w:rsidRDefault="006D16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0645B8" w14:textId="73CAC980" w:rsidR="00B275B9" w:rsidRDefault="00B275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4B1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AC5102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P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 was considerable discussion between members on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emerging pressures within VSAHG from uplifts in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>bT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B </w:t>
            </w:r>
            <w:proofErr w:type="gramStart"/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>compensation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in particular</w:t>
            </w:r>
            <w:proofErr w:type="gramEnd"/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C393685" w14:textId="77777777" w:rsidR="00B275B9" w:rsidRPr="007264B1" w:rsidRDefault="00B275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8E9AF4" w14:textId="4332A1A4" w:rsidR="00B275B9" w:rsidRPr="00187F09" w:rsidRDefault="00B275B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187F0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="00187F09" w:rsidRPr="00187F09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ction Point</w:t>
            </w:r>
          </w:p>
          <w:p w14:paraId="45AC0413" w14:textId="208BD7B5" w:rsidR="007264B1" w:rsidRDefault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VSAHG</w:t>
            </w:r>
            <w:r w:rsidR="00B275B9" w:rsidRP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264B1" w:rsidRPr="007264B1">
              <w:rPr>
                <w:rFonts w:ascii="Arial" w:hAnsi="Arial" w:cs="Arial"/>
                <w:sz w:val="24"/>
                <w:szCs w:val="24"/>
                <w:lang w:val="en-US"/>
              </w:rPr>
              <w:t>to provide a p</w:t>
            </w:r>
            <w:r w:rsidR="00B275B9" w:rsidRP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aper to Departmental Board </w:t>
            </w:r>
            <w:r w:rsid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(DB) </w:t>
            </w:r>
            <w:r w:rsidR="00B275B9" w:rsidRP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on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B275B9" w:rsidRPr="007264B1">
              <w:rPr>
                <w:rFonts w:ascii="Arial" w:hAnsi="Arial" w:cs="Arial"/>
                <w:sz w:val="24"/>
                <w:szCs w:val="24"/>
                <w:lang w:val="en-US"/>
              </w:rPr>
              <w:t>TB</w:t>
            </w:r>
            <w:r w:rsid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CC09A6">
              <w:rPr>
                <w:rFonts w:ascii="Arial" w:hAnsi="Arial" w:cs="Arial"/>
                <w:sz w:val="24"/>
                <w:szCs w:val="24"/>
                <w:lang w:val="en-US"/>
              </w:rPr>
              <w:t>including</w:t>
            </w:r>
            <w:r w:rsidR="007264B1">
              <w:rPr>
                <w:rFonts w:ascii="Arial" w:hAnsi="Arial" w:cs="Arial"/>
                <w:sz w:val="24"/>
                <w:szCs w:val="24"/>
                <w:lang w:val="en-US"/>
              </w:rPr>
              <w:t xml:space="preserve"> a trend analysis</w:t>
            </w:r>
            <w:r w:rsidR="00AC5102">
              <w:rPr>
                <w:rFonts w:ascii="Arial" w:hAnsi="Arial" w:cs="Arial"/>
                <w:sz w:val="24"/>
                <w:szCs w:val="24"/>
                <w:lang w:val="en-US"/>
              </w:rPr>
              <w:t xml:space="preserve"> on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AC5102">
              <w:rPr>
                <w:rFonts w:ascii="Arial" w:hAnsi="Arial" w:cs="Arial"/>
                <w:sz w:val="24"/>
                <w:szCs w:val="24"/>
                <w:lang w:val="en-US"/>
              </w:rPr>
              <w:t>TB compensation</w:t>
            </w:r>
            <w:r w:rsidR="00DC0466">
              <w:rPr>
                <w:rFonts w:ascii="Arial" w:hAnsi="Arial" w:cs="Arial"/>
                <w:sz w:val="24"/>
                <w:szCs w:val="24"/>
                <w:lang w:val="en-US"/>
              </w:rPr>
              <w:t xml:space="preserve"> payments</w:t>
            </w:r>
            <w:r w:rsidR="007264B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779E811" w14:textId="4E76FBF0" w:rsidR="002B69DE" w:rsidRPr="007264B1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FC99A35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D7F0810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271A100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EB331E2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000D9EA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BEC6AA7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F3B5DFE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62141C3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2B34936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25C9ED4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D35BA2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DB4C4FC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20A24AD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831D164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03A6486" w14:textId="47F906BB" w:rsidR="00F76ADA" w:rsidRDefault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840CE0" w14:textId="5FEEB827" w:rsidR="006D1638" w:rsidRDefault="006D16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1B94A5" w14:textId="77777777" w:rsidR="006D1638" w:rsidRDefault="006D16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AFE3D5" w14:textId="77777777" w:rsidR="00AA7FDD" w:rsidRDefault="00AA7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5EC67F" w14:textId="1DFAF94B" w:rsidR="00F85202" w:rsidRPr="00F76ADA" w:rsidRDefault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ADA">
              <w:rPr>
                <w:rFonts w:ascii="Arial" w:hAnsi="Arial" w:cs="Arial"/>
                <w:sz w:val="24"/>
                <w:szCs w:val="24"/>
                <w:lang w:val="en-US"/>
              </w:rPr>
              <w:t xml:space="preserve">Robert Huey </w:t>
            </w:r>
          </w:p>
          <w:p w14:paraId="0AC8A254" w14:textId="3ACC8096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202" w14:paraId="2F27DCAF" w14:textId="77777777" w:rsidTr="00F76ADA">
        <w:tc>
          <w:tcPr>
            <w:tcW w:w="562" w:type="dxa"/>
          </w:tcPr>
          <w:p w14:paraId="65573960" w14:textId="64290FBB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126920606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230" w:type="dxa"/>
          </w:tcPr>
          <w:p w14:paraId="5E410E69" w14:textId="67F2DC15" w:rsidR="00F85202" w:rsidRP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852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2022-23 Estimated Provisional Outturn</w:t>
            </w:r>
          </w:p>
        </w:tc>
        <w:tc>
          <w:tcPr>
            <w:tcW w:w="1842" w:type="dxa"/>
          </w:tcPr>
          <w:p w14:paraId="00D2B9A0" w14:textId="312D646F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Verbal update</w:t>
            </w:r>
          </w:p>
        </w:tc>
      </w:tr>
      <w:tr w:rsidR="00F85202" w14:paraId="7AA1AA48" w14:textId="77777777" w:rsidTr="00F76ADA">
        <w:tc>
          <w:tcPr>
            <w:tcW w:w="562" w:type="dxa"/>
          </w:tcPr>
          <w:p w14:paraId="2AEA87B9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6D33DB10" w14:textId="5191B16F" w:rsidR="00F85202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E1">
              <w:rPr>
                <w:rFonts w:ascii="Arial" w:hAnsi="Arial" w:cs="Arial"/>
                <w:sz w:val="24"/>
                <w:szCs w:val="24"/>
                <w:lang w:val="en-US"/>
              </w:rPr>
              <w:t>William Peel</w:t>
            </w:r>
            <w:r w:rsidR="005F3091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a verbal update</w:t>
            </w:r>
            <w:r w:rsidR="00187F09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on the estimated provisional outturn exercise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="00187F09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advised that as we are now in the final quarter of 2022/23, the focus is to spend out on the budgets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allocated in the </w:t>
            </w:r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>Third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Monitoring Round.</w:t>
            </w:r>
            <w:r w:rsidR="00187F09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 He noted that t</w:t>
            </w:r>
            <w:r w:rsidR="00187F09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he level of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unpredictability</w:t>
            </w:r>
            <w:r w:rsidR="00187F09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on finance remains this year due to many factors </w:t>
            </w:r>
            <w:r w:rsidR="00F47070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the high proportion of Ring-fenced budgets within the Department.</w:t>
            </w:r>
          </w:p>
          <w:p w14:paraId="027259A9" w14:textId="447DA98F" w:rsidR="00506D93" w:rsidRDefault="00312B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William also advised that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n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ear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inancial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lanning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F427E1">
              <w:rPr>
                <w:rFonts w:ascii="Arial" w:hAnsi="Arial" w:cs="Arial"/>
                <w:sz w:val="24"/>
                <w:szCs w:val="24"/>
                <w:lang w:val="en-US"/>
              </w:rPr>
              <w:t>ranch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are conducting </w:t>
            </w:r>
            <w:r w:rsidR="008D2553">
              <w:rPr>
                <w:rFonts w:ascii="Arial" w:hAnsi="Arial" w:cs="Arial"/>
                <w:sz w:val="24"/>
                <w:szCs w:val="24"/>
                <w:lang w:val="en-US"/>
              </w:rPr>
              <w:t xml:space="preserve">Estimated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Provisional Outturn exercises</w:t>
            </w:r>
            <w:r w:rsidR="00F427E1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to look at forecast against budget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if business areas are aware of underspends or </w:t>
            </w:r>
            <w:proofErr w:type="gramStart"/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>pressures</w:t>
            </w:r>
            <w:proofErr w:type="gramEnd"/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 they should contact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IYFPB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as soon as possible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F3EE4" w:rsidRPr="00F427E1">
              <w:rPr>
                <w:rFonts w:ascii="Arial" w:hAnsi="Arial" w:cs="Arial"/>
                <w:sz w:val="24"/>
                <w:szCs w:val="24"/>
                <w:lang w:val="en-US"/>
              </w:rPr>
              <w:t xml:space="preserve">to discuss. </w:t>
            </w:r>
          </w:p>
          <w:p w14:paraId="0EC7F2F8" w14:textId="2DE000BD" w:rsidR="007F3EE4" w:rsidRPr="00024B9C" w:rsidRDefault="00312B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He noted that </w:t>
            </w:r>
            <w:r w:rsidR="007F3EE4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DoF will commission their Provisional Outturn exercise at the start of April 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with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>a return date in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>mid May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t</w:t>
            </w:r>
            <w:r w:rsidR="007F3EE4" w:rsidRPr="00024B9C">
              <w:rPr>
                <w:rFonts w:ascii="Arial" w:hAnsi="Arial" w:cs="Arial"/>
                <w:sz w:val="24"/>
                <w:szCs w:val="24"/>
                <w:lang w:val="en-US"/>
              </w:rPr>
              <w:t>he outcome will be presented to the Finance Committee in May.</w:t>
            </w:r>
          </w:p>
          <w:p w14:paraId="06418D56" w14:textId="77777777" w:rsidR="00D00F44" w:rsidRPr="00F427E1" w:rsidRDefault="00D00F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6F077F" w14:textId="1E6C9EC3" w:rsidR="00F427E1" w:rsidRDefault="00F427E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27E1">
              <w:rPr>
                <w:rFonts w:ascii="Arial" w:hAnsi="Arial" w:cs="Arial"/>
                <w:sz w:val="24"/>
                <w:szCs w:val="24"/>
                <w:lang w:val="en-US"/>
              </w:rPr>
              <w:t>William expressed his thanks to staff for completing the exercises in a timely manner.</w:t>
            </w:r>
          </w:p>
          <w:p w14:paraId="48137349" w14:textId="77777777" w:rsidR="002B69DE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F91377" w14:textId="77777777" w:rsidR="00F427E1" w:rsidRDefault="00506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7070">
              <w:rPr>
                <w:rFonts w:ascii="Arial" w:hAnsi="Arial" w:cs="Arial"/>
                <w:sz w:val="24"/>
                <w:szCs w:val="24"/>
                <w:lang w:val="en-US"/>
              </w:rPr>
              <w:t>Members thanked William for the update.</w:t>
            </w:r>
          </w:p>
          <w:p w14:paraId="02658147" w14:textId="7325173A" w:rsidR="002B69DE" w:rsidRPr="00F427E1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B1D35B2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tr w:rsidR="00F85202" w14:paraId="03C30B58" w14:textId="77777777" w:rsidTr="00F76ADA">
        <w:tc>
          <w:tcPr>
            <w:tcW w:w="562" w:type="dxa"/>
          </w:tcPr>
          <w:p w14:paraId="6E4BA2A9" w14:textId="164D5613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230" w:type="dxa"/>
          </w:tcPr>
          <w:p w14:paraId="66AC1325" w14:textId="5178A479" w:rsidR="00F85202" w:rsidRP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852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Staff Affordability</w:t>
            </w:r>
          </w:p>
        </w:tc>
        <w:tc>
          <w:tcPr>
            <w:tcW w:w="1842" w:type="dxa"/>
          </w:tcPr>
          <w:p w14:paraId="7267660E" w14:textId="1DEA6C0D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02/23</w:t>
            </w:r>
          </w:p>
        </w:tc>
      </w:tr>
      <w:tr w:rsidR="00F85202" w14:paraId="30ACFCDE" w14:textId="77777777" w:rsidTr="00F76ADA">
        <w:tc>
          <w:tcPr>
            <w:tcW w:w="562" w:type="dxa"/>
          </w:tcPr>
          <w:p w14:paraId="53255915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3F1810BC" w14:textId="24153540" w:rsidR="00D00F44" w:rsidRDefault="00F470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DE">
              <w:rPr>
                <w:rFonts w:ascii="Arial" w:hAnsi="Arial" w:cs="Arial"/>
                <w:sz w:val="24"/>
                <w:szCs w:val="24"/>
                <w:lang w:val="en-US"/>
              </w:rPr>
              <w:t>Brian advised that members will have seen th</w:t>
            </w:r>
            <w:r w:rsid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e detail from this paper at the </w:t>
            </w:r>
            <w:r w:rsidRPr="002B69DE">
              <w:rPr>
                <w:rFonts w:ascii="Arial" w:hAnsi="Arial" w:cs="Arial"/>
                <w:sz w:val="24"/>
                <w:szCs w:val="24"/>
                <w:lang w:val="en-US"/>
              </w:rPr>
              <w:t>Resourcing and People Committee and DB</w:t>
            </w:r>
            <w:r w:rsidR="002B69DE"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414750" w:rsidRPr="002B69DE">
              <w:rPr>
                <w:rFonts w:ascii="Arial" w:hAnsi="Arial" w:cs="Arial"/>
                <w:sz w:val="24"/>
                <w:szCs w:val="24"/>
                <w:lang w:val="en-US"/>
              </w:rPr>
              <w:t>Briege</w:t>
            </w:r>
            <w:r w:rsidR="005A4B1B"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 Lafferty</w:t>
            </w:r>
            <w:r w:rsidR="00506D93"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 confirmed that the paper had been presented to the Capacity and Capability meeting 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on </w:t>
            </w:r>
            <w:r w:rsidR="00506D93" w:rsidRPr="002B69DE">
              <w:rPr>
                <w:rFonts w:ascii="Arial" w:hAnsi="Arial" w:cs="Arial"/>
                <w:sz w:val="24"/>
                <w:szCs w:val="24"/>
                <w:lang w:val="en-US"/>
              </w:rPr>
              <w:t>1 February 2023</w:t>
            </w:r>
            <w:r w:rsidR="002B69DE"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 and that staff affordability will also be part of the Budget 2023/24 discussions at TLT. </w:t>
            </w:r>
          </w:p>
          <w:p w14:paraId="1A87FFEB" w14:textId="77777777" w:rsidR="00D51B31" w:rsidRDefault="00D51B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F34886" w14:textId="5E712416" w:rsidR="00F85202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Briege advised that </w:t>
            </w:r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2B69DE">
              <w:rPr>
                <w:rFonts w:ascii="Arial" w:hAnsi="Arial" w:cs="Arial"/>
                <w:sz w:val="24"/>
                <w:szCs w:val="24"/>
                <w:lang w:val="en-US"/>
              </w:rPr>
              <w:t xml:space="preserve">recommendations </w:t>
            </w:r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 xml:space="preserve">within the paper </w:t>
            </w:r>
            <w:r w:rsidRPr="002B69DE">
              <w:rPr>
                <w:rFonts w:ascii="Arial" w:hAnsi="Arial" w:cs="Arial"/>
                <w:sz w:val="24"/>
                <w:szCs w:val="24"/>
                <w:lang w:val="en-US"/>
              </w:rPr>
              <w:t>are to note what had previously been agreed at the Resourcing and People Committee.</w:t>
            </w:r>
          </w:p>
          <w:p w14:paraId="393AFB5D" w14:textId="77777777" w:rsidR="002B69DE" w:rsidRPr="002B69DE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4B4430" w14:textId="77777777" w:rsidR="00506D93" w:rsidRDefault="00506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Members </w:t>
            </w:r>
            <w:r w:rsidR="000E2E96">
              <w:rPr>
                <w:rFonts w:ascii="Arial" w:hAnsi="Arial" w:cs="Arial"/>
                <w:sz w:val="24"/>
                <w:szCs w:val="24"/>
                <w:lang w:val="en-US"/>
              </w:rPr>
              <w:t>noted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recommendations.</w:t>
            </w:r>
          </w:p>
          <w:p w14:paraId="5AD76254" w14:textId="26C9F867" w:rsidR="002B69DE" w:rsidRPr="008F081D" w:rsidRDefault="002B69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3E41958" w14:textId="77777777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202" w14:paraId="006B772C" w14:textId="77777777" w:rsidTr="00F76ADA">
        <w:tc>
          <w:tcPr>
            <w:tcW w:w="562" w:type="dxa"/>
          </w:tcPr>
          <w:p w14:paraId="73D2A489" w14:textId="2FEBC1EA" w:rsid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1" w:name="_Hlk126920629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30" w:type="dxa"/>
          </w:tcPr>
          <w:p w14:paraId="72FF1A05" w14:textId="05E01972" w:rsidR="00F85202" w:rsidRPr="00F85202" w:rsidRDefault="00F852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852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Investment Strategy for Northern Ireland </w:t>
            </w:r>
            <w:r w:rsidR="002B69D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(ISNI) </w:t>
            </w:r>
            <w:r w:rsidRPr="00F852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Update</w:t>
            </w:r>
          </w:p>
        </w:tc>
        <w:tc>
          <w:tcPr>
            <w:tcW w:w="1842" w:type="dxa"/>
          </w:tcPr>
          <w:p w14:paraId="3F963491" w14:textId="0B75439B" w:rsidR="00F85202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03/23</w:t>
            </w:r>
          </w:p>
        </w:tc>
      </w:tr>
      <w:tr w:rsidR="008F081D" w14:paraId="7C1DEA78" w14:textId="77777777" w:rsidTr="00F76ADA">
        <w:tc>
          <w:tcPr>
            <w:tcW w:w="562" w:type="dxa"/>
          </w:tcPr>
          <w:p w14:paraId="00EBFF33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1CAD801F" w14:textId="77777777" w:rsidR="002C1EF9" w:rsidRPr="001842F6" w:rsidRDefault="005A4B1B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>William Peel</w:t>
            </w:r>
            <w:r w:rsidR="009A534D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presented the paper providing an update on the ongoing work across the Department in relation to the ISNI Finalisation Plan. </w:t>
            </w:r>
          </w:p>
          <w:p w14:paraId="707CA29C" w14:textId="48FF7080" w:rsidR="0041408A" w:rsidRDefault="002C1EF9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He advised that </w:t>
            </w:r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202915" w:rsidRPr="001842F6">
              <w:rPr>
                <w:rFonts w:ascii="Arial" w:hAnsi="Arial" w:cs="Arial"/>
                <w:sz w:val="24"/>
                <w:szCs w:val="24"/>
                <w:lang w:val="en-US"/>
              </w:rPr>
              <w:t>Strategic Investment Board (SIB)</w:t>
            </w: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are</w:t>
            </w:r>
            <w:r w:rsidR="000E2E96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to complete </w:t>
            </w:r>
            <w:r w:rsidR="00202915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the final draft </w:t>
            </w:r>
            <w:r w:rsidR="000E2E96" w:rsidRPr="001842F6">
              <w:rPr>
                <w:rFonts w:ascii="Arial" w:hAnsi="Arial" w:cs="Arial"/>
                <w:sz w:val="24"/>
                <w:szCs w:val="24"/>
                <w:lang w:val="en-US"/>
              </w:rPr>
              <w:t>by 31 March 2023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 and that t</w:t>
            </w:r>
            <w:r w:rsidR="0041408A" w:rsidRPr="001842F6">
              <w:rPr>
                <w:rFonts w:ascii="Arial" w:hAnsi="Arial" w:cs="Arial"/>
                <w:sz w:val="24"/>
                <w:szCs w:val="24"/>
                <w:lang w:val="en-US"/>
              </w:rPr>
              <w:t>he final ISNI will require Executive approval.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  He also noted that </w:t>
            </w:r>
            <w:r w:rsidR="0041408A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SIB proposes that the final draft ISNI is structured in six parts/steps.  </w:t>
            </w:r>
          </w:p>
          <w:p w14:paraId="4E1F2061" w14:textId="77777777" w:rsidR="00D00F44" w:rsidRPr="001842F6" w:rsidRDefault="00D00F44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37B3C0" w14:textId="5AE1EDC4" w:rsidR="0041408A" w:rsidRDefault="0041408A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William thanked members for their assistance in completing </w:t>
            </w:r>
            <w:r w:rsidR="008D2553">
              <w:rPr>
                <w:rFonts w:ascii="Arial" w:hAnsi="Arial" w:cs="Arial"/>
                <w:sz w:val="24"/>
                <w:szCs w:val="24"/>
                <w:lang w:val="en-US"/>
              </w:rPr>
              <w:t>Part</w:t>
            </w:r>
            <w:r w:rsidR="008D2553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1 which was to </w:t>
            </w:r>
            <w:r w:rsidR="008D2553">
              <w:rPr>
                <w:rFonts w:ascii="Arial" w:hAnsi="Arial" w:cs="Arial"/>
                <w:sz w:val="24"/>
                <w:szCs w:val="24"/>
                <w:lang w:val="en-US"/>
              </w:rPr>
              <w:t>provide comment in relation to</w:t>
            </w:r>
            <w:r w:rsidR="008D2553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>baseline metrics.</w:t>
            </w:r>
          </w:p>
          <w:p w14:paraId="58BDAEF4" w14:textId="07C2AFD2" w:rsidR="000E2E96" w:rsidRDefault="00312BFD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He advised that </w:t>
            </w:r>
            <w:r w:rsidR="000E2E96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Part 3 </w:t>
            </w:r>
            <w:r w:rsidR="002C1EF9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of the plan </w:t>
            </w:r>
            <w:r w:rsidR="0041408A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is </w:t>
            </w:r>
            <w:r w:rsidR="002C1EF9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seeking capital investment proposals over a 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2C1EF9" w:rsidRPr="001842F6">
              <w:rPr>
                <w:rFonts w:ascii="Arial" w:hAnsi="Arial" w:cs="Arial"/>
                <w:sz w:val="24"/>
                <w:szCs w:val="24"/>
                <w:lang w:val="en-US"/>
              </w:rPr>
              <w:t>-year timeframe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="000E2E96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C1EF9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an </w:t>
            </w:r>
            <w:r w:rsidR="000E2E96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exercise had gone to all business areas.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William noted that </w:t>
            </w:r>
            <w:r w:rsidR="002C1EF9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IYFPB are currently collating returns and the outcome is due with the Permanent Secretary </w:t>
            </w:r>
            <w:r w:rsidR="0041408A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for review prior to be entered onto the new data information gathering tool. </w:t>
            </w:r>
          </w:p>
          <w:p w14:paraId="488726D1" w14:textId="7BE19265" w:rsidR="00D65D48" w:rsidRPr="001842F6" w:rsidRDefault="00312BFD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He also advised that </w:t>
            </w:r>
            <w:r w:rsidR="00D65D48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Part 2 was a workshop which was held in January on how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D65D48" w:rsidRPr="001842F6">
              <w:rPr>
                <w:rFonts w:ascii="Arial" w:hAnsi="Arial" w:cs="Arial"/>
                <w:sz w:val="24"/>
                <w:szCs w:val="24"/>
                <w:lang w:val="en-US"/>
              </w:rPr>
              <w:t>qualit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="00D65D48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ive assessment can be applied to the 10-year investment proposals. </w:t>
            </w:r>
          </w:p>
          <w:p w14:paraId="1122E571" w14:textId="77777777" w:rsidR="00D65D48" w:rsidRPr="001842F6" w:rsidRDefault="00D65D48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6CE6CB" w14:textId="1D90C7E7" w:rsidR="00202915" w:rsidRPr="001842F6" w:rsidRDefault="00202915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>Roger Downey acknowledged that there are a lot of finance exercises out with</w:t>
            </w:r>
            <w:r w:rsidR="00D65D48" w:rsidRPr="001842F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>business areas and thanked staff for working with Finance Division.</w:t>
            </w:r>
          </w:p>
          <w:p w14:paraId="5651A59C" w14:textId="77777777" w:rsidR="001842F6" w:rsidRPr="001842F6" w:rsidRDefault="001842F6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57261E" w14:textId="77777777" w:rsidR="00202915" w:rsidRPr="001842F6" w:rsidRDefault="00202915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2F6">
              <w:rPr>
                <w:rFonts w:ascii="Arial" w:hAnsi="Arial" w:cs="Arial"/>
                <w:sz w:val="24"/>
                <w:szCs w:val="24"/>
                <w:lang w:val="en-US"/>
              </w:rPr>
              <w:t>Members thanked William for his paper.</w:t>
            </w:r>
          </w:p>
          <w:p w14:paraId="78A9F096" w14:textId="3B83A4D4" w:rsidR="002B69DE" w:rsidRPr="001842F6" w:rsidRDefault="002B69DE" w:rsidP="009A5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A7F9904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081D" w14:paraId="426C73A4" w14:textId="77777777" w:rsidTr="00F76ADA">
        <w:tc>
          <w:tcPr>
            <w:tcW w:w="562" w:type="dxa"/>
          </w:tcPr>
          <w:p w14:paraId="17964804" w14:textId="027AEB8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230" w:type="dxa"/>
          </w:tcPr>
          <w:p w14:paraId="7B5573BA" w14:textId="4387C3E8" w:rsidR="008F081D" w:rsidRPr="00F85202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F08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RoFP – Dry Run 21-22</w:t>
            </w:r>
          </w:p>
        </w:tc>
        <w:tc>
          <w:tcPr>
            <w:tcW w:w="1842" w:type="dxa"/>
          </w:tcPr>
          <w:p w14:paraId="1845A234" w14:textId="22F55E3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Verbal Update</w:t>
            </w:r>
          </w:p>
        </w:tc>
      </w:tr>
      <w:tr w:rsidR="008F081D" w14:paraId="63AFDB36" w14:textId="77777777" w:rsidTr="00F76ADA">
        <w:tc>
          <w:tcPr>
            <w:tcW w:w="562" w:type="dxa"/>
          </w:tcPr>
          <w:p w14:paraId="7BBFD351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0D3F7F16" w14:textId="36B7C6DC" w:rsidR="00D00F44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>William Peel</w:t>
            </w:r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an update on the Review of Financial Process (</w:t>
            </w:r>
            <w:proofErr w:type="spellStart"/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>RoFP</w:t>
            </w:r>
            <w:proofErr w:type="spellEnd"/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 xml:space="preserve"> which</w:t>
            </w:r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24B9C">
              <w:rPr>
                <w:rFonts w:ascii="Arial" w:hAnsi="Arial" w:cs="Arial"/>
                <w:sz w:val="24"/>
                <w:szCs w:val="24"/>
                <w:lang w:val="en-US"/>
              </w:rPr>
              <w:t>aim</w:t>
            </w:r>
            <w:r w:rsidR="00312BF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614D0"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to create a single coherent financial framework that is more transparent to the Assembly. </w:t>
            </w:r>
          </w:p>
          <w:p w14:paraId="6445A16D" w14:textId="6D541FCA" w:rsidR="00D00F44" w:rsidRDefault="00312B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 advised that t</w:t>
            </w:r>
            <w:r w:rsidR="001842F6"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he impact on DAERA is the production of </w:t>
            </w:r>
            <w:r w:rsidR="001842F6" w:rsidRPr="00024B9C">
              <w:rPr>
                <w:rFonts w:ascii="Arial" w:hAnsi="Arial" w:cs="Arial"/>
                <w:sz w:val="24"/>
                <w:szCs w:val="24"/>
                <w:lang w:val="en-US"/>
              </w:rPr>
              <w:t>the Annual Consolidated Group Accounts and Estimates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the Department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’s </w:t>
            </w:r>
            <w:r w:rsidR="008D2553">
              <w:rPr>
                <w:rFonts w:ascii="Arial" w:hAnsi="Arial" w:cs="Arial"/>
                <w:sz w:val="24"/>
                <w:szCs w:val="24"/>
                <w:lang w:val="en-US"/>
              </w:rPr>
              <w:t>four</w:t>
            </w:r>
            <w:r w:rsidR="008D2553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>NDPBs now included within DAERA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’s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Accounts.</w:t>
            </w:r>
          </w:p>
          <w:p w14:paraId="246166D3" w14:textId="77777777" w:rsidR="00024B9C" w:rsidRDefault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D25B88" w14:textId="3BD943F7" w:rsid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dry run of RoFP with the 2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>021/22 Conso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lidated Accounts for DAERA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 </w:t>
            </w:r>
            <w:r w:rsidR="008D2553">
              <w:rPr>
                <w:rFonts w:ascii="Arial" w:hAnsi="Arial" w:cs="Arial"/>
                <w:sz w:val="24"/>
                <w:szCs w:val="24"/>
                <w:lang w:val="en-US"/>
              </w:rPr>
              <w:t xml:space="preserve">four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Bs was submitted to NIAO for review in January 2023. </w:t>
            </w:r>
          </w:p>
          <w:p w14:paraId="2DFCD05E" w14:textId="77777777" w:rsidR="00D00F44" w:rsidRPr="008D31F1" w:rsidRDefault="00D00F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2991D0" w14:textId="15D873DF" w:rsidR="000614D0" w:rsidRDefault="00061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It will be a challenging year end in producing the 2022/23 Resource Accounts given the short time frame for getting 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udited Accounts </w:t>
            </w:r>
            <w:r w:rsidR="00D53369" w:rsidRPr="008D31F1">
              <w:rPr>
                <w:rFonts w:ascii="Arial" w:hAnsi="Arial" w:cs="Arial"/>
                <w:sz w:val="24"/>
                <w:szCs w:val="24"/>
                <w:lang w:val="en-US"/>
              </w:rPr>
              <w:t>Consolidated</w:t>
            </w:r>
            <w:r w:rsidR="00D53369">
              <w:rPr>
                <w:rFonts w:ascii="Arial" w:hAnsi="Arial" w:cs="Arial"/>
                <w:sz w:val="24"/>
                <w:szCs w:val="24"/>
                <w:lang w:val="en-US"/>
              </w:rPr>
              <w:t xml:space="preserve"> and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 xml:space="preserve"> getting Group Accounts laid before the 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8D31F1">
              <w:rPr>
                <w:rFonts w:ascii="Arial" w:hAnsi="Arial" w:cs="Arial"/>
                <w:sz w:val="24"/>
                <w:szCs w:val="24"/>
                <w:lang w:val="en-US"/>
              </w:rPr>
              <w:t>ssembly in time for summer recess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CA078D4" w14:textId="77777777" w:rsidR="00D00F44" w:rsidRDefault="00D00F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26878" w14:textId="286B5292" w:rsidR="000614D0" w:rsidRDefault="008D25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Meetings have been</w:t>
            </w:r>
            <w:r w:rsidR="000614D0">
              <w:rPr>
                <w:rFonts w:ascii="Arial" w:hAnsi="Arial" w:cs="Arial"/>
                <w:sz w:val="24"/>
                <w:szCs w:val="24"/>
                <w:lang w:val="en-US"/>
              </w:rPr>
              <w:t xml:space="preserve"> held with the NDPB</w:t>
            </w:r>
            <w:r w:rsidR="008D31F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614D0">
              <w:rPr>
                <w:rFonts w:ascii="Arial" w:hAnsi="Arial" w:cs="Arial"/>
                <w:sz w:val="24"/>
                <w:szCs w:val="24"/>
                <w:lang w:val="en-US"/>
              </w:rPr>
              <w:t xml:space="preserve"> to discuss the timeframe</w:t>
            </w:r>
            <w:r w:rsidR="008D31F1">
              <w:rPr>
                <w:rFonts w:ascii="Arial" w:hAnsi="Arial" w:cs="Arial"/>
                <w:sz w:val="24"/>
                <w:szCs w:val="24"/>
                <w:lang w:val="en-US"/>
              </w:rPr>
              <w:t>s required.</w:t>
            </w:r>
          </w:p>
          <w:p w14:paraId="428D36D4" w14:textId="77777777" w:rsidR="00D00F44" w:rsidRDefault="00D00F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39FFA0" w14:textId="4F548896" w:rsidR="008D31F1" w:rsidRDefault="008D31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William asked that the committee notes that work is </w:t>
            </w:r>
            <w:proofErr w:type="gramStart"/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>ongoing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 xml:space="preserve">nd a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further update will be provided to the FC in May.</w:t>
            </w:r>
          </w:p>
          <w:p w14:paraId="091ABEF1" w14:textId="63F4FA7A" w:rsidR="008D31F1" w:rsidRPr="008F081D" w:rsidRDefault="008D31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621BE868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1"/>
      <w:tr w:rsidR="008F081D" w14:paraId="2A26FCB5" w14:textId="77777777" w:rsidTr="00F76ADA">
        <w:tc>
          <w:tcPr>
            <w:tcW w:w="562" w:type="dxa"/>
          </w:tcPr>
          <w:p w14:paraId="2D79CCC8" w14:textId="61279095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230" w:type="dxa"/>
          </w:tcPr>
          <w:p w14:paraId="34B1DBEA" w14:textId="5DA28E04" w:rsidR="008F081D" w:rsidRP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AFBI Finance Update</w:t>
            </w:r>
          </w:p>
        </w:tc>
        <w:tc>
          <w:tcPr>
            <w:tcW w:w="1842" w:type="dxa"/>
          </w:tcPr>
          <w:p w14:paraId="264E6FE2" w14:textId="7A3528A4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04/23</w:t>
            </w:r>
          </w:p>
        </w:tc>
      </w:tr>
      <w:tr w:rsidR="008F081D" w14:paraId="17ECEBBA" w14:textId="77777777" w:rsidTr="00F76ADA">
        <w:tc>
          <w:tcPr>
            <w:tcW w:w="562" w:type="dxa"/>
          </w:tcPr>
          <w:p w14:paraId="594169A4" w14:textId="77777777" w:rsidR="008F081D" w:rsidRPr="00663A63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173792D9" w14:textId="60397F4D" w:rsid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3A63">
              <w:rPr>
                <w:rFonts w:ascii="Arial" w:hAnsi="Arial" w:cs="Arial"/>
                <w:sz w:val="24"/>
                <w:szCs w:val="24"/>
                <w:lang w:val="en-US"/>
              </w:rPr>
              <w:t>Kathryn Clarke presented the paper which provided an update on AFBI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663A63">
              <w:rPr>
                <w:rFonts w:ascii="Arial" w:hAnsi="Arial" w:cs="Arial"/>
                <w:sz w:val="24"/>
                <w:szCs w:val="24"/>
                <w:lang w:val="en-US"/>
              </w:rPr>
              <w:t xml:space="preserve">s financial position. </w:t>
            </w:r>
          </w:p>
          <w:p w14:paraId="4A095C3C" w14:textId="77777777" w:rsidR="00024B9C" w:rsidRPr="00663A63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24359F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3A63">
              <w:rPr>
                <w:rFonts w:ascii="Arial" w:hAnsi="Arial" w:cs="Arial"/>
                <w:sz w:val="24"/>
                <w:szCs w:val="24"/>
                <w:lang w:val="en-US"/>
              </w:rPr>
              <w:t xml:space="preserve">Kathryn informed </w:t>
            </w: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members that she along with DAERA Finance colleagues had recently met with the AFBI Finance team. </w:t>
            </w:r>
          </w:p>
          <w:p w14:paraId="5C2A0E12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B16767" w14:textId="77718091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Roger Downey confirmed that audit of the 2021/22 Accounts is progressing and AFBI have an agreed schedule with NIAO to </w:t>
            </w:r>
            <w:proofErr w:type="spellStart"/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finalise</w:t>
            </w:r>
            <w:proofErr w:type="spellEnd"/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the same.</w:t>
            </w:r>
          </w:p>
          <w:p w14:paraId="09D8B649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D5B628" w14:textId="053920ED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Discussions are ongoing with NIAO on the faster closing of the AFBI 2022/23 Accounts and they are aware of the wider impact on DAERA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s Accounts.</w:t>
            </w:r>
          </w:p>
          <w:p w14:paraId="76B9F9BD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033C74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Kathryn confirmed that AFBI are to have an Internal Audit on their system which should provide assurances to NIAO.</w:t>
            </w:r>
          </w:p>
          <w:p w14:paraId="5C32F0C0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4AE1F3" w14:textId="6700E1F2" w:rsidR="00024B9C" w:rsidRPr="00024B9C" w:rsidRDefault="005A64AB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also 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>advised members that AFBI have 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n a competition to appoint a Head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Finance and 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 xml:space="preserve">Corporate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Affairs</w:t>
            </w:r>
            <w:r w:rsidR="00024B9C" w:rsidRPr="00024B9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8CAE5D8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E05CA5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Members thanked Kathryn for the paper.</w:t>
            </w:r>
          </w:p>
          <w:p w14:paraId="3D7EA2FA" w14:textId="1FEA39A0" w:rsidR="00F172A7" w:rsidRPr="00663A63" w:rsidRDefault="00F172A7" w:rsidP="002F624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E3F27F6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081D" w14:paraId="1B00B3C6" w14:textId="77777777" w:rsidTr="00F76ADA">
        <w:tc>
          <w:tcPr>
            <w:tcW w:w="562" w:type="dxa"/>
          </w:tcPr>
          <w:p w14:paraId="1AA726D5" w14:textId="45E29532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30" w:type="dxa"/>
          </w:tcPr>
          <w:p w14:paraId="19897D57" w14:textId="728A16AA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Contract Compliance</w:t>
            </w:r>
          </w:p>
        </w:tc>
        <w:tc>
          <w:tcPr>
            <w:tcW w:w="1842" w:type="dxa"/>
          </w:tcPr>
          <w:p w14:paraId="4A9A42C7" w14:textId="1678F88D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05/23</w:t>
            </w:r>
          </w:p>
        </w:tc>
      </w:tr>
      <w:tr w:rsidR="008F081D" w14:paraId="6DBE78EB" w14:textId="77777777" w:rsidTr="00F76ADA">
        <w:tc>
          <w:tcPr>
            <w:tcW w:w="562" w:type="dxa"/>
          </w:tcPr>
          <w:p w14:paraId="4BADEE52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74AF36C6" w14:textId="41BBB8EF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018F">
              <w:rPr>
                <w:rFonts w:ascii="Arial" w:hAnsi="Arial" w:cs="Arial"/>
                <w:sz w:val="24"/>
                <w:szCs w:val="24"/>
                <w:lang w:val="en-US"/>
              </w:rPr>
              <w:t>Richard McAuley presented the paper highlighting that in Quarter 3 of 2022/23, Compliance in terms of value of Purchase Orders was</w:t>
            </w:r>
            <w:r w:rsidRPr="00D02F1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11018F">
              <w:rPr>
                <w:rFonts w:ascii="Arial" w:hAnsi="Arial" w:cs="Arial"/>
                <w:sz w:val="24"/>
                <w:szCs w:val="24"/>
                <w:lang w:val="en-US"/>
              </w:rPr>
              <w:t>1.07</w:t>
            </w: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% above the Department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s Compliance target.</w:t>
            </w:r>
          </w:p>
          <w:p w14:paraId="00D54AA9" w14:textId="77777777" w:rsid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4142B4" w14:textId="77777777" w:rsid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018F">
              <w:rPr>
                <w:rFonts w:ascii="Arial" w:hAnsi="Arial" w:cs="Arial"/>
                <w:sz w:val="24"/>
                <w:szCs w:val="24"/>
                <w:lang w:val="en-US"/>
              </w:rPr>
              <w:t>Members noted the content of the paper.</w:t>
            </w:r>
          </w:p>
          <w:p w14:paraId="6A9CAFCE" w14:textId="6CD84BD4" w:rsidR="00F172A7" w:rsidRPr="008F081D" w:rsidRDefault="00F172A7" w:rsidP="000A17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81160E2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081D" w14:paraId="6034FD6A" w14:textId="77777777" w:rsidTr="00F76ADA">
        <w:tc>
          <w:tcPr>
            <w:tcW w:w="562" w:type="dxa"/>
          </w:tcPr>
          <w:p w14:paraId="3E9406D6" w14:textId="5940EF99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230" w:type="dxa"/>
          </w:tcPr>
          <w:p w14:paraId="4FD72798" w14:textId="3EA92983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 Award Contracts</w:t>
            </w:r>
          </w:p>
        </w:tc>
        <w:tc>
          <w:tcPr>
            <w:tcW w:w="1842" w:type="dxa"/>
          </w:tcPr>
          <w:p w14:paraId="0C16C29F" w14:textId="4211497A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06/23</w:t>
            </w:r>
          </w:p>
        </w:tc>
      </w:tr>
      <w:tr w:rsidR="008F081D" w14:paraId="444D5362" w14:textId="77777777" w:rsidTr="00F76ADA">
        <w:tc>
          <w:tcPr>
            <w:tcW w:w="562" w:type="dxa"/>
          </w:tcPr>
          <w:p w14:paraId="498AF7F9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4140DE36" w14:textId="3C34990F" w:rsidR="00024B9C" w:rsidRPr="00024B9C" w:rsidRDefault="00024B9C" w:rsidP="00024B9C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4B9C">
              <w:rPr>
                <w:rFonts w:ascii="Arial" w:hAnsi="Arial" w:cs="Arial"/>
                <w:bCs/>
                <w:iCs/>
                <w:sz w:val="24"/>
                <w:szCs w:val="24"/>
              </w:rPr>
              <w:t>Richard McAuley presented this paper, providing an update on DACs in DAERA and a summary of the trend</w:t>
            </w:r>
            <w:r w:rsidR="005A64AB">
              <w:rPr>
                <w:rFonts w:ascii="Arial" w:hAnsi="Arial" w:cs="Arial"/>
                <w:bCs/>
                <w:iCs/>
                <w:sz w:val="24"/>
                <w:szCs w:val="24"/>
              </w:rPr>
              <w:t>s</w:t>
            </w:r>
            <w:r w:rsidRPr="00024B9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over the past 3 years. </w:t>
            </w:r>
          </w:p>
          <w:p w14:paraId="7099A4B7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50FE49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Brian Doherty reminded members that it is important for NDPBs to follow correct processes.</w:t>
            </w:r>
          </w:p>
          <w:p w14:paraId="2B380F76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B5ECA6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There was some discussion between members on the clauses within the DACs for Portal Industrial Staff.</w:t>
            </w:r>
          </w:p>
          <w:p w14:paraId="7E445A6B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4DAAF7" w14:textId="77777777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Members thanked Richard the paper.</w:t>
            </w:r>
          </w:p>
          <w:p w14:paraId="693198B4" w14:textId="77777777" w:rsidR="00F172A7" w:rsidRDefault="00F172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2EC7F1" w14:textId="77777777" w:rsidR="005A64AB" w:rsidRDefault="005A64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021C4" w14:textId="77777777" w:rsidR="005A64AB" w:rsidRDefault="005A64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7DFF9" w14:textId="1DA643B4" w:rsidR="005A64AB" w:rsidRPr="00024B9C" w:rsidRDefault="005A64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D384F77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F081D" w14:paraId="489221B2" w14:textId="77777777" w:rsidTr="00F76ADA">
        <w:tc>
          <w:tcPr>
            <w:tcW w:w="562" w:type="dxa"/>
          </w:tcPr>
          <w:p w14:paraId="6E11B911" w14:textId="1A7D7995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7230" w:type="dxa"/>
          </w:tcPr>
          <w:p w14:paraId="38F5BE02" w14:textId="41E8D018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Aged Debt Analysis</w:t>
            </w:r>
          </w:p>
        </w:tc>
        <w:tc>
          <w:tcPr>
            <w:tcW w:w="1842" w:type="dxa"/>
          </w:tcPr>
          <w:p w14:paraId="46871DE1" w14:textId="1EA67911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07/23</w:t>
            </w:r>
          </w:p>
        </w:tc>
      </w:tr>
      <w:tr w:rsidR="008F081D" w14:paraId="5F1AE420" w14:textId="77777777" w:rsidTr="00F76ADA">
        <w:tc>
          <w:tcPr>
            <w:tcW w:w="562" w:type="dxa"/>
          </w:tcPr>
          <w:p w14:paraId="4F28E387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2F66CF17" w14:textId="61F365B1" w:rsidR="008F081D" w:rsidRDefault="005A4B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>Nichola Patton</w:t>
            </w:r>
            <w:r w:rsidR="000A176A"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 presented the paper which provided a summary of the debt position </w:t>
            </w:r>
            <w:proofErr w:type="gramStart"/>
            <w:r w:rsidR="000A176A" w:rsidRPr="000B06E6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proofErr w:type="gramEnd"/>
            <w:r w:rsidR="000A176A"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 31 December 2022 compared to the position at 30 September 2022 and the position at the 31 December 2021.</w:t>
            </w:r>
          </w:p>
          <w:p w14:paraId="51912CF0" w14:textId="77777777" w:rsidR="00F172A7" w:rsidRPr="000B06E6" w:rsidRDefault="00F172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2A0067" w14:textId="41DB6415" w:rsidR="00CE0502" w:rsidRDefault="00CE05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>David Reid advised th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 Rural Affairs Division were actively looking at their debts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r w:rsidR="006A43CA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>intent to reduce</w:t>
            </w:r>
            <w:r w:rsidR="00D53283">
              <w:rPr>
                <w:rFonts w:ascii="Arial" w:hAnsi="Arial" w:cs="Arial"/>
                <w:sz w:val="24"/>
                <w:szCs w:val="24"/>
                <w:lang w:val="en-US"/>
              </w:rPr>
              <w:t xml:space="preserve"> older debts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 xml:space="preserve">He also noted that 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RAD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>centralising</w:t>
            </w:r>
            <w:proofErr w:type="spellEnd"/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their debts 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within a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Branch </w:t>
            </w:r>
            <w:r w:rsidR="00D51B31">
              <w:rPr>
                <w:rFonts w:ascii="Arial" w:hAnsi="Arial" w:cs="Arial"/>
                <w:sz w:val="24"/>
                <w:szCs w:val="24"/>
                <w:lang w:val="en-US"/>
              </w:rPr>
              <w:t xml:space="preserve">who will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take </w:t>
            </w:r>
            <w:r w:rsidR="00757D08">
              <w:rPr>
                <w:rFonts w:ascii="Arial" w:hAnsi="Arial" w:cs="Arial"/>
                <w:sz w:val="24"/>
                <w:szCs w:val="24"/>
                <w:lang w:val="en-US"/>
              </w:rPr>
              <w:t xml:space="preserve">forward 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757D08">
              <w:rPr>
                <w:rFonts w:ascii="Arial" w:hAnsi="Arial" w:cs="Arial"/>
                <w:sz w:val="24"/>
                <w:szCs w:val="24"/>
                <w:lang w:val="en-US"/>
              </w:rPr>
              <w:t xml:space="preserve">required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>action</w:t>
            </w:r>
            <w:r w:rsidR="00757D0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84A0B93" w14:textId="77777777" w:rsidR="00F172A7" w:rsidRPr="000B06E6" w:rsidRDefault="00F172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65FD7C" w14:textId="6CD895A6" w:rsidR="00CE0502" w:rsidRDefault="00CE05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In response to a query on the large increase in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the number and value of 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>NIEA debt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>at</w:t>
            </w:r>
            <w:proofErr w:type="gramEnd"/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 31 December 2022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>, Paul Donnelly confirmed that Annual Charge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 were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delayed and not 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invoiced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 xml:space="preserve">until </w:t>
            </w: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 xml:space="preserve">late in 2022 compared to </w:t>
            </w:r>
            <w:r w:rsidR="000B06E6" w:rsidRPr="000B06E6">
              <w:rPr>
                <w:rFonts w:ascii="Arial" w:hAnsi="Arial" w:cs="Arial"/>
                <w:sz w:val="24"/>
                <w:szCs w:val="24"/>
                <w:lang w:val="en-US"/>
              </w:rPr>
              <w:t>June/July in previous years.</w:t>
            </w:r>
          </w:p>
          <w:p w14:paraId="4740E6FC" w14:textId="77777777" w:rsidR="00F172A7" w:rsidRPr="000B06E6" w:rsidRDefault="00F172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98C87E" w14:textId="0DD0A576" w:rsidR="000A176A" w:rsidRDefault="000A17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06E6">
              <w:rPr>
                <w:rFonts w:ascii="Arial" w:hAnsi="Arial" w:cs="Arial"/>
                <w:sz w:val="24"/>
                <w:szCs w:val="24"/>
                <w:lang w:val="en-US"/>
              </w:rPr>
              <w:t>Members noted the content of the paper.</w:t>
            </w:r>
          </w:p>
          <w:p w14:paraId="1868572B" w14:textId="75E4C20B" w:rsidR="00D53283" w:rsidRDefault="00D532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F50D64" w14:textId="4449CDBE" w:rsidR="00D53283" w:rsidRDefault="00D5328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D53283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Action Point</w:t>
            </w:r>
          </w:p>
          <w:p w14:paraId="5E66D800" w14:textId="55FF771F" w:rsidR="00D53283" w:rsidRPr="00D53283" w:rsidRDefault="00D5328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3283">
              <w:rPr>
                <w:rFonts w:ascii="Arial" w:hAnsi="Arial" w:cs="Arial"/>
                <w:sz w:val="24"/>
                <w:szCs w:val="24"/>
                <w:lang w:val="en-US"/>
              </w:rPr>
              <w:t xml:space="preserve">RAD to </w:t>
            </w:r>
            <w:r w:rsidR="006054E9">
              <w:rPr>
                <w:rFonts w:ascii="Arial" w:hAnsi="Arial" w:cs="Arial"/>
                <w:sz w:val="24"/>
                <w:szCs w:val="24"/>
                <w:lang w:val="en-US"/>
              </w:rPr>
              <w:t>provide an update on the position of their older debt and the work undertaken to reduce.</w:t>
            </w:r>
          </w:p>
          <w:p w14:paraId="6EAD8A02" w14:textId="465A0C5B" w:rsidR="00F172A7" w:rsidRPr="008F081D" w:rsidRDefault="00F172A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FF45767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C2A69F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17D336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DED378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057BDB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5C6841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1208C6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F5410C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128E2A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77B070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F9E0CC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46207F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B6C72C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A602D9" w14:textId="0525CC51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1BECC3" w14:textId="77777777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6A5B8A" w14:textId="0E552EB8" w:rsid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E0169" w14:textId="77777777" w:rsidR="00757D08" w:rsidRDefault="00757D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945202" w14:textId="2FC81214" w:rsidR="008F081D" w:rsidRPr="006054E9" w:rsidRDefault="00605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54E9">
              <w:rPr>
                <w:rFonts w:ascii="Arial" w:hAnsi="Arial" w:cs="Arial"/>
                <w:sz w:val="24"/>
                <w:szCs w:val="24"/>
                <w:lang w:val="en-US"/>
              </w:rPr>
              <w:t>David Reid</w:t>
            </w:r>
          </w:p>
        </w:tc>
      </w:tr>
      <w:tr w:rsidR="008F081D" w14:paraId="4CB88711" w14:textId="77777777" w:rsidTr="00F76ADA">
        <w:tc>
          <w:tcPr>
            <w:tcW w:w="562" w:type="dxa"/>
          </w:tcPr>
          <w:p w14:paraId="427164D3" w14:textId="68904C8E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230" w:type="dxa"/>
          </w:tcPr>
          <w:p w14:paraId="1335C4C7" w14:textId="0C051EA6" w:rsidR="008F081D" w:rsidRDefault="00675C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5C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Casework Committee Update</w:t>
            </w:r>
          </w:p>
        </w:tc>
        <w:tc>
          <w:tcPr>
            <w:tcW w:w="1842" w:type="dxa"/>
          </w:tcPr>
          <w:p w14:paraId="10CABCC5" w14:textId="716470ED" w:rsidR="008F081D" w:rsidRDefault="00675C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FC 08/23</w:t>
            </w:r>
          </w:p>
        </w:tc>
      </w:tr>
      <w:tr w:rsidR="008F081D" w14:paraId="04F4A2F6" w14:textId="77777777" w:rsidTr="00F76ADA">
        <w:trPr>
          <w:trHeight w:val="784"/>
        </w:trPr>
        <w:tc>
          <w:tcPr>
            <w:tcW w:w="562" w:type="dxa"/>
          </w:tcPr>
          <w:p w14:paraId="62A751DF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1B22CD27" w14:textId="41CD5E7F" w:rsidR="006054E9" w:rsidRPr="00F5653C" w:rsidRDefault="000B06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>Roger Downey</w:t>
            </w:r>
            <w:r w:rsidR="000A176A"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 presented the paper </w:t>
            </w:r>
            <w:r w:rsidR="00B37D2F" w:rsidRPr="00F5653C">
              <w:rPr>
                <w:rFonts w:ascii="Arial" w:hAnsi="Arial" w:cs="Arial"/>
                <w:sz w:val="24"/>
                <w:szCs w:val="24"/>
                <w:lang w:val="en-US"/>
              </w:rPr>
              <w:t>which provided an overview of the</w:t>
            </w:r>
            <w:r w:rsidR="005A64AB" w:rsidRPr="00EB27CA">
              <w:rPr>
                <w:rFonts w:ascii="Arial" w:hAnsi="Arial" w:cs="Arial"/>
                <w:sz w:val="24"/>
                <w:szCs w:val="24"/>
                <w:lang w:val="en-US"/>
              </w:rPr>
              <w:t xml:space="preserve"> Information Management System for Laboratories in AFBI, NIEA and DAERA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 xml:space="preserve"> (ISLAND)</w:t>
            </w:r>
            <w:r w:rsidR="00705CA8"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37D2F"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business case considered by the Casework Committee since </w:t>
            </w:r>
            <w:r w:rsidR="00705CA8" w:rsidRPr="00F5653C">
              <w:rPr>
                <w:rFonts w:ascii="Arial" w:hAnsi="Arial" w:cs="Arial"/>
                <w:sz w:val="24"/>
                <w:szCs w:val="24"/>
                <w:lang w:val="en-US"/>
              </w:rPr>
              <w:t>the last update in November 2022</w:t>
            </w:r>
            <w:r w:rsidR="005A64AB">
              <w:rPr>
                <w:rFonts w:ascii="Arial" w:hAnsi="Arial" w:cs="Arial"/>
                <w:sz w:val="24"/>
                <w:szCs w:val="24"/>
                <w:lang w:val="en-US"/>
              </w:rPr>
              <w:t>.  He noted that t</w:t>
            </w:r>
            <w:r w:rsidR="00F5653C" w:rsidRPr="00F5653C">
              <w:rPr>
                <w:rFonts w:ascii="Arial" w:hAnsi="Arial" w:cs="Arial"/>
                <w:sz w:val="24"/>
                <w:szCs w:val="24"/>
                <w:lang w:val="en-US"/>
              </w:rPr>
              <w:t>he business case went to DoF in January 2023.</w:t>
            </w:r>
          </w:p>
          <w:p w14:paraId="719D8F69" w14:textId="77777777" w:rsidR="00F5653C" w:rsidRPr="00F5653C" w:rsidRDefault="00F56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71D3BE" w14:textId="2E722A90" w:rsidR="00705CA8" w:rsidRPr="00F5653C" w:rsidRDefault="00705C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Brian Doherty reminded members that </w:t>
            </w:r>
            <w:r w:rsidR="005072B5"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the role of the </w:t>
            </w: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>Casework Committees</w:t>
            </w:r>
            <w:r w:rsidR="005072B5"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 xml:space="preserve">is to support the </w:t>
            </w:r>
            <w:r w:rsidR="00F5653C" w:rsidRPr="00F5653C">
              <w:rPr>
                <w:rFonts w:ascii="Arial" w:hAnsi="Arial" w:cs="Arial"/>
                <w:sz w:val="24"/>
                <w:szCs w:val="24"/>
                <w:lang w:val="en-US"/>
              </w:rPr>
              <w:t>Accounting Officer ensuring value for money and affordability</w:t>
            </w: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5179332" w14:textId="77777777" w:rsidR="00F5653C" w:rsidRDefault="00F5653C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14:paraId="20561168" w14:textId="182A9B5D" w:rsidR="00705CA8" w:rsidRPr="00F5653C" w:rsidRDefault="00705C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>Lynda Lowe reminded members on the stages of approval that business cases need to go through and the time involved.</w:t>
            </w:r>
          </w:p>
          <w:p w14:paraId="47FCCA94" w14:textId="0B503D8D" w:rsidR="00F172A7" w:rsidRPr="005F3091" w:rsidRDefault="00F172A7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7F45F31" w14:textId="77777777" w:rsidR="008F081D" w:rsidRDefault="008F081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5C2D" w14:paraId="48CBBF28" w14:textId="77777777" w:rsidTr="00F76ADA">
        <w:tc>
          <w:tcPr>
            <w:tcW w:w="562" w:type="dxa"/>
          </w:tcPr>
          <w:p w14:paraId="0EEE24A4" w14:textId="5363ED25" w:rsidR="00675C2D" w:rsidRDefault="00675C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230" w:type="dxa"/>
          </w:tcPr>
          <w:p w14:paraId="61004FE3" w14:textId="7FF15202" w:rsidR="00675C2D" w:rsidRPr="008F081D" w:rsidRDefault="00675C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5C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AOB</w:t>
            </w:r>
          </w:p>
        </w:tc>
        <w:tc>
          <w:tcPr>
            <w:tcW w:w="1842" w:type="dxa"/>
          </w:tcPr>
          <w:p w14:paraId="6405AD07" w14:textId="396BA34C" w:rsidR="00675C2D" w:rsidRDefault="00675C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7D2F" w14:paraId="77629054" w14:textId="77777777" w:rsidTr="00F76ADA">
        <w:tc>
          <w:tcPr>
            <w:tcW w:w="562" w:type="dxa"/>
          </w:tcPr>
          <w:p w14:paraId="116E2DB5" w14:textId="77777777" w:rsidR="00B37D2F" w:rsidRPr="006D1638" w:rsidRDefault="00B37D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24F1FF86" w14:textId="7EAEF816" w:rsidR="00B37D2F" w:rsidRPr="006D1638" w:rsidRDefault="006A43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>Roger Downey reminded members that return</w:t>
            </w:r>
            <w:r w:rsidR="00D00F4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 on</w:t>
            </w:r>
            <w:r w:rsidR="006D1638"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>the Peace Plus Programme are due to the Permanent Secretary by 8 February 2023.</w:t>
            </w:r>
          </w:p>
          <w:p w14:paraId="5BACFA10" w14:textId="77777777" w:rsidR="00C05102" w:rsidRPr="006D1638" w:rsidRDefault="00C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1F645B" w14:textId="0765ED23" w:rsidR="00B37D2F" w:rsidRPr="006D1638" w:rsidRDefault="00B37D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1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Action Point</w:t>
            </w:r>
            <w:r w:rsidR="006D1638" w:rsidRPr="006D163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s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CAE1BF0" w14:textId="4B3A9A43" w:rsidR="00C05102" w:rsidRPr="006D1638" w:rsidRDefault="00F76ADA" w:rsidP="006D16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VSAHG to provide a paper to Departmental Board on </w:t>
            </w:r>
            <w:r w:rsidR="00D53369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TB, </w:t>
            </w:r>
            <w:r w:rsidR="00CC09A6">
              <w:rPr>
                <w:rFonts w:ascii="Arial" w:hAnsi="Arial" w:cs="Arial"/>
                <w:sz w:val="24"/>
                <w:szCs w:val="24"/>
                <w:lang w:val="en-US"/>
              </w:rPr>
              <w:t>including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 a trend analysis on </w:t>
            </w:r>
            <w:r w:rsidR="00D53369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>TB compensation.</w:t>
            </w:r>
          </w:p>
          <w:p w14:paraId="13437F9C" w14:textId="77777777" w:rsidR="00F5653C" w:rsidRPr="006D1638" w:rsidRDefault="00F5653C" w:rsidP="006D16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>RAD to provide an update on the position of their older debt and the work undertaken to reduce.</w:t>
            </w:r>
          </w:p>
          <w:p w14:paraId="21A5395C" w14:textId="77777777" w:rsidR="00C05102" w:rsidRPr="006D1638" w:rsidRDefault="00C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CFEC77" w14:textId="715748E2" w:rsidR="00024B9C" w:rsidRPr="00024B9C" w:rsidRDefault="00024B9C" w:rsidP="00024B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B9C">
              <w:rPr>
                <w:rFonts w:ascii="Arial" w:hAnsi="Arial" w:cs="Arial"/>
                <w:sz w:val="24"/>
                <w:szCs w:val="24"/>
                <w:lang w:val="en-US"/>
              </w:rPr>
              <w:t>Brian Doherty closed the meeting at 15.05</w:t>
            </w:r>
          </w:p>
          <w:p w14:paraId="5099BBD2" w14:textId="77777777" w:rsidR="00C05102" w:rsidRPr="006D1638" w:rsidRDefault="00C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DC3B37" w14:textId="095BB17F" w:rsidR="00D53369" w:rsidRPr="00D53369" w:rsidRDefault="00B37D2F" w:rsidP="005A64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The next meeting is scheduled for </w:t>
            </w:r>
            <w:r w:rsidR="00AC0196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6D1638">
              <w:rPr>
                <w:rFonts w:ascii="Arial" w:hAnsi="Arial" w:cs="Arial"/>
                <w:sz w:val="24"/>
                <w:szCs w:val="24"/>
                <w:lang w:val="en-US"/>
              </w:rPr>
              <w:t xml:space="preserve"> May 2023.</w:t>
            </w:r>
          </w:p>
        </w:tc>
        <w:tc>
          <w:tcPr>
            <w:tcW w:w="1842" w:type="dxa"/>
          </w:tcPr>
          <w:p w14:paraId="310811C3" w14:textId="77777777" w:rsidR="00B37D2F" w:rsidRDefault="00B37D2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BB2DFBC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03626C7" w14:textId="77777777" w:rsidR="00F76ADA" w:rsidRDefault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265CEDF" w14:textId="77777777" w:rsidR="006A43CA" w:rsidRDefault="006A43CA" w:rsidP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A396B4" w14:textId="77777777" w:rsidR="006A43CA" w:rsidRDefault="006A43CA" w:rsidP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7A4E13" w14:textId="66BE03C5" w:rsidR="00F76ADA" w:rsidRPr="00F76ADA" w:rsidRDefault="00F76ADA" w:rsidP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6ADA">
              <w:rPr>
                <w:rFonts w:ascii="Arial" w:hAnsi="Arial" w:cs="Arial"/>
                <w:sz w:val="24"/>
                <w:szCs w:val="24"/>
                <w:lang w:val="en-US"/>
              </w:rPr>
              <w:t xml:space="preserve">Robert Huey </w:t>
            </w:r>
          </w:p>
          <w:p w14:paraId="72E42A58" w14:textId="77777777" w:rsidR="00F5653C" w:rsidRDefault="00F5653C" w:rsidP="00F76AD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DD88B3D" w14:textId="2AA85DFE" w:rsidR="00F5653C" w:rsidRPr="00F5653C" w:rsidRDefault="00F5653C" w:rsidP="00F76A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653C">
              <w:rPr>
                <w:rFonts w:ascii="Arial" w:hAnsi="Arial" w:cs="Arial"/>
                <w:sz w:val="24"/>
                <w:szCs w:val="24"/>
                <w:lang w:val="en-US"/>
              </w:rPr>
              <w:t>David Reid</w:t>
            </w:r>
          </w:p>
        </w:tc>
      </w:tr>
    </w:tbl>
    <w:p w14:paraId="155C77E8" w14:textId="77777777" w:rsidR="00F85202" w:rsidRPr="00F85202" w:rsidRDefault="00F85202" w:rsidP="00D5336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F85202" w:rsidRPr="00F852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67E5" w14:textId="77777777" w:rsidR="00FC6953" w:rsidRDefault="00FC6953" w:rsidP="00D82430">
      <w:pPr>
        <w:spacing w:after="0" w:line="240" w:lineRule="auto"/>
      </w:pPr>
      <w:r>
        <w:separator/>
      </w:r>
    </w:p>
  </w:endnote>
  <w:endnote w:type="continuationSeparator" w:id="0">
    <w:p w14:paraId="6FF44A8A" w14:textId="77777777" w:rsidR="00FC6953" w:rsidRDefault="00FC6953" w:rsidP="00D8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D6E8" w14:textId="77777777" w:rsidR="00FC6953" w:rsidRDefault="00FC6953" w:rsidP="00D82430">
      <w:pPr>
        <w:spacing w:after="0" w:line="240" w:lineRule="auto"/>
      </w:pPr>
      <w:r>
        <w:separator/>
      </w:r>
    </w:p>
  </w:footnote>
  <w:footnote w:type="continuationSeparator" w:id="0">
    <w:p w14:paraId="7A60083C" w14:textId="77777777" w:rsidR="00FC6953" w:rsidRDefault="00FC6953" w:rsidP="00D8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0BF6" w14:textId="67E74476" w:rsidR="00D82430" w:rsidRPr="00D82430" w:rsidRDefault="00D82430" w:rsidP="00D82430">
    <w:pPr>
      <w:pStyle w:val="Header"/>
      <w:jc w:val="right"/>
      <w:rPr>
        <w:rFonts w:ascii="Arial" w:hAnsi="Arial" w:cs="Arial"/>
        <w:lang w:val="en-US"/>
      </w:rPr>
    </w:pPr>
    <w:r w:rsidRPr="00D82430">
      <w:rPr>
        <w:rFonts w:ascii="Arial" w:hAnsi="Arial" w:cs="Arial"/>
        <w:lang w:val="en-US"/>
      </w:rPr>
      <w:t>FC 0</w:t>
    </w:r>
    <w:r w:rsidR="003625B2">
      <w:rPr>
        <w:rFonts w:ascii="Arial" w:hAnsi="Arial" w:cs="Arial"/>
        <w:lang w:val="en-US"/>
      </w:rPr>
      <w:t>9</w:t>
    </w:r>
    <w:r w:rsidRPr="00D82430">
      <w:rPr>
        <w:rFonts w:ascii="Arial" w:hAnsi="Arial" w:cs="Arial"/>
        <w:lang w:val="en-US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0FFC"/>
    <w:multiLevelType w:val="hybridMultilevel"/>
    <w:tmpl w:val="C87E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5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30"/>
    <w:rsid w:val="00014B8B"/>
    <w:rsid w:val="00024B9C"/>
    <w:rsid w:val="000614D0"/>
    <w:rsid w:val="000A176A"/>
    <w:rsid w:val="000B06E6"/>
    <w:rsid w:val="000E0798"/>
    <w:rsid w:val="000E2E96"/>
    <w:rsid w:val="0011018F"/>
    <w:rsid w:val="00121C82"/>
    <w:rsid w:val="001842F6"/>
    <w:rsid w:val="00185148"/>
    <w:rsid w:val="00187F09"/>
    <w:rsid w:val="00202915"/>
    <w:rsid w:val="00221F84"/>
    <w:rsid w:val="00234336"/>
    <w:rsid w:val="00245D37"/>
    <w:rsid w:val="00252B3A"/>
    <w:rsid w:val="002B69DE"/>
    <w:rsid w:val="002C1EF9"/>
    <w:rsid w:val="002F6249"/>
    <w:rsid w:val="00311FD4"/>
    <w:rsid w:val="00312BFD"/>
    <w:rsid w:val="00341B13"/>
    <w:rsid w:val="003625B2"/>
    <w:rsid w:val="003B0B40"/>
    <w:rsid w:val="003B59FB"/>
    <w:rsid w:val="0041408A"/>
    <w:rsid w:val="00414750"/>
    <w:rsid w:val="004310EE"/>
    <w:rsid w:val="00506D93"/>
    <w:rsid w:val="005072B5"/>
    <w:rsid w:val="005A4B1B"/>
    <w:rsid w:val="005A64AB"/>
    <w:rsid w:val="005B562F"/>
    <w:rsid w:val="005F3091"/>
    <w:rsid w:val="006054E9"/>
    <w:rsid w:val="00663A63"/>
    <w:rsid w:val="00675C2D"/>
    <w:rsid w:val="00694C3F"/>
    <w:rsid w:val="006A43CA"/>
    <w:rsid w:val="006D1638"/>
    <w:rsid w:val="006E14F3"/>
    <w:rsid w:val="00705CA8"/>
    <w:rsid w:val="007264B1"/>
    <w:rsid w:val="00757D08"/>
    <w:rsid w:val="007E00B5"/>
    <w:rsid w:val="007F3EE4"/>
    <w:rsid w:val="00801F28"/>
    <w:rsid w:val="0088612C"/>
    <w:rsid w:val="008C77B1"/>
    <w:rsid w:val="008D2553"/>
    <w:rsid w:val="008D31F1"/>
    <w:rsid w:val="008F081D"/>
    <w:rsid w:val="008F6ECF"/>
    <w:rsid w:val="00927B60"/>
    <w:rsid w:val="00940192"/>
    <w:rsid w:val="00946505"/>
    <w:rsid w:val="0095104D"/>
    <w:rsid w:val="00997456"/>
    <w:rsid w:val="009A534D"/>
    <w:rsid w:val="009F1E0E"/>
    <w:rsid w:val="00A213FF"/>
    <w:rsid w:val="00A63A7C"/>
    <w:rsid w:val="00A82A20"/>
    <w:rsid w:val="00A92850"/>
    <w:rsid w:val="00AA7FDD"/>
    <w:rsid w:val="00AC0196"/>
    <w:rsid w:val="00AC5102"/>
    <w:rsid w:val="00B275B9"/>
    <w:rsid w:val="00B37D2F"/>
    <w:rsid w:val="00BD7762"/>
    <w:rsid w:val="00BE013F"/>
    <w:rsid w:val="00C05102"/>
    <w:rsid w:val="00CC09A6"/>
    <w:rsid w:val="00CE0502"/>
    <w:rsid w:val="00D00F44"/>
    <w:rsid w:val="00D51B31"/>
    <w:rsid w:val="00D53283"/>
    <w:rsid w:val="00D53369"/>
    <w:rsid w:val="00D65D48"/>
    <w:rsid w:val="00D82430"/>
    <w:rsid w:val="00DC0466"/>
    <w:rsid w:val="00EB27CA"/>
    <w:rsid w:val="00ED1E37"/>
    <w:rsid w:val="00F172A7"/>
    <w:rsid w:val="00F269C6"/>
    <w:rsid w:val="00F427E1"/>
    <w:rsid w:val="00F47070"/>
    <w:rsid w:val="00F5653C"/>
    <w:rsid w:val="00F70086"/>
    <w:rsid w:val="00F76ADA"/>
    <w:rsid w:val="00F85202"/>
    <w:rsid w:val="00FC695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DCCC"/>
  <w15:chartTrackingRefBased/>
  <w15:docId w15:val="{F3A14AB7-F17F-4E5E-9A9C-00CF4DD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30"/>
  </w:style>
  <w:style w:type="paragraph" w:styleId="Footer">
    <w:name w:val="footer"/>
    <w:basedOn w:val="Normal"/>
    <w:link w:val="FooterChar"/>
    <w:uiPriority w:val="99"/>
    <w:unhideWhenUsed/>
    <w:rsid w:val="00D8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430"/>
  </w:style>
  <w:style w:type="table" w:styleId="TableGrid">
    <w:name w:val="Table Grid"/>
    <w:basedOn w:val="TableNormal"/>
    <w:uiPriority w:val="39"/>
    <w:rsid w:val="00F8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638"/>
    <w:pPr>
      <w:ind w:left="720"/>
      <w:contextualSpacing/>
    </w:pPr>
  </w:style>
  <w:style w:type="paragraph" w:styleId="Revision">
    <w:name w:val="Revision"/>
    <w:hidden/>
    <w:uiPriority w:val="99"/>
    <w:semiHidden/>
    <w:rsid w:val="00940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7291</Characters>
  <Application>Microsoft Office Word</Application>
  <DocSecurity>4</DocSecurity>
  <Lines>336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2</cp:revision>
  <dcterms:created xsi:type="dcterms:W3CDTF">2023-05-02T08:25:00Z</dcterms:created>
  <dcterms:modified xsi:type="dcterms:W3CDTF">2023-05-02T08:25:00Z</dcterms:modified>
</cp:coreProperties>
</file>