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5CD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4F9ADDB" w14:textId="77777777" w:rsidR="00202D9F" w:rsidRPr="00224B4F" w:rsidRDefault="00202D9F" w:rsidP="00224B4F">
      <w:pPr>
        <w:jc w:val="center"/>
        <w:rPr>
          <w:b/>
          <w:sz w:val="36"/>
          <w:szCs w:val="36"/>
        </w:rPr>
      </w:pPr>
    </w:p>
    <w:p w14:paraId="698F720A" w14:textId="77777777" w:rsidR="00202D9F" w:rsidRDefault="00202D9F"/>
    <w:p w14:paraId="3F16CE69" w14:textId="77777777" w:rsidR="00202D9F" w:rsidRDefault="00202D9F"/>
    <w:p w14:paraId="68F977BF" w14:textId="77777777" w:rsidR="00202D9F" w:rsidRDefault="00202D9F">
      <w:pPr>
        <w:ind w:left="1704"/>
        <w:rPr>
          <w:rFonts w:ascii="Arial" w:hAnsi="Arial"/>
          <w:b/>
          <w:sz w:val="56"/>
        </w:rPr>
      </w:pPr>
    </w:p>
    <w:p w14:paraId="4573BFEA" w14:textId="77777777" w:rsidR="00202D9F" w:rsidRDefault="00202D9F">
      <w:pPr>
        <w:ind w:left="1704"/>
        <w:rPr>
          <w:rFonts w:ascii="Arial" w:hAnsi="Arial"/>
          <w:b/>
          <w:sz w:val="56"/>
        </w:rPr>
      </w:pPr>
    </w:p>
    <w:p w14:paraId="0496529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5EA675C"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8BF0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F9105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9912C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155DA2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9EFBF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F35C90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6D697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9738087" w14:textId="4CC0C9AD" w:rsidR="006E6ADD" w:rsidRPr="00227800" w:rsidRDefault="006E6ADD" w:rsidP="00227800">
      <w:pPr>
        <w:pStyle w:val="Header"/>
        <w:tabs>
          <w:tab w:val="clear" w:pos="4320"/>
          <w:tab w:val="clear" w:pos="8640"/>
          <w:tab w:val="left" w:pos="3180"/>
        </w:tabs>
        <w:ind w:right="842"/>
        <w:jc w:val="right"/>
        <w:rPr>
          <w:rFonts w:ascii="Arial" w:hAnsi="Arial"/>
          <w:szCs w:val="24"/>
        </w:rPr>
      </w:pPr>
    </w:p>
    <w:p w14:paraId="7F167868" w14:textId="77777777" w:rsidR="006E6ADD" w:rsidRDefault="006E6ADD">
      <w:pPr>
        <w:pStyle w:val="Header"/>
        <w:tabs>
          <w:tab w:val="clear" w:pos="4320"/>
          <w:tab w:val="clear" w:pos="8640"/>
          <w:tab w:val="left" w:pos="3180"/>
        </w:tabs>
        <w:rPr>
          <w:rFonts w:ascii="Arial" w:hAnsi="Arial"/>
          <w:sz w:val="56"/>
        </w:rPr>
      </w:pPr>
    </w:p>
    <w:p w14:paraId="1C1624EB" w14:textId="77777777" w:rsidR="006E6ADD" w:rsidRDefault="006E6ADD">
      <w:pPr>
        <w:pStyle w:val="Header"/>
        <w:tabs>
          <w:tab w:val="clear" w:pos="4320"/>
          <w:tab w:val="clear" w:pos="8640"/>
          <w:tab w:val="left" w:pos="3180"/>
        </w:tabs>
        <w:rPr>
          <w:rFonts w:ascii="Arial" w:hAnsi="Arial"/>
          <w:sz w:val="56"/>
        </w:rPr>
      </w:pPr>
    </w:p>
    <w:p w14:paraId="18931E05" w14:textId="77777777" w:rsidR="006E6ADD" w:rsidRDefault="006E6ADD">
      <w:pPr>
        <w:pStyle w:val="Header"/>
        <w:tabs>
          <w:tab w:val="clear" w:pos="4320"/>
          <w:tab w:val="clear" w:pos="8640"/>
          <w:tab w:val="left" w:pos="3180"/>
        </w:tabs>
        <w:rPr>
          <w:rFonts w:ascii="Arial" w:hAnsi="Arial"/>
          <w:sz w:val="56"/>
        </w:rPr>
      </w:pPr>
    </w:p>
    <w:p w14:paraId="5EF366B4" w14:textId="77777777" w:rsidR="00202D9F" w:rsidRDefault="00202D9F">
      <w:pPr>
        <w:pStyle w:val="Header"/>
        <w:tabs>
          <w:tab w:val="clear" w:pos="4320"/>
          <w:tab w:val="clear" w:pos="8640"/>
          <w:tab w:val="left" w:pos="3180"/>
        </w:tabs>
        <w:ind w:left="8876"/>
        <w:rPr>
          <w:rFonts w:ascii="Arial" w:hAnsi="Arial"/>
          <w:sz w:val="56"/>
        </w:rPr>
      </w:pPr>
    </w:p>
    <w:p w14:paraId="3AB7ECC5" w14:textId="77777777" w:rsidR="00202D9F" w:rsidRDefault="00202D9F" w:rsidP="00227800">
      <w:pPr>
        <w:pStyle w:val="Header"/>
        <w:tabs>
          <w:tab w:val="clear" w:pos="4320"/>
          <w:tab w:val="clear" w:pos="8640"/>
          <w:tab w:val="left" w:pos="3180"/>
        </w:tabs>
        <w:ind w:left="1704" w:right="559"/>
        <w:rPr>
          <w:rFonts w:ascii="Arial" w:hAnsi="Arial"/>
          <w:sz w:val="56"/>
        </w:rPr>
      </w:pPr>
    </w:p>
    <w:p w14:paraId="3D031231" w14:textId="53A35F92"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406F18">
        <w:rPr>
          <w:rFonts w:ascii="Arial" w:hAnsi="Arial"/>
          <w:sz w:val="56"/>
        </w:rPr>
        <w:pict w14:anchorId="5FAC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70.25pt">
            <v:imagedata r:id="rId11" o:title="A4 DAERA Logo process"/>
          </v:shape>
        </w:pict>
      </w:r>
      <w:r w:rsidR="00D059C6" w:rsidRPr="00D059C6">
        <w:rPr>
          <w:rFonts w:ascii="Arial" w:hAnsi="Arial"/>
          <w:sz w:val="56"/>
        </w:rPr>
        <w:t xml:space="preserve"> </w:t>
      </w:r>
    </w:p>
    <w:p w14:paraId="39DDA65C"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0743F8FB" w14:textId="77777777" w:rsidR="00202D9F" w:rsidRDefault="00202D9F">
      <w:pPr>
        <w:pStyle w:val="Heading1"/>
      </w:pPr>
      <w:r>
        <w:rPr>
          <w:sz w:val="40"/>
        </w:rPr>
        <w:t>Screening Template</w:t>
      </w:r>
    </w:p>
    <w:p w14:paraId="55B37BB1" w14:textId="77777777" w:rsidR="00202D9F" w:rsidRDefault="00202D9F">
      <w:pPr>
        <w:jc w:val="center"/>
        <w:rPr>
          <w:b/>
          <w:sz w:val="28"/>
        </w:rPr>
      </w:pPr>
    </w:p>
    <w:p w14:paraId="619D0C3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0EA8ECB" w14:textId="77777777" w:rsidR="00202D9F" w:rsidRDefault="00202D9F">
      <w:pPr>
        <w:pStyle w:val="DARDEqualityText"/>
      </w:pPr>
      <w:r>
        <w:t xml:space="preserve">   </w:t>
      </w:r>
    </w:p>
    <w:p w14:paraId="2174E26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C1E6F66" w14:textId="77777777" w:rsidR="00D47DB7" w:rsidRDefault="00956C57" w:rsidP="00A73FCC">
      <w:pPr>
        <w:pStyle w:val="DARDEqualityText"/>
        <w:tabs>
          <w:tab w:val="num" w:pos="2282"/>
        </w:tabs>
      </w:pPr>
      <w:r>
        <w:object w:dxaOrig="2069" w:dyaOrig="1320" w14:anchorId="6B988942">
          <v:shape id="_x0000_i1026" type="#_x0000_t75" style="width:103.7pt;height:66.8pt" o:ole="">
            <v:imagedata r:id="rId13" o:title=""/>
          </v:shape>
          <o:OLEObject Type="Embed" ProgID="Package" ShapeID="_x0000_i1026" DrawAspect="Icon" ObjectID="_1610259911" r:id="rId14"/>
        </w:object>
      </w:r>
    </w:p>
    <w:p w14:paraId="56A457B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 xml:space="preserve">duties and what they mean in practice </w:t>
      </w:r>
      <w:r>
        <w:t xml:space="preserve">is available </w:t>
      </w:r>
      <w:r w:rsidR="00716554">
        <w:t>on the Equality</w:t>
      </w:r>
      <w:r>
        <w:t xml:space="preserve"> Commission’s website.  </w:t>
      </w:r>
    </w:p>
    <w:p w14:paraId="79C537FA" w14:textId="77777777" w:rsidR="000E173E" w:rsidRDefault="000E173E" w:rsidP="00A73FCC">
      <w:pPr>
        <w:pStyle w:val="DARDEqualityText"/>
        <w:tabs>
          <w:tab w:val="num" w:pos="2282"/>
        </w:tabs>
      </w:pPr>
    </w:p>
    <w:p w14:paraId="1E017CBD" w14:textId="77777777" w:rsidR="000E173E" w:rsidRDefault="000E173E" w:rsidP="00A73FCC">
      <w:pPr>
        <w:pStyle w:val="DARDEqualityText"/>
        <w:tabs>
          <w:tab w:val="num" w:pos="2282"/>
        </w:tabs>
      </w:pPr>
      <w:r>
        <w:t>Please note: Only plain English</w:t>
      </w:r>
      <w:r w:rsidR="005534C3">
        <w:rPr>
          <w:b/>
          <w:color w:val="0000FF"/>
          <w:u w:val="single"/>
        </w:rPr>
        <w:t xml:space="preserve"> </w:t>
      </w:r>
      <w:r>
        <w:t xml:space="preserve">should be used in all sections of this document. </w:t>
      </w:r>
    </w:p>
    <w:p w14:paraId="3A1B2F82" w14:textId="77777777" w:rsidR="00EE29A4" w:rsidRDefault="00EE29A4" w:rsidP="00EE29A4">
      <w:pPr>
        <w:pStyle w:val="DARDEqualityText"/>
        <w:tabs>
          <w:tab w:val="num" w:pos="2282"/>
        </w:tabs>
        <w:spacing w:line="240" w:lineRule="auto"/>
      </w:pPr>
    </w:p>
    <w:p w14:paraId="3FFA67B1" w14:textId="77777777" w:rsidR="000E173E" w:rsidRPr="005534C3" w:rsidRDefault="0021778B" w:rsidP="005534C3">
      <w:pPr>
        <w:pStyle w:val="DARDEqualityText"/>
        <w:tabs>
          <w:tab w:val="num" w:pos="2282"/>
        </w:tabs>
      </w:pPr>
      <w:r>
        <w:t>Th</w:t>
      </w:r>
      <w:r w:rsidR="0047531B">
        <w:t>e</w:t>
      </w:r>
      <w:r>
        <w:t xml:space="preserve"> screening template </w:t>
      </w:r>
      <w:r w:rsidR="0047531B">
        <w:t>has 4 sections to complete. These are:</w:t>
      </w:r>
    </w:p>
    <w:p w14:paraId="0468C68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4293BDC5" w14:textId="77777777" w:rsidR="00202D9F" w:rsidRPr="00A42679" w:rsidRDefault="00202D9F">
      <w:pPr>
        <w:pStyle w:val="DARDEqualityText"/>
        <w:spacing w:before="300"/>
        <w:ind w:left="1562" w:hanging="1562"/>
        <w:rPr>
          <w:color w:val="FF0000"/>
        </w:rPr>
      </w:pPr>
      <w:r>
        <w:rPr>
          <w:b/>
          <w:color w:val="142062"/>
        </w:rPr>
        <w:lastRenderedPageBreak/>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8E3FAE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1D1DE6BC"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F297A37" w14:textId="77777777" w:rsidR="000E173E" w:rsidRDefault="000E173E" w:rsidP="0058299D">
      <w:pPr>
        <w:pStyle w:val="DARDEqualityTextBold"/>
        <w:rPr>
          <w:sz w:val="40"/>
        </w:rPr>
      </w:pPr>
    </w:p>
    <w:p w14:paraId="15424123" w14:textId="77777777" w:rsidR="000E173E" w:rsidRDefault="000E173E" w:rsidP="0058299D">
      <w:pPr>
        <w:pStyle w:val="DARDEqualityTextBold"/>
        <w:rPr>
          <w:sz w:val="40"/>
        </w:rPr>
      </w:pPr>
    </w:p>
    <w:p w14:paraId="29C99530" w14:textId="77777777" w:rsidR="000E173E" w:rsidRDefault="000E173E" w:rsidP="0058299D">
      <w:pPr>
        <w:pStyle w:val="DARDEqualityTextBold"/>
        <w:rPr>
          <w:sz w:val="40"/>
        </w:rPr>
      </w:pPr>
    </w:p>
    <w:p w14:paraId="356D1221" w14:textId="77777777" w:rsidR="000E173E" w:rsidRDefault="000E173E" w:rsidP="0058299D">
      <w:pPr>
        <w:pStyle w:val="DARDEqualityTextBold"/>
        <w:rPr>
          <w:sz w:val="40"/>
        </w:rPr>
      </w:pPr>
    </w:p>
    <w:p w14:paraId="345D3E9A" w14:textId="77777777" w:rsidR="000E173E" w:rsidRDefault="000E173E" w:rsidP="0058299D">
      <w:pPr>
        <w:pStyle w:val="DARDEqualityTextBold"/>
        <w:rPr>
          <w:sz w:val="40"/>
        </w:rPr>
      </w:pPr>
    </w:p>
    <w:p w14:paraId="78375FC6" w14:textId="77777777" w:rsidR="000E173E" w:rsidRDefault="000E173E" w:rsidP="0058299D">
      <w:pPr>
        <w:pStyle w:val="DARDEqualityTextBold"/>
        <w:rPr>
          <w:sz w:val="40"/>
        </w:rPr>
      </w:pPr>
    </w:p>
    <w:p w14:paraId="7F623A38" w14:textId="77777777" w:rsidR="000E173E" w:rsidRDefault="000E173E" w:rsidP="0058299D">
      <w:pPr>
        <w:pStyle w:val="DARDEqualityTextBold"/>
        <w:rPr>
          <w:sz w:val="40"/>
        </w:rPr>
      </w:pPr>
    </w:p>
    <w:p w14:paraId="766069F5" w14:textId="77777777" w:rsidR="000E173E" w:rsidRDefault="000E173E" w:rsidP="0058299D">
      <w:pPr>
        <w:pStyle w:val="DARDEqualityTextBold"/>
        <w:rPr>
          <w:sz w:val="40"/>
        </w:rPr>
      </w:pPr>
    </w:p>
    <w:p w14:paraId="6BCDC055" w14:textId="77777777" w:rsidR="000E173E" w:rsidRDefault="000E173E" w:rsidP="0058299D">
      <w:pPr>
        <w:pStyle w:val="DARDEqualityTextBold"/>
        <w:rPr>
          <w:sz w:val="40"/>
        </w:rPr>
      </w:pPr>
    </w:p>
    <w:p w14:paraId="4F585F1C" w14:textId="77777777" w:rsidR="000E173E" w:rsidRDefault="000E173E" w:rsidP="0058299D">
      <w:pPr>
        <w:pStyle w:val="DARDEqualityTextBold"/>
        <w:rPr>
          <w:sz w:val="40"/>
        </w:rPr>
      </w:pPr>
    </w:p>
    <w:p w14:paraId="0C45941C" w14:textId="77777777" w:rsidR="000E173E" w:rsidRDefault="000E173E" w:rsidP="0058299D">
      <w:pPr>
        <w:pStyle w:val="DARDEqualityTextBold"/>
        <w:rPr>
          <w:sz w:val="40"/>
        </w:rPr>
      </w:pPr>
    </w:p>
    <w:p w14:paraId="644FAEF7" w14:textId="77777777" w:rsidR="005C03E2" w:rsidRDefault="005C03E2" w:rsidP="0058299D">
      <w:pPr>
        <w:pStyle w:val="DARDEqualityTextBold"/>
        <w:rPr>
          <w:sz w:val="40"/>
        </w:rPr>
      </w:pPr>
    </w:p>
    <w:p w14:paraId="5FF82DCB" w14:textId="77777777" w:rsidR="005C03E2" w:rsidRDefault="005C03E2" w:rsidP="0058299D">
      <w:pPr>
        <w:pStyle w:val="DARDEqualityTextBold"/>
        <w:rPr>
          <w:sz w:val="40"/>
        </w:rPr>
      </w:pPr>
    </w:p>
    <w:p w14:paraId="4F01AC72" w14:textId="77777777" w:rsidR="000E173E" w:rsidRDefault="000E173E" w:rsidP="0058299D">
      <w:pPr>
        <w:pStyle w:val="DARDEqualityTextBold"/>
        <w:rPr>
          <w:sz w:val="40"/>
        </w:rPr>
      </w:pPr>
    </w:p>
    <w:p w14:paraId="00FB546D" w14:textId="77777777" w:rsidR="005534C3" w:rsidRDefault="005534C3" w:rsidP="0058299D">
      <w:pPr>
        <w:pStyle w:val="DARDEqualityTextBold"/>
        <w:rPr>
          <w:sz w:val="40"/>
        </w:rPr>
      </w:pPr>
    </w:p>
    <w:p w14:paraId="44E27A0B" w14:textId="08DB75CD" w:rsidR="009176B4" w:rsidRDefault="009176B4" w:rsidP="0058299D">
      <w:pPr>
        <w:pStyle w:val="DARDEqualityTextBold"/>
        <w:rPr>
          <w:sz w:val="40"/>
        </w:rPr>
      </w:pPr>
    </w:p>
    <w:p w14:paraId="6642EE85" w14:textId="77777777" w:rsidR="009176B4" w:rsidRPr="009176B4" w:rsidRDefault="009176B4" w:rsidP="009176B4"/>
    <w:p w14:paraId="4FFF1BD4" w14:textId="77777777" w:rsidR="005534C3" w:rsidRPr="009176B4" w:rsidRDefault="005534C3" w:rsidP="009176B4"/>
    <w:p w14:paraId="3F70C46D" w14:textId="77777777" w:rsidR="005534C3" w:rsidRDefault="005534C3" w:rsidP="0058299D">
      <w:pPr>
        <w:pStyle w:val="DARDEqualityTextBold"/>
        <w:rPr>
          <w:sz w:val="40"/>
        </w:rPr>
      </w:pPr>
    </w:p>
    <w:p w14:paraId="642C5307" w14:textId="77777777" w:rsidR="0058299D" w:rsidRDefault="0058299D" w:rsidP="0058299D">
      <w:pPr>
        <w:pStyle w:val="DARDEqualityTextBold"/>
        <w:rPr>
          <w:sz w:val="40"/>
        </w:rPr>
      </w:pPr>
      <w:r>
        <w:rPr>
          <w:sz w:val="40"/>
        </w:rPr>
        <w:t>Section A</w:t>
      </w:r>
    </w:p>
    <w:p w14:paraId="137A0DAF" w14:textId="77777777" w:rsidR="00202D9F" w:rsidRDefault="00202D9F">
      <w:pPr>
        <w:pStyle w:val="DARDEqualityTextBold"/>
      </w:pPr>
      <w:r>
        <w:t>Details about the policy / decision to be screened</w:t>
      </w:r>
      <w:r w:rsidR="00E12311">
        <w:t xml:space="preserve"> – In plain English</w:t>
      </w:r>
    </w:p>
    <w:p w14:paraId="4C6BB9C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A1F072E" w14:textId="77777777" w:rsidTr="005C03E2">
        <w:trPr>
          <w:trHeight w:val="1576"/>
        </w:trPr>
        <w:tc>
          <w:tcPr>
            <w:tcW w:w="10598" w:type="dxa"/>
          </w:tcPr>
          <w:p w14:paraId="5BC21061" w14:textId="2D116AF7" w:rsidR="00EB116D" w:rsidRDefault="00202D9F" w:rsidP="00EB116D">
            <w:pPr>
              <w:pStyle w:val="DARDEqualityTextBold"/>
              <w:spacing w:before="20"/>
              <w:rPr>
                <w:color w:val="auto"/>
                <w:sz w:val="24"/>
              </w:rPr>
            </w:pPr>
            <w:r>
              <w:rPr>
                <w:color w:val="auto"/>
                <w:sz w:val="24"/>
              </w:rPr>
              <w:t>Title of pol</w:t>
            </w:r>
            <w:r w:rsidR="00912813">
              <w:rPr>
                <w:color w:val="auto"/>
                <w:sz w:val="24"/>
              </w:rPr>
              <w:t>icy / decision to be screened:</w:t>
            </w:r>
          </w:p>
          <w:p w14:paraId="3EFB4F53" w14:textId="2091BFF2" w:rsidR="00AA7425" w:rsidRPr="009D6A39" w:rsidRDefault="00534CE3" w:rsidP="00534CE3">
            <w:pPr>
              <w:pStyle w:val="DARDEqualityTextBold"/>
              <w:spacing w:line="240" w:lineRule="auto"/>
              <w:rPr>
                <w:b w:val="0"/>
                <w:color w:val="000000"/>
                <w:sz w:val="24"/>
              </w:rPr>
            </w:pPr>
            <w:r>
              <w:rPr>
                <w:rFonts w:cs="Arial"/>
                <w:b w:val="0"/>
                <w:color w:val="auto"/>
                <w:sz w:val="24"/>
              </w:rPr>
              <w:t>A</w:t>
            </w:r>
            <w:r w:rsidR="00001C0F">
              <w:rPr>
                <w:rFonts w:cs="Arial"/>
                <w:b w:val="0"/>
                <w:color w:val="auto"/>
                <w:sz w:val="24"/>
              </w:rPr>
              <w:t xml:space="preserve">mendments to the </w:t>
            </w:r>
            <w:r w:rsidR="00001C0F" w:rsidRPr="00001C0F">
              <w:rPr>
                <w:rFonts w:cs="Arial"/>
                <w:b w:val="0"/>
                <w:color w:val="auto"/>
                <w:sz w:val="24"/>
              </w:rPr>
              <w:t>Reporting of Prices of Milk Products Regulations (Northern Ireland) 2008</w:t>
            </w:r>
          </w:p>
        </w:tc>
      </w:tr>
    </w:tbl>
    <w:p w14:paraId="23635C5C" w14:textId="77777777" w:rsidR="00677852" w:rsidRDefault="00677852"/>
    <w:p w14:paraId="35DAF76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15B1994" w14:textId="77777777" w:rsidTr="00691A68">
        <w:trPr>
          <w:trHeight w:val="1838"/>
        </w:trPr>
        <w:tc>
          <w:tcPr>
            <w:tcW w:w="10598" w:type="dxa"/>
          </w:tcPr>
          <w:p w14:paraId="2C533824" w14:textId="05F24B58" w:rsidR="00202D9F" w:rsidRDefault="00202D9F">
            <w:pPr>
              <w:pStyle w:val="DARDEqualityTextBold"/>
              <w:spacing w:before="20"/>
              <w:rPr>
                <w:b w:val="0"/>
                <w:color w:val="auto"/>
                <w:sz w:val="24"/>
              </w:rPr>
            </w:pPr>
            <w:r>
              <w:rPr>
                <w:color w:val="auto"/>
                <w:sz w:val="24"/>
              </w:rPr>
              <w:t>Brief description of po</w:t>
            </w:r>
            <w:r w:rsidR="004E64BD">
              <w:rPr>
                <w:color w:val="auto"/>
                <w:sz w:val="24"/>
              </w:rPr>
              <w:t>licy / decision to be screened:</w:t>
            </w:r>
            <w:r>
              <w:rPr>
                <w:color w:val="auto"/>
                <w:sz w:val="24"/>
              </w:rPr>
              <w:t xml:space="preserve"> </w:t>
            </w:r>
            <w:r>
              <w:rPr>
                <w:b w:val="0"/>
                <w:color w:val="auto"/>
                <w:sz w:val="24"/>
              </w:rPr>
              <w:fldChar w:fldCharType="begin">
                <w:ffData>
                  <w:name w:val="Text5"/>
                  <w:enabled/>
                  <w:calcOnExit w:val="0"/>
                  <w:textInput/>
                </w:ffData>
              </w:fldChar>
            </w:r>
            <w:bookmarkStart w:id="0"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203C4B87" w14:textId="096C4778" w:rsidR="007920B2" w:rsidRDefault="00534CE3" w:rsidP="004D7311">
            <w:pPr>
              <w:spacing w:before="5"/>
              <w:ind w:left="40"/>
              <w:rPr>
                <w:rFonts w:ascii="Arial" w:hAnsi="Arial" w:cs="Arial"/>
                <w:szCs w:val="24"/>
              </w:rPr>
            </w:pPr>
            <w:r>
              <w:rPr>
                <w:rFonts w:ascii="Arial" w:eastAsia="Times New Roman" w:hAnsi="Arial" w:cs="Arial"/>
                <w:szCs w:val="24"/>
              </w:rPr>
              <w:t>A</w:t>
            </w:r>
            <w:r w:rsidR="00001C0F">
              <w:rPr>
                <w:rFonts w:ascii="Arial" w:eastAsia="Times New Roman" w:hAnsi="Arial" w:cs="Arial"/>
                <w:szCs w:val="24"/>
              </w:rPr>
              <w:t>mendments to the</w:t>
            </w:r>
            <w:r w:rsidR="00912813" w:rsidRPr="00FA407E">
              <w:rPr>
                <w:rFonts w:ascii="Arial" w:eastAsia="Times New Roman" w:hAnsi="Arial" w:cs="Arial"/>
                <w:szCs w:val="24"/>
              </w:rPr>
              <w:t xml:space="preserve"> </w:t>
            </w:r>
            <w:r w:rsidR="00001C0F" w:rsidRPr="00D425F3">
              <w:rPr>
                <w:rFonts w:ascii="Arial" w:hAnsi="Arial" w:cs="Arial"/>
                <w:i/>
                <w:szCs w:val="24"/>
              </w:rPr>
              <w:t>Reporting of Prices of Milk Products Regulations (Northern Ireland) 2008</w:t>
            </w:r>
            <w:r w:rsidR="00C04C4B">
              <w:rPr>
                <w:rFonts w:ascii="Arial" w:hAnsi="Arial" w:cs="Arial"/>
                <w:i/>
                <w:szCs w:val="24"/>
              </w:rPr>
              <w:t xml:space="preserve"> (“the Regulations”)</w:t>
            </w:r>
            <w:r w:rsidR="007920B2">
              <w:rPr>
                <w:rFonts w:ascii="Arial" w:hAnsi="Arial" w:cs="Arial"/>
                <w:i/>
                <w:szCs w:val="24"/>
              </w:rPr>
              <w:t>.</w:t>
            </w:r>
            <w:r w:rsidR="007920B2">
              <w:rPr>
                <w:rFonts w:ascii="Arial" w:hAnsi="Arial" w:cs="Arial"/>
                <w:szCs w:val="24"/>
              </w:rPr>
              <w:t xml:space="preserve">  </w:t>
            </w:r>
            <w:r w:rsidR="004E64BD" w:rsidRPr="008F175E">
              <w:rPr>
                <w:rFonts w:ascii="Arial" w:hAnsi="Arial" w:cs="Arial"/>
                <w:szCs w:val="24"/>
              </w:rPr>
              <w:t xml:space="preserve"> </w:t>
            </w:r>
            <w:r w:rsidR="007920B2">
              <w:rPr>
                <w:rFonts w:ascii="Arial" w:hAnsi="Arial" w:cs="Arial"/>
                <w:szCs w:val="24"/>
              </w:rPr>
              <w:t>These amendments consist of</w:t>
            </w:r>
            <w:r w:rsidR="00DE2128">
              <w:rPr>
                <w:rFonts w:ascii="Arial" w:hAnsi="Arial" w:cs="Arial"/>
                <w:szCs w:val="24"/>
              </w:rPr>
              <w:t>:</w:t>
            </w:r>
            <w:r w:rsidR="007920B2">
              <w:rPr>
                <w:rFonts w:ascii="Arial" w:hAnsi="Arial" w:cs="Arial"/>
                <w:szCs w:val="24"/>
              </w:rPr>
              <w:t xml:space="preserve"> </w:t>
            </w:r>
            <w:r w:rsidR="00DE2128">
              <w:rPr>
                <w:rFonts w:ascii="Arial" w:hAnsi="Arial" w:cs="Arial"/>
                <w:szCs w:val="24"/>
              </w:rPr>
              <w:t xml:space="preserve">(1) necessary minor changes </w:t>
            </w:r>
            <w:r w:rsidR="00DE2128" w:rsidRPr="00DE2128">
              <w:rPr>
                <w:rFonts w:ascii="Arial" w:hAnsi="Arial" w:cs="Arial"/>
                <w:szCs w:val="24"/>
              </w:rPr>
              <w:t>to u</w:t>
            </w:r>
            <w:r w:rsidR="00DE2128">
              <w:rPr>
                <w:rFonts w:ascii="Arial" w:hAnsi="Arial" w:cs="Arial"/>
                <w:szCs w:val="24"/>
              </w:rPr>
              <w:t>pdate out-of-date EU references and; (2) fixes to certain EU</w:t>
            </w:r>
            <w:r w:rsidR="00DE2128" w:rsidRPr="00DE2128">
              <w:rPr>
                <w:rFonts w:ascii="Arial" w:hAnsi="Arial" w:cs="Arial"/>
                <w:szCs w:val="24"/>
              </w:rPr>
              <w:t xml:space="preserve">-derived legislation to ensure that in the event of a ‘no-deal’ scenario the legislation will remain operable following the </w:t>
            </w:r>
            <w:r w:rsidR="004D7311">
              <w:rPr>
                <w:rFonts w:ascii="Arial" w:hAnsi="Arial" w:cs="Arial"/>
                <w:szCs w:val="24"/>
              </w:rPr>
              <w:t>United Kingdom’s (</w:t>
            </w:r>
            <w:r w:rsidR="00DE2128" w:rsidRPr="00DE2128">
              <w:rPr>
                <w:rFonts w:ascii="Arial" w:hAnsi="Arial" w:cs="Arial"/>
                <w:szCs w:val="24"/>
              </w:rPr>
              <w:t>UK’s</w:t>
            </w:r>
            <w:r w:rsidR="004D7311">
              <w:rPr>
                <w:rFonts w:ascii="Arial" w:hAnsi="Arial" w:cs="Arial"/>
                <w:szCs w:val="24"/>
              </w:rPr>
              <w:t>)</w:t>
            </w:r>
            <w:r w:rsidR="00DE2128" w:rsidRPr="00DE2128">
              <w:rPr>
                <w:rFonts w:ascii="Arial" w:hAnsi="Arial" w:cs="Arial"/>
                <w:szCs w:val="24"/>
              </w:rPr>
              <w:t xml:space="preserve"> exit from the EU</w:t>
            </w:r>
            <w:r w:rsidR="00DE2128">
              <w:rPr>
                <w:rFonts w:ascii="Arial" w:hAnsi="Arial" w:cs="Arial"/>
                <w:szCs w:val="24"/>
              </w:rPr>
              <w:t xml:space="preserve">.  </w:t>
            </w:r>
          </w:p>
          <w:p w14:paraId="25BA2646" w14:textId="2A048A57" w:rsidR="0022257B" w:rsidRPr="00F162DA" w:rsidRDefault="0022257B" w:rsidP="00DE2128">
            <w:pPr>
              <w:spacing w:before="5" w:line="360" w:lineRule="auto"/>
              <w:ind w:left="40"/>
              <w:rPr>
                <w:color w:val="0070C0"/>
                <w:szCs w:val="24"/>
              </w:rPr>
            </w:pPr>
          </w:p>
        </w:tc>
      </w:tr>
    </w:tbl>
    <w:p w14:paraId="4EF12DEA" w14:textId="77777777" w:rsidR="00677852" w:rsidRDefault="00677852"/>
    <w:p w14:paraId="157B3A42"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FD8E505" w14:textId="77777777" w:rsidTr="005C03E2">
        <w:trPr>
          <w:trHeight w:val="3508"/>
        </w:trPr>
        <w:tc>
          <w:tcPr>
            <w:tcW w:w="10598" w:type="dxa"/>
          </w:tcPr>
          <w:p w14:paraId="3376BE0F" w14:textId="33DA2A4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049FCE3" w14:textId="33BD9AE1" w:rsidR="00BA7CB6"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3C5B0F9A" w14:textId="5133A681" w:rsidR="002B1C37" w:rsidRDefault="00DE2128" w:rsidP="002B1C37">
            <w:pPr>
              <w:rPr>
                <w:rFonts w:ascii="Arial" w:hAnsi="Arial" w:cs="Arial"/>
                <w:szCs w:val="24"/>
              </w:rPr>
            </w:pPr>
            <w:r w:rsidRPr="00DE2128">
              <w:rPr>
                <w:rFonts w:ascii="Arial" w:hAnsi="Arial" w:cs="Arial"/>
                <w:szCs w:val="24"/>
              </w:rPr>
              <w:t>The European Communities Act 1972 (“the ECA”) confers powers upon DAERA to give effect to EU Regulations that do not otherwise come into direct effect in UK law.  This provision enables the UK (and NI where devolved) to implement EU law through domestic legislation.  Put simply, it is under the ECA that DAERA makes domestic legislation to enforce EU law</w:t>
            </w:r>
            <w:r>
              <w:rPr>
                <w:rFonts w:ascii="Arial" w:hAnsi="Arial" w:cs="Arial"/>
                <w:szCs w:val="24"/>
              </w:rPr>
              <w:t>.</w:t>
            </w:r>
            <w:r w:rsidR="00C04C4B">
              <w:rPr>
                <w:rFonts w:ascii="Arial" w:hAnsi="Arial" w:cs="Arial"/>
                <w:szCs w:val="24"/>
              </w:rPr>
              <w:t xml:space="preserve">  </w:t>
            </w:r>
            <w:r w:rsidR="00C04C4B" w:rsidRPr="00C04C4B">
              <w:rPr>
                <w:rFonts w:ascii="Arial" w:hAnsi="Arial" w:cs="Arial"/>
                <w:szCs w:val="24"/>
              </w:rPr>
              <w:t>On the day that the UK leaves the EU, the European Union (Withdrawal) Act 2018 will repeal the ECA and, because the powers to make any changes will be repealed on that day, it is necess</w:t>
            </w:r>
            <w:r w:rsidR="00263CB6">
              <w:rPr>
                <w:rFonts w:ascii="Arial" w:hAnsi="Arial" w:cs="Arial"/>
                <w:szCs w:val="24"/>
              </w:rPr>
              <w:t xml:space="preserve">ary to make some minor changes </w:t>
            </w:r>
            <w:r w:rsidR="00C04C4B" w:rsidRPr="00C04C4B">
              <w:rPr>
                <w:rFonts w:ascii="Arial" w:hAnsi="Arial" w:cs="Arial"/>
                <w:szCs w:val="24"/>
              </w:rPr>
              <w:t>to update out-of-date EU references to the</w:t>
            </w:r>
            <w:r w:rsidR="00534CE3">
              <w:rPr>
                <w:rFonts w:ascii="Arial" w:hAnsi="Arial" w:cs="Arial"/>
                <w:szCs w:val="24"/>
              </w:rPr>
              <w:t xml:space="preserve"> </w:t>
            </w:r>
            <w:r w:rsidR="00C04C4B">
              <w:rPr>
                <w:rFonts w:ascii="Arial" w:hAnsi="Arial" w:cs="Arial"/>
                <w:szCs w:val="24"/>
              </w:rPr>
              <w:t>Regulations</w:t>
            </w:r>
            <w:r w:rsidR="00C04C4B" w:rsidRPr="00C04C4B">
              <w:rPr>
                <w:rFonts w:ascii="Arial" w:hAnsi="Arial" w:cs="Arial"/>
                <w:szCs w:val="24"/>
              </w:rPr>
              <w:t xml:space="preserve"> before that happens</w:t>
            </w:r>
            <w:r w:rsidR="00C04C4B">
              <w:rPr>
                <w:rFonts w:ascii="Arial" w:hAnsi="Arial" w:cs="Arial"/>
                <w:szCs w:val="24"/>
              </w:rPr>
              <w:t>.</w:t>
            </w:r>
            <w:r w:rsidR="00263CB6">
              <w:rPr>
                <w:rFonts w:ascii="Arial" w:hAnsi="Arial" w:cs="Arial"/>
                <w:szCs w:val="24"/>
              </w:rPr>
              <w:t xml:space="preserve"> </w:t>
            </w:r>
            <w:r w:rsidR="00952B75">
              <w:rPr>
                <w:rFonts w:ascii="Arial" w:hAnsi="Arial" w:cs="Arial"/>
                <w:szCs w:val="24"/>
              </w:rPr>
              <w:t xml:space="preserve"> These minor changes will ensure that the </w:t>
            </w:r>
            <w:r w:rsidR="00952B75" w:rsidRPr="00952B75">
              <w:rPr>
                <w:rFonts w:ascii="Arial" w:hAnsi="Arial" w:cs="Arial"/>
                <w:szCs w:val="24"/>
              </w:rPr>
              <w:t xml:space="preserve">legislation will continue to operate in the same way, after the UK leaves the EU.  </w:t>
            </w:r>
            <w:r w:rsidR="00952B75">
              <w:rPr>
                <w:rFonts w:ascii="Arial" w:hAnsi="Arial" w:cs="Arial"/>
                <w:szCs w:val="24"/>
              </w:rPr>
              <w:t>As such, the changes</w:t>
            </w:r>
            <w:r w:rsidR="00952B75" w:rsidRPr="00952B75">
              <w:rPr>
                <w:rFonts w:ascii="Arial" w:hAnsi="Arial" w:cs="Arial"/>
                <w:szCs w:val="24"/>
              </w:rPr>
              <w:t xml:space="preserve"> do not introduce any change in policy and have no substantive impact in themselves.</w:t>
            </w:r>
          </w:p>
          <w:p w14:paraId="5FF928C5" w14:textId="77777777" w:rsidR="00263CB6" w:rsidRDefault="00263CB6" w:rsidP="002B1C37">
            <w:pPr>
              <w:rPr>
                <w:rFonts w:ascii="Arial" w:hAnsi="Arial" w:cs="Arial"/>
                <w:szCs w:val="24"/>
              </w:rPr>
            </w:pPr>
          </w:p>
          <w:p w14:paraId="0CE2B225" w14:textId="25710951" w:rsidR="00D425F3" w:rsidRPr="004D7311" w:rsidRDefault="00C04C4B" w:rsidP="00406F18">
            <w:pPr>
              <w:rPr>
                <w:rFonts w:ascii="Arial" w:hAnsi="Arial" w:cs="Arial"/>
                <w:szCs w:val="24"/>
              </w:rPr>
            </w:pPr>
            <w:r w:rsidRPr="00C04C4B">
              <w:rPr>
                <w:rFonts w:ascii="Arial" w:hAnsi="Arial" w:cs="Arial"/>
                <w:szCs w:val="24"/>
              </w:rPr>
              <w:t>The European Union (Withdra</w:t>
            </w:r>
            <w:r>
              <w:rPr>
                <w:rFonts w:ascii="Arial" w:hAnsi="Arial" w:cs="Arial"/>
                <w:szCs w:val="24"/>
              </w:rPr>
              <w:t xml:space="preserve">wal) Act 2018 (“the 2018 Act”) </w:t>
            </w:r>
            <w:r w:rsidRPr="00C04C4B">
              <w:rPr>
                <w:rFonts w:ascii="Arial" w:hAnsi="Arial" w:cs="Arial"/>
                <w:szCs w:val="24"/>
              </w:rPr>
              <w:t xml:space="preserve">repeals the ECA on the day the </w:t>
            </w:r>
            <w:r w:rsidR="004D7311">
              <w:rPr>
                <w:rFonts w:ascii="Arial" w:hAnsi="Arial" w:cs="Arial"/>
                <w:szCs w:val="24"/>
              </w:rPr>
              <w:t>UK</w:t>
            </w:r>
            <w:r w:rsidRPr="00C04C4B">
              <w:rPr>
                <w:rFonts w:ascii="Arial" w:hAnsi="Arial" w:cs="Arial"/>
                <w:szCs w:val="24"/>
              </w:rPr>
              <w:t xml:space="preserve"> leaves the European Union (EU). The 2018 Act also converts EU law as it stands at the moment of exit, into UK domestic law, and preserves UK laws made under the ECA to implement EU obligations.  Powers in the 2018 Act enable amendments to EU Law to ensure that such legislation can work properly in the context of the UK post EU Exit (when it will become known as ‘EU retained legislation’). The 2018 Act also allows for amendments to the domestic legislation that implements and enforces EU obligations here (either directly in Northern Ireland, or across the UK). The aim is to ensure a smooth transition and prov</w:t>
            </w:r>
            <w:r w:rsidR="00406F18">
              <w:rPr>
                <w:rFonts w:ascii="Arial" w:hAnsi="Arial" w:cs="Arial"/>
                <w:szCs w:val="24"/>
              </w:rPr>
              <w:t>ide</w:t>
            </w:r>
            <w:r w:rsidRPr="00C04C4B">
              <w:rPr>
                <w:rFonts w:ascii="Arial" w:hAnsi="Arial" w:cs="Arial"/>
                <w:szCs w:val="24"/>
              </w:rPr>
              <w:t xml:space="preserve"> certain</w:t>
            </w:r>
            <w:r w:rsidR="00406F18">
              <w:rPr>
                <w:rFonts w:ascii="Arial" w:hAnsi="Arial" w:cs="Arial"/>
                <w:szCs w:val="24"/>
              </w:rPr>
              <w:t>t</w:t>
            </w:r>
            <w:bookmarkStart w:id="2" w:name="_GoBack"/>
            <w:bookmarkEnd w:id="2"/>
            <w:r w:rsidRPr="00C04C4B">
              <w:rPr>
                <w:rFonts w:ascii="Arial" w:hAnsi="Arial" w:cs="Arial"/>
                <w:szCs w:val="24"/>
              </w:rPr>
              <w:t>y for stakeholders on EU Exit day. The 2018 Act limits the changes that can be made to legislation to those that ensure operability of the legislation post EU Exit</w:t>
            </w:r>
            <w:r>
              <w:rPr>
                <w:rFonts w:ascii="Arial" w:hAnsi="Arial" w:cs="Arial"/>
                <w:szCs w:val="24"/>
              </w:rPr>
              <w:t xml:space="preserve">.  </w:t>
            </w:r>
            <w:r w:rsidR="00263CB6">
              <w:rPr>
                <w:rFonts w:ascii="Arial" w:hAnsi="Arial" w:cs="Arial"/>
                <w:szCs w:val="24"/>
              </w:rPr>
              <w:t xml:space="preserve">As such, the amendments to the Regulations do not introduce new policy, but instead </w:t>
            </w:r>
            <w:r w:rsidR="00263CB6" w:rsidRPr="00263CB6">
              <w:rPr>
                <w:rFonts w:ascii="Arial" w:hAnsi="Arial" w:cs="Arial"/>
                <w:szCs w:val="24"/>
              </w:rPr>
              <w:t>simply ensure that existing legislation works after EU Exit (in a no deal scenario) in the same way as it does now.</w:t>
            </w:r>
            <w:r w:rsidR="00263CB6">
              <w:rPr>
                <w:rFonts w:ascii="Arial" w:hAnsi="Arial" w:cs="Arial"/>
                <w:szCs w:val="24"/>
              </w:rPr>
              <w:t xml:space="preserve">  For example, </w:t>
            </w:r>
            <w:r w:rsidR="002431B2">
              <w:rPr>
                <w:rFonts w:ascii="Arial" w:hAnsi="Arial" w:cs="Arial"/>
                <w:szCs w:val="24"/>
              </w:rPr>
              <w:t xml:space="preserve">with regard to </w:t>
            </w:r>
            <w:r w:rsidR="00BF7786">
              <w:rPr>
                <w:rFonts w:ascii="Arial" w:hAnsi="Arial" w:cs="Arial"/>
                <w:szCs w:val="24"/>
              </w:rPr>
              <w:t xml:space="preserve">provision of </w:t>
            </w:r>
            <w:r w:rsidR="00BF7786">
              <w:rPr>
                <w:rFonts w:ascii="Arial" w:hAnsi="Arial" w:cs="Arial"/>
                <w:szCs w:val="24"/>
              </w:rPr>
              <w:lastRenderedPageBreak/>
              <w:t xml:space="preserve">information on prices of milk products, reference to </w:t>
            </w:r>
            <w:r w:rsidR="00952B75">
              <w:rPr>
                <w:rFonts w:ascii="Arial" w:hAnsi="Arial" w:cs="Arial"/>
                <w:szCs w:val="24"/>
              </w:rPr>
              <w:t>the ‘Commission’</w:t>
            </w:r>
            <w:r w:rsidR="00263CB6">
              <w:rPr>
                <w:rFonts w:ascii="Arial" w:hAnsi="Arial" w:cs="Arial"/>
                <w:szCs w:val="24"/>
              </w:rPr>
              <w:t xml:space="preserve"> </w:t>
            </w:r>
            <w:r w:rsidR="002431B2">
              <w:rPr>
                <w:rFonts w:ascii="Arial" w:hAnsi="Arial" w:cs="Arial"/>
                <w:szCs w:val="24"/>
              </w:rPr>
              <w:t>is removed</w:t>
            </w:r>
            <w:r w:rsidR="00BF7786">
              <w:rPr>
                <w:rFonts w:ascii="Arial" w:hAnsi="Arial" w:cs="Arial"/>
                <w:szCs w:val="24"/>
              </w:rPr>
              <w:t xml:space="preserve"> because the UK will no longer be a Member State of the EU.</w:t>
            </w:r>
          </w:p>
        </w:tc>
      </w:tr>
    </w:tbl>
    <w:p w14:paraId="2BAEAE1B" w14:textId="77777777" w:rsidR="0022257B" w:rsidRDefault="0022257B"/>
    <w:p w14:paraId="675A0ADD"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6FE166FA" w14:textId="77777777" w:rsidTr="005C03E2">
        <w:trPr>
          <w:trHeight w:val="3289"/>
        </w:trPr>
        <w:tc>
          <w:tcPr>
            <w:tcW w:w="10456" w:type="dxa"/>
          </w:tcPr>
          <w:p w14:paraId="045F9DF3"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33B28B3" w14:textId="77777777" w:rsidR="00D9704D" w:rsidRPr="00D9704D" w:rsidRDefault="00D9704D" w:rsidP="004738FB">
            <w:pPr>
              <w:rPr>
                <w:rFonts w:ascii="Arial" w:hAnsi="Arial" w:cs="Arial"/>
                <w:b/>
                <w:sz w:val="28"/>
                <w:szCs w:val="28"/>
              </w:rPr>
            </w:pPr>
          </w:p>
          <w:p w14:paraId="6F95486C"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D083891" w14:textId="77777777" w:rsidR="004738FB" w:rsidRPr="00A63A94" w:rsidRDefault="004738FB" w:rsidP="004738FB">
            <w:pPr>
              <w:spacing w:before="120"/>
              <w:ind w:left="301"/>
              <w:rPr>
                <w:rFonts w:ascii="Arial" w:hAnsi="Arial" w:cs="Arial"/>
                <w:szCs w:val="24"/>
              </w:rPr>
            </w:pPr>
          </w:p>
          <w:p w14:paraId="4F6EEAB7" w14:textId="77777777" w:rsidR="00BC6346" w:rsidRPr="00B35098" w:rsidRDefault="00406F18" w:rsidP="004738FB">
            <w:pPr>
              <w:ind w:left="720"/>
              <w:rPr>
                <w:rFonts w:ascii="Arial" w:hAnsi="Arial" w:cs="Arial"/>
                <w:szCs w:val="24"/>
              </w:rPr>
            </w:pPr>
            <w:r>
              <w:rPr>
                <w:rFonts w:ascii="Arial" w:hAnsi="Arial" w:cs="Arial"/>
                <w:noProof/>
                <w:szCs w:val="24"/>
                <w:lang w:eastAsia="en-GB"/>
              </w:rPr>
              <w:pict w14:anchorId="55D69060">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D2F58BA"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C6BC723" w14:textId="77777777" w:rsidR="004738FB" w:rsidRPr="00B35098" w:rsidRDefault="00406F18" w:rsidP="004738FB">
            <w:pPr>
              <w:ind w:left="720"/>
              <w:rPr>
                <w:rFonts w:ascii="Arial" w:hAnsi="Arial" w:cs="Arial"/>
                <w:szCs w:val="24"/>
              </w:rPr>
            </w:pPr>
            <w:r>
              <w:rPr>
                <w:rFonts w:ascii="Arial" w:hAnsi="Arial" w:cs="Arial"/>
                <w:noProof/>
                <w:szCs w:val="24"/>
                <w:lang w:eastAsia="en-GB"/>
              </w:rPr>
              <w:pict w14:anchorId="236DA631">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DC37563" w14:textId="77777777" w:rsidR="004738FB" w:rsidRPr="00B35098" w:rsidRDefault="004738FB" w:rsidP="004738FB">
            <w:pPr>
              <w:ind w:left="720"/>
              <w:rPr>
                <w:rFonts w:ascii="Arial" w:hAnsi="Arial" w:cs="Arial"/>
                <w:szCs w:val="24"/>
              </w:rPr>
            </w:pPr>
          </w:p>
          <w:p w14:paraId="2E7B317B" w14:textId="77777777" w:rsidR="004738FB" w:rsidRPr="00B35098" w:rsidRDefault="00406F18" w:rsidP="00677852">
            <w:pPr>
              <w:rPr>
                <w:rFonts w:ascii="Arial" w:hAnsi="Arial" w:cs="Arial"/>
                <w:szCs w:val="24"/>
              </w:rPr>
            </w:pPr>
            <w:r>
              <w:rPr>
                <w:rFonts w:ascii="Arial" w:hAnsi="Arial" w:cs="Arial"/>
                <w:b/>
                <w:noProof/>
                <w:szCs w:val="24"/>
                <w:lang w:val="en-GB" w:eastAsia="en-GB"/>
              </w:rPr>
              <w:pict w14:anchorId="408D6E2F">
                <v:rect id="_x0000_s1033" style="position:absolute;margin-left:5.25pt;margin-top:.15pt;width:18pt;height:20.05pt;z-index:251660288" fillcolor="#969696" strokecolor="gray">
                  <v:textbox style="mso-next-textbox:#_x0000_s1033">
                    <w:txbxContent>
                      <w:p w14:paraId="58AE8659" w14:textId="2083465C" w:rsidR="00CF693D" w:rsidRDefault="00CF693D">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725FF58" w14:textId="77777777" w:rsidR="004738FB" w:rsidRPr="00B35098" w:rsidRDefault="004738FB" w:rsidP="004738FB">
            <w:pPr>
              <w:ind w:left="720"/>
              <w:rPr>
                <w:rFonts w:ascii="Arial" w:hAnsi="Arial" w:cs="Arial"/>
                <w:szCs w:val="24"/>
              </w:rPr>
            </w:pPr>
          </w:p>
          <w:p w14:paraId="17C1ADA2" w14:textId="77777777" w:rsidR="004738FB" w:rsidRPr="00B35098" w:rsidRDefault="00406F18" w:rsidP="004738FB">
            <w:pPr>
              <w:ind w:left="720"/>
              <w:rPr>
                <w:rFonts w:ascii="Arial" w:hAnsi="Arial" w:cs="Arial"/>
                <w:szCs w:val="24"/>
              </w:rPr>
            </w:pPr>
            <w:r>
              <w:rPr>
                <w:rFonts w:ascii="Arial" w:hAnsi="Arial" w:cs="Arial"/>
                <w:noProof/>
                <w:szCs w:val="24"/>
                <w:lang w:eastAsia="en-GB"/>
              </w:rPr>
              <w:pict w14:anchorId="0CC8C663">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C2EF172" w14:textId="77777777" w:rsidR="004738FB" w:rsidRPr="00B35098" w:rsidRDefault="00406F18" w:rsidP="004738FB">
            <w:pPr>
              <w:ind w:left="720"/>
              <w:rPr>
                <w:rFonts w:ascii="Arial" w:hAnsi="Arial" w:cs="Arial"/>
                <w:szCs w:val="24"/>
              </w:rPr>
            </w:pPr>
            <w:r>
              <w:rPr>
                <w:rFonts w:ascii="Arial" w:hAnsi="Arial" w:cs="Arial"/>
                <w:noProof/>
                <w:szCs w:val="24"/>
                <w:lang w:eastAsia="en-GB"/>
              </w:rPr>
              <w:pict w14:anchorId="0D6F781E">
                <v:rect id="_x0000_s1031" style="position:absolute;left:0;text-align:left;margin-left:5.25pt;margin-top:12.75pt;width:18pt;height:20.05pt;z-index:251658240" fillcolor="#969696" strokecolor="gray">
                  <v:textbox style="mso-next-textbox:#_x0000_s1031">
                    <w:txbxContent>
                      <w:p w14:paraId="4E974285" w14:textId="77777777" w:rsidR="00CF693D" w:rsidRDefault="00CF693D"/>
                    </w:txbxContent>
                  </v:textbox>
                </v:rect>
              </w:pict>
            </w:r>
          </w:p>
          <w:p w14:paraId="2FF19B33"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2DBC5DF" w14:textId="77777777" w:rsidR="004738FB" w:rsidRPr="00B35098" w:rsidRDefault="00406F18" w:rsidP="004738FB">
            <w:pPr>
              <w:ind w:left="720"/>
              <w:rPr>
                <w:rFonts w:cs="Arial"/>
                <w:szCs w:val="24"/>
              </w:rPr>
            </w:pPr>
            <w:r>
              <w:rPr>
                <w:rFonts w:cs="Arial"/>
                <w:noProof/>
                <w:szCs w:val="24"/>
                <w:lang w:eastAsia="en-GB"/>
              </w:rPr>
              <w:pict w14:anchorId="085FDA90">
                <v:rect id="_x0000_s1032" style="position:absolute;left:0;text-align:left;margin-left:5.25pt;margin-top:12.15pt;width:18pt;height:20.05pt;z-index:251659264" fillcolor="#969696" strokecolor="gray"/>
              </w:pict>
            </w:r>
          </w:p>
          <w:p w14:paraId="2442EDC1"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6A7D49D" w14:textId="77777777" w:rsidR="004738FB" w:rsidRDefault="004738FB" w:rsidP="004738FB">
            <w:pPr>
              <w:ind w:left="1167"/>
              <w:rPr>
                <w:rFonts w:cs="Arial"/>
                <w:sz w:val="28"/>
                <w:szCs w:val="28"/>
              </w:rPr>
            </w:pPr>
          </w:p>
          <w:p w14:paraId="799BFA61" w14:textId="0E98615B" w:rsidR="00862D63" w:rsidRPr="00D363AA" w:rsidRDefault="00862D63" w:rsidP="004E64BD">
            <w:pPr>
              <w:rPr>
                <w:rFonts w:ascii="Arial" w:hAnsi="Arial" w:cs="Arial"/>
                <w:szCs w:val="24"/>
              </w:rPr>
            </w:pPr>
          </w:p>
        </w:tc>
      </w:tr>
      <w:tr w:rsidR="0022257B" w14:paraId="5F63FFC8" w14:textId="77777777" w:rsidTr="0088236D">
        <w:trPr>
          <w:trHeight w:val="810"/>
        </w:trPr>
        <w:tc>
          <w:tcPr>
            <w:tcW w:w="10456" w:type="dxa"/>
          </w:tcPr>
          <w:p w14:paraId="52F558B4" w14:textId="21176650"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14:paraId="010156AC" w14:textId="77777777" w:rsidR="009508BA" w:rsidRDefault="009508BA" w:rsidP="00B252B2">
            <w:pPr>
              <w:pStyle w:val="DARDEqualityTextBold"/>
              <w:spacing w:before="20" w:line="240" w:lineRule="auto"/>
              <w:rPr>
                <w:b w:val="0"/>
                <w:color w:val="auto"/>
                <w:sz w:val="24"/>
              </w:rPr>
            </w:pPr>
          </w:p>
          <w:p w14:paraId="2B66AEBF" w14:textId="1D4A99F3" w:rsidR="004D7311" w:rsidRDefault="004D7311" w:rsidP="00B252B2">
            <w:pPr>
              <w:pStyle w:val="DARDEqualityTextBold"/>
              <w:spacing w:before="20" w:line="240" w:lineRule="auto"/>
              <w:rPr>
                <w:b w:val="0"/>
                <w:color w:val="auto"/>
                <w:sz w:val="24"/>
              </w:rPr>
            </w:pPr>
            <w:r>
              <w:rPr>
                <w:b w:val="0"/>
                <w:color w:val="auto"/>
                <w:sz w:val="24"/>
              </w:rPr>
              <w:t>Not applicable.</w:t>
            </w:r>
          </w:p>
          <w:p w14:paraId="500EB5DF" w14:textId="28C74DD3" w:rsidR="004D7311" w:rsidRPr="00FA407E" w:rsidRDefault="004D7311" w:rsidP="00B252B2">
            <w:pPr>
              <w:pStyle w:val="DARDEqualityTextBold"/>
              <w:spacing w:before="20" w:line="240" w:lineRule="auto"/>
              <w:rPr>
                <w:b w:val="0"/>
                <w:color w:val="auto"/>
                <w:sz w:val="24"/>
              </w:rPr>
            </w:pPr>
          </w:p>
        </w:tc>
      </w:tr>
    </w:tbl>
    <w:p w14:paraId="1E88ED56" w14:textId="77777777" w:rsidR="0088236D" w:rsidRDefault="0088236D">
      <w:pPr>
        <w:pStyle w:val="DARDEqualityTextBold"/>
        <w:rPr>
          <w:sz w:val="40"/>
        </w:rPr>
      </w:pPr>
    </w:p>
    <w:p w14:paraId="4F0D95E5" w14:textId="0605CDEB" w:rsidR="00202D9F" w:rsidRDefault="0088236D">
      <w:pPr>
        <w:pStyle w:val="DARDEqualityTextBold"/>
        <w:rPr>
          <w:sz w:val="40"/>
        </w:rPr>
      </w:pPr>
      <w:r>
        <w:rPr>
          <w:sz w:val="40"/>
        </w:rPr>
        <w:t>S</w:t>
      </w:r>
      <w:r w:rsidR="00202D9F">
        <w:rPr>
          <w:sz w:val="40"/>
        </w:rPr>
        <w:t>ection B</w:t>
      </w:r>
    </w:p>
    <w:p w14:paraId="573C486F"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EB3A6C9" w14:textId="77777777" w:rsidR="004830AF" w:rsidRPr="007811C0" w:rsidRDefault="004830AF" w:rsidP="004830AF">
      <w:pPr>
        <w:autoSpaceDE w:val="0"/>
        <w:autoSpaceDN w:val="0"/>
        <w:adjustRightInd w:val="0"/>
        <w:rPr>
          <w:rFonts w:ascii="Arial" w:hAnsi="Arial" w:cs="Arial"/>
          <w:sz w:val="28"/>
          <w:szCs w:val="28"/>
        </w:rPr>
      </w:pPr>
    </w:p>
    <w:p w14:paraId="0D124C68"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w:t>
      </w:r>
      <w:r w:rsidR="000A1FB1">
        <w:lastRenderedPageBreak/>
        <w:t xml:space="preserve">groups you have met and </w:t>
      </w:r>
      <w:r w:rsidRPr="00D20045">
        <w:t>or consulted with to help inform your screening assessment</w:t>
      </w:r>
      <w:r w:rsidRPr="00D20045">
        <w:rPr>
          <w:szCs w:val="28"/>
        </w:rPr>
        <w:t>.</w:t>
      </w:r>
    </w:p>
    <w:p w14:paraId="1209EE07" w14:textId="77777777" w:rsidR="004830AF" w:rsidRPr="007811C0" w:rsidRDefault="004830AF" w:rsidP="004830AF">
      <w:pPr>
        <w:autoSpaceDE w:val="0"/>
        <w:autoSpaceDN w:val="0"/>
        <w:adjustRightInd w:val="0"/>
        <w:rPr>
          <w:rFonts w:ascii="Arial" w:hAnsi="Arial" w:cs="Arial"/>
          <w:b/>
          <w:sz w:val="28"/>
          <w:szCs w:val="28"/>
        </w:rPr>
      </w:pPr>
    </w:p>
    <w:p w14:paraId="21FD3785"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66875C1" w14:textId="77777777" w:rsidTr="00D47DB7">
        <w:trPr>
          <w:trHeight w:val="1011"/>
        </w:trPr>
        <w:tc>
          <w:tcPr>
            <w:tcW w:w="2410" w:type="dxa"/>
            <w:shd w:val="clear" w:color="auto" w:fill="C0C0C0"/>
          </w:tcPr>
          <w:p w14:paraId="0A47ACE8" w14:textId="77777777" w:rsidR="004830AF" w:rsidRPr="008275C7" w:rsidRDefault="004830AF" w:rsidP="00B60891">
            <w:pPr>
              <w:spacing w:before="240" w:after="240"/>
              <w:rPr>
                <w:rFonts w:ascii="Arial" w:hAnsi="Arial" w:cs="Arial"/>
                <w:b/>
                <w:sz w:val="28"/>
                <w:szCs w:val="28"/>
                <w:highlight w:val="lightGray"/>
              </w:rPr>
            </w:pPr>
            <w:r w:rsidRPr="008275C7">
              <w:rPr>
                <w:rFonts w:ascii="Arial" w:hAnsi="Arial" w:cs="Arial"/>
                <w:b/>
                <w:sz w:val="28"/>
                <w:szCs w:val="28"/>
                <w:highlight w:val="lightGray"/>
              </w:rPr>
              <w:t xml:space="preserve">Section 75 category </w:t>
            </w:r>
          </w:p>
        </w:tc>
        <w:tc>
          <w:tcPr>
            <w:tcW w:w="8080" w:type="dxa"/>
            <w:shd w:val="clear" w:color="auto" w:fill="C0C0C0"/>
          </w:tcPr>
          <w:p w14:paraId="7AC0ED9C" w14:textId="77777777" w:rsidR="004830AF" w:rsidRPr="008275C7" w:rsidRDefault="000A1FB1" w:rsidP="00B60891">
            <w:pPr>
              <w:spacing w:before="240" w:after="240"/>
              <w:rPr>
                <w:rFonts w:ascii="Arial" w:hAnsi="Arial" w:cs="Arial"/>
                <w:b/>
                <w:sz w:val="28"/>
                <w:szCs w:val="28"/>
                <w:highlight w:val="lightGray"/>
              </w:rPr>
            </w:pPr>
            <w:r w:rsidRPr="008275C7">
              <w:rPr>
                <w:rFonts w:ascii="Arial" w:hAnsi="Arial" w:cs="Arial"/>
                <w:b/>
                <w:sz w:val="28"/>
                <w:szCs w:val="28"/>
                <w:highlight w:val="lightGray"/>
              </w:rPr>
              <w:t>Details of evidence or</w:t>
            </w:r>
            <w:r w:rsidR="004830AF" w:rsidRPr="008275C7">
              <w:rPr>
                <w:rFonts w:ascii="Arial" w:hAnsi="Arial" w:cs="Arial"/>
                <w:b/>
                <w:sz w:val="28"/>
                <w:szCs w:val="28"/>
                <w:highlight w:val="lightGray"/>
              </w:rPr>
              <w:t xml:space="preserve"> information and engagement</w:t>
            </w:r>
          </w:p>
        </w:tc>
      </w:tr>
      <w:tr w:rsidR="004830AF" w:rsidRPr="00C106EB" w14:paraId="0F6E4566" w14:textId="77777777" w:rsidTr="00D47DB7">
        <w:tc>
          <w:tcPr>
            <w:tcW w:w="2410" w:type="dxa"/>
            <w:shd w:val="clear" w:color="auto" w:fill="E6E6E6"/>
          </w:tcPr>
          <w:p w14:paraId="007A3F2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D5DDC3" w14:textId="77777777" w:rsidR="00132B12" w:rsidRPr="00864E32" w:rsidRDefault="006A2EB8" w:rsidP="00132B12">
            <w:pPr>
              <w:rPr>
                <w:rFonts w:ascii="Arial" w:hAnsi="Arial" w:cs="Arial"/>
                <w:szCs w:val="24"/>
                <w:lang w:val="en-GB" w:eastAsia="en-GB"/>
              </w:rPr>
            </w:pPr>
            <w:r w:rsidRPr="00864E32">
              <w:rPr>
                <w:rFonts w:ascii="Arial" w:hAnsi="Arial" w:cs="Arial"/>
                <w:szCs w:val="24"/>
                <w:lang w:val="en-GB" w:eastAsia="en-GB"/>
              </w:rPr>
              <w:t xml:space="preserve">The 2011 Census of Northern Ireland </w:t>
            </w:r>
            <w:r w:rsidR="00132B12" w:rsidRPr="00864E32">
              <w:rPr>
                <w:rFonts w:ascii="Arial" w:hAnsi="Arial" w:cs="Arial"/>
                <w:szCs w:val="24"/>
                <w:lang w:val="en-GB" w:eastAsia="en-GB"/>
              </w:rPr>
              <w:t>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00132B12" w:rsidRPr="00864E32">
              <w:rPr>
                <w:rStyle w:val="FootnoteReference"/>
                <w:rFonts w:ascii="Arial" w:hAnsi="Arial" w:cs="Arial"/>
                <w:szCs w:val="24"/>
                <w:lang w:val="en-GB" w:eastAsia="en-GB"/>
              </w:rPr>
              <w:footnoteReference w:id="1"/>
            </w:r>
            <w:r w:rsidR="00132B12" w:rsidRPr="00864E32">
              <w:rPr>
                <w:rFonts w:ascii="Arial" w:hAnsi="Arial" w:cs="Arial"/>
                <w:szCs w:val="24"/>
                <w:lang w:val="en-GB" w:eastAsia="en-GB"/>
              </w:rPr>
              <w:t xml:space="preserve">. </w:t>
            </w:r>
          </w:p>
          <w:p w14:paraId="63A961D3" w14:textId="77777777" w:rsidR="005534C3" w:rsidRPr="00864E32" w:rsidRDefault="005534C3" w:rsidP="005534C3"/>
          <w:p w14:paraId="741AB4E4" w14:textId="77777777" w:rsidR="004830AF" w:rsidRPr="00864E32" w:rsidRDefault="005534C3" w:rsidP="005534C3">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F9A757B" w14:textId="77777777" w:rsidR="00132B12" w:rsidRPr="00864E32" w:rsidRDefault="00132B12" w:rsidP="005534C3">
            <w:pPr>
              <w:pStyle w:val="Default"/>
              <w:rPr>
                <w:color w:val="auto"/>
              </w:rPr>
            </w:pPr>
          </w:p>
          <w:p w14:paraId="2399C3D5" w14:textId="77777777" w:rsidR="00132B12" w:rsidRPr="00864E32" w:rsidRDefault="00132B12" w:rsidP="00132B1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5CFA752E" w14:textId="77777777" w:rsidR="005534C3" w:rsidRPr="005534C3" w:rsidRDefault="005534C3" w:rsidP="0093252B">
            <w:pPr>
              <w:pStyle w:val="Default"/>
              <w:rPr>
                <w:color w:val="auto"/>
              </w:rPr>
            </w:pPr>
          </w:p>
        </w:tc>
      </w:tr>
      <w:tr w:rsidR="004830AF" w:rsidRPr="00C106EB" w14:paraId="21CD5911" w14:textId="77777777" w:rsidTr="00D47DB7">
        <w:tc>
          <w:tcPr>
            <w:tcW w:w="2410" w:type="dxa"/>
            <w:shd w:val="clear" w:color="auto" w:fill="E6E6E6"/>
          </w:tcPr>
          <w:p w14:paraId="14690BC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CF6CF0E" w14:textId="77777777" w:rsidR="005534C3" w:rsidRPr="007775BD" w:rsidRDefault="005534C3" w:rsidP="005534C3">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4372112C" w14:textId="77777777" w:rsidR="005534C3" w:rsidRPr="007775BD" w:rsidRDefault="005534C3" w:rsidP="005534C3">
            <w:pPr>
              <w:pStyle w:val="Default"/>
              <w:rPr>
                <w:color w:val="auto"/>
              </w:rPr>
            </w:pPr>
          </w:p>
          <w:p w14:paraId="0A098A99" w14:textId="77777777" w:rsidR="004830AF" w:rsidRPr="007775BD" w:rsidRDefault="005534C3" w:rsidP="005534C3">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B16B93E" w14:textId="77777777" w:rsidR="0093252B" w:rsidRPr="005534C3" w:rsidRDefault="0093252B" w:rsidP="005534C3">
            <w:pPr>
              <w:pStyle w:val="Default"/>
              <w:rPr>
                <w:color w:val="auto"/>
              </w:rPr>
            </w:pPr>
          </w:p>
        </w:tc>
      </w:tr>
      <w:tr w:rsidR="004830AF" w:rsidRPr="00C106EB" w14:paraId="4F8B5126" w14:textId="77777777" w:rsidTr="00D47DB7">
        <w:tc>
          <w:tcPr>
            <w:tcW w:w="2410" w:type="dxa"/>
            <w:shd w:val="clear" w:color="auto" w:fill="E6E6E6"/>
          </w:tcPr>
          <w:p w14:paraId="5DDE96F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3F52B855" w14:textId="77777777" w:rsidR="004830AF" w:rsidRDefault="005534C3" w:rsidP="0093252B">
            <w:pPr>
              <w:pStyle w:val="Default"/>
              <w:rPr>
                <w:color w:val="auto"/>
              </w:rPr>
            </w:pPr>
            <w:r w:rsidRPr="00D25A9D">
              <w:rPr>
                <w:color w:val="auto"/>
              </w:rPr>
              <w:t>The 2011 Census found that over 98% of the population state their ethnic origin to be white</w:t>
            </w:r>
            <w:r w:rsidR="00EB40E6">
              <w:rPr>
                <w:rStyle w:val="FootnoteReference"/>
                <w:color w:val="auto"/>
              </w:rPr>
              <w:footnoteReference w:id="5"/>
            </w:r>
            <w:r w:rsidRPr="00D25A9D">
              <w:rPr>
                <w:color w:val="auto"/>
              </w:rPr>
              <w:t>; in rural areas, the population is almost entirely classified as white (99.4%).</w:t>
            </w:r>
          </w:p>
          <w:p w14:paraId="6376619B" w14:textId="77777777" w:rsidR="0093252B" w:rsidRPr="0093252B" w:rsidRDefault="0093252B" w:rsidP="0093252B">
            <w:pPr>
              <w:pStyle w:val="Default"/>
              <w:rPr>
                <w:color w:val="auto"/>
              </w:rPr>
            </w:pPr>
          </w:p>
        </w:tc>
      </w:tr>
      <w:tr w:rsidR="004830AF" w:rsidRPr="00C106EB" w14:paraId="131AD4F6" w14:textId="77777777" w:rsidTr="00D47DB7">
        <w:tc>
          <w:tcPr>
            <w:tcW w:w="2410" w:type="dxa"/>
            <w:shd w:val="clear" w:color="auto" w:fill="E6E6E6"/>
          </w:tcPr>
          <w:p w14:paraId="2EB4F07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6E7A51B5" w14:textId="77777777" w:rsidR="00864E32" w:rsidRDefault="005534C3" w:rsidP="005534C3">
            <w:pPr>
              <w:pStyle w:val="Default"/>
              <w:rPr>
                <w:color w:val="auto"/>
              </w:rPr>
            </w:pPr>
            <w:r w:rsidRPr="00D25A9D">
              <w:rPr>
                <w:color w:val="auto"/>
              </w:rPr>
              <w:t>The 2011 Census showed that around 25% of the population was 55 years or older and around 47% were under 35 years old</w:t>
            </w:r>
            <w:r w:rsidR="00864E32">
              <w:rPr>
                <w:rStyle w:val="FootnoteReference"/>
                <w:color w:val="auto"/>
              </w:rPr>
              <w:footnoteReference w:id="6"/>
            </w:r>
            <w:r w:rsidRPr="00D25A9D">
              <w:rPr>
                <w:color w:val="auto"/>
              </w:rPr>
              <w:t xml:space="preserve">. </w:t>
            </w:r>
          </w:p>
          <w:p w14:paraId="659D8157" w14:textId="77777777" w:rsidR="00864E32" w:rsidRDefault="00864E32" w:rsidP="005534C3">
            <w:pPr>
              <w:pStyle w:val="Default"/>
              <w:rPr>
                <w:color w:val="auto"/>
              </w:rPr>
            </w:pPr>
          </w:p>
          <w:p w14:paraId="6677D8B8" w14:textId="77777777" w:rsidR="005534C3" w:rsidRPr="00E22308" w:rsidRDefault="005534C3" w:rsidP="005534C3">
            <w:pPr>
              <w:pStyle w:val="Default"/>
              <w:rPr>
                <w:color w:val="FF0000"/>
              </w:rPr>
            </w:pPr>
            <w:r w:rsidRPr="00D25A9D">
              <w:rPr>
                <w:color w:val="auto"/>
              </w:rPr>
              <w:t>The EU Farm Structure Survey 201</w:t>
            </w:r>
            <w:r w:rsidR="00E22308">
              <w:rPr>
                <w:color w:val="auto"/>
              </w:rPr>
              <w:t>6</w:t>
            </w:r>
            <w:r w:rsidRPr="00D25A9D">
              <w:rPr>
                <w:rStyle w:val="FootnoteReference"/>
                <w:color w:val="auto"/>
              </w:rPr>
              <w:footnoteReference w:id="7"/>
            </w:r>
            <w:r w:rsidRPr="00D25A9D">
              <w:rPr>
                <w:color w:val="auto"/>
              </w:rPr>
              <w:t xml:space="preserve"> showed that the median age for farmers in</w:t>
            </w:r>
            <w:r w:rsidR="00E22308">
              <w:rPr>
                <w:color w:val="auto"/>
              </w:rPr>
              <w:t xml:space="preserve"> Northern </w:t>
            </w:r>
            <w:r w:rsidR="00E22308" w:rsidRPr="00834BC1">
              <w:rPr>
                <w:color w:val="auto"/>
              </w:rPr>
              <w:t>Ireland in 2016 was 53</w:t>
            </w:r>
            <w:r w:rsidRPr="00834BC1">
              <w:rPr>
                <w:color w:val="auto"/>
              </w:rPr>
              <w:t xml:space="preserve"> years. </w:t>
            </w:r>
            <w:r w:rsidR="00E22308" w:rsidRPr="00834BC1">
              <w:rPr>
                <w:color w:val="auto"/>
              </w:rPr>
              <w:t>However, only 6</w:t>
            </w:r>
            <w:r w:rsidRPr="00834BC1">
              <w:rPr>
                <w:color w:val="auto"/>
              </w:rPr>
              <w:t>% of farmers were under 35 years old</w:t>
            </w:r>
            <w:r w:rsidR="00834BC1">
              <w:rPr>
                <w:color w:val="auto"/>
              </w:rPr>
              <w:t>, and only 1% under the age of 25.</w:t>
            </w:r>
          </w:p>
          <w:p w14:paraId="1EC1FD30" w14:textId="77777777" w:rsidR="0093252B" w:rsidRPr="0093252B" w:rsidRDefault="0093252B" w:rsidP="0093252B">
            <w:pPr>
              <w:rPr>
                <w:rFonts w:ascii="Arial" w:hAnsi="Arial" w:cs="Arial"/>
              </w:rPr>
            </w:pPr>
          </w:p>
        </w:tc>
      </w:tr>
      <w:tr w:rsidR="004830AF" w:rsidRPr="00C106EB" w14:paraId="74EFD29D" w14:textId="77777777" w:rsidTr="00D47DB7">
        <w:tc>
          <w:tcPr>
            <w:tcW w:w="2410" w:type="dxa"/>
            <w:shd w:val="clear" w:color="auto" w:fill="E6E6E6"/>
          </w:tcPr>
          <w:p w14:paraId="07688F8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156DD52" w14:textId="77777777" w:rsidR="005534C3" w:rsidRPr="00D25A9D" w:rsidRDefault="005534C3" w:rsidP="005534C3">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0C75843C" w14:textId="77777777" w:rsidR="005534C3" w:rsidRPr="00D25A9D" w:rsidRDefault="005534C3" w:rsidP="005534C3">
            <w:pPr>
              <w:rPr>
                <w:rFonts w:ascii="Arial" w:hAnsi="Arial" w:cs="Arial"/>
                <w:szCs w:val="24"/>
              </w:rPr>
            </w:pPr>
          </w:p>
          <w:p w14:paraId="135EA56D" w14:textId="77777777" w:rsidR="005534C3" w:rsidRPr="00D25A9D" w:rsidRDefault="005534C3" w:rsidP="005534C3">
            <w:pPr>
              <w:pStyle w:val="Default"/>
              <w:rPr>
                <w:color w:val="auto"/>
              </w:rPr>
            </w:pPr>
            <w:r w:rsidRPr="00D25A9D">
              <w:rPr>
                <w:color w:val="auto"/>
              </w:rPr>
              <w:t xml:space="preserve">The </w:t>
            </w:r>
            <w:r w:rsidR="00834BC1">
              <w:rPr>
                <w:color w:val="auto"/>
              </w:rPr>
              <w:t>2016</w:t>
            </w:r>
            <w:r w:rsidRPr="00D25A9D">
              <w:rPr>
                <w:color w:val="auto"/>
              </w:rPr>
              <w:t xml:space="preserve"> EU Farm Struc</w:t>
            </w:r>
            <w:r w:rsidR="00834BC1">
              <w:rPr>
                <w:color w:val="auto"/>
              </w:rPr>
              <w:t>ture Survey, which found that 30</w:t>
            </w:r>
            <w:r w:rsidRPr="00D25A9D">
              <w:rPr>
                <w:color w:val="auto"/>
              </w:rPr>
              <w:t>% of all NI farmers had no spouse</w:t>
            </w:r>
            <w:r w:rsidR="00834BC1">
              <w:rPr>
                <w:rStyle w:val="FootnoteReference"/>
                <w:color w:val="auto"/>
              </w:rPr>
              <w:footnoteReference w:id="9"/>
            </w:r>
            <w:r w:rsidRPr="00D25A9D">
              <w:rPr>
                <w:color w:val="auto"/>
              </w:rPr>
              <w:t xml:space="preserve">. </w:t>
            </w:r>
          </w:p>
          <w:p w14:paraId="30FCFFD8" w14:textId="77777777" w:rsidR="004830AF" w:rsidRPr="00C106EB" w:rsidRDefault="004830AF" w:rsidP="0093252B">
            <w:pPr>
              <w:rPr>
                <w:rFonts w:ascii="Arial" w:hAnsi="Arial" w:cs="Arial"/>
                <w:b/>
                <w:sz w:val="28"/>
                <w:szCs w:val="28"/>
              </w:rPr>
            </w:pPr>
          </w:p>
        </w:tc>
      </w:tr>
      <w:tr w:rsidR="004830AF" w:rsidRPr="00C106EB" w14:paraId="01E4F383" w14:textId="77777777" w:rsidTr="00D47DB7">
        <w:tc>
          <w:tcPr>
            <w:tcW w:w="2410" w:type="dxa"/>
            <w:shd w:val="clear" w:color="auto" w:fill="E6E6E6"/>
          </w:tcPr>
          <w:p w14:paraId="2F6FC66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E1A15BB" w14:textId="77777777" w:rsidR="005534C3" w:rsidRPr="00D25A9D" w:rsidRDefault="005534C3" w:rsidP="005534C3">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79C0A45C" w14:textId="77777777" w:rsidR="005534C3" w:rsidRPr="00D25A9D" w:rsidRDefault="005534C3" w:rsidP="005534C3">
            <w:pPr>
              <w:pStyle w:val="Default"/>
              <w:rPr>
                <w:color w:val="auto"/>
              </w:rPr>
            </w:pPr>
          </w:p>
          <w:p w14:paraId="6E6E6052" w14:textId="77777777" w:rsidR="004830AF" w:rsidRDefault="005534C3" w:rsidP="008D79BF">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1B721038" w14:textId="77777777" w:rsidR="008D79BF" w:rsidRPr="008D79BF" w:rsidRDefault="008D79BF" w:rsidP="008D79BF">
            <w:pPr>
              <w:pStyle w:val="Default"/>
              <w:rPr>
                <w:color w:val="auto"/>
              </w:rPr>
            </w:pPr>
          </w:p>
        </w:tc>
      </w:tr>
      <w:tr w:rsidR="004830AF" w:rsidRPr="00C106EB" w14:paraId="15595266" w14:textId="77777777" w:rsidTr="00D47DB7">
        <w:tc>
          <w:tcPr>
            <w:tcW w:w="2410" w:type="dxa"/>
            <w:shd w:val="clear" w:color="auto" w:fill="E6E6E6"/>
          </w:tcPr>
          <w:p w14:paraId="475EA0C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4B21B5" w14:textId="77777777" w:rsidR="00834BC1" w:rsidRDefault="005534C3" w:rsidP="005534C3">
            <w:pPr>
              <w:pStyle w:val="Default"/>
              <w:rPr>
                <w:color w:val="auto"/>
              </w:rPr>
            </w:pPr>
            <w:r w:rsidRPr="00D25A9D">
              <w:rPr>
                <w:color w:val="auto"/>
              </w:rPr>
              <w:t xml:space="preserve">The 2011 Census showed that 51% of the population were male and 49% female. </w:t>
            </w:r>
          </w:p>
          <w:p w14:paraId="2158C957" w14:textId="77777777" w:rsidR="00834BC1" w:rsidRDefault="00834BC1" w:rsidP="005534C3">
            <w:pPr>
              <w:pStyle w:val="Default"/>
              <w:rPr>
                <w:color w:val="auto"/>
              </w:rPr>
            </w:pPr>
          </w:p>
          <w:p w14:paraId="6630C500" w14:textId="77777777" w:rsidR="005534C3" w:rsidRPr="00D25A9D" w:rsidRDefault="00834BC1" w:rsidP="005534C3">
            <w:pPr>
              <w:pStyle w:val="Default"/>
              <w:rPr>
                <w:color w:val="auto"/>
              </w:rPr>
            </w:pPr>
            <w:r>
              <w:rPr>
                <w:color w:val="auto"/>
              </w:rPr>
              <w:t>The 2016</w:t>
            </w:r>
            <w:r w:rsidR="005534C3" w:rsidRPr="00D25A9D">
              <w:rPr>
                <w:color w:val="auto"/>
              </w:rPr>
              <w:t xml:space="preserve"> EU Farm</w:t>
            </w:r>
            <w:r>
              <w:rPr>
                <w:color w:val="auto"/>
              </w:rPr>
              <w:t xml:space="preserve"> Structure Survey showed that 96</w:t>
            </w:r>
            <w:r w:rsidR="005534C3" w:rsidRPr="00D25A9D">
              <w:rPr>
                <w:color w:val="auto"/>
              </w:rPr>
              <w:t>%</w:t>
            </w:r>
            <w:r>
              <w:rPr>
                <w:rStyle w:val="FootnoteReference"/>
                <w:color w:val="auto"/>
              </w:rPr>
              <w:footnoteReference w:id="11"/>
            </w:r>
            <w:r w:rsidR="005534C3" w:rsidRPr="00D25A9D">
              <w:rPr>
                <w:color w:val="auto"/>
              </w:rPr>
              <w:t xml:space="preserve"> of farmers in Northern Ireland are male.  It also identified that</w:t>
            </w:r>
            <w:r>
              <w:rPr>
                <w:color w:val="auto"/>
              </w:rPr>
              <w:t xml:space="preserve"> female workers accounted for 24</w:t>
            </w:r>
            <w:r w:rsidR="005534C3" w:rsidRPr="00D25A9D">
              <w:rPr>
                <w:color w:val="auto"/>
              </w:rPr>
              <w:t>% of the total workforce</w:t>
            </w:r>
            <w:r>
              <w:rPr>
                <w:rStyle w:val="FootnoteReference"/>
                <w:color w:val="auto"/>
              </w:rPr>
              <w:footnoteReference w:id="12"/>
            </w:r>
            <w:r w:rsidR="00947D74">
              <w:rPr>
                <w:color w:val="auto"/>
              </w:rPr>
              <w:t xml:space="preserve"> and 5</w:t>
            </w:r>
            <w:r w:rsidR="005534C3" w:rsidRPr="00D25A9D">
              <w:rPr>
                <w:color w:val="auto"/>
              </w:rPr>
              <w:t>% of farms were managed by women</w:t>
            </w:r>
            <w:r w:rsidR="00947D74">
              <w:rPr>
                <w:rStyle w:val="FootnoteReference"/>
                <w:color w:val="auto"/>
              </w:rPr>
              <w:footnoteReference w:id="13"/>
            </w:r>
            <w:r w:rsidR="005534C3" w:rsidRPr="00D25A9D">
              <w:rPr>
                <w:color w:val="auto"/>
              </w:rPr>
              <w:t xml:space="preserve">. It also showed that, where a farmer has a spouse, </w:t>
            </w:r>
            <w:r w:rsidR="00947D74">
              <w:rPr>
                <w:color w:val="auto"/>
              </w:rPr>
              <w:t>48</w:t>
            </w:r>
            <w:r w:rsidR="005534C3" w:rsidRPr="00D25A9D">
              <w:rPr>
                <w:color w:val="auto"/>
              </w:rPr>
              <w:t>% of those spouses contributed to the work on the farm</w:t>
            </w:r>
            <w:r w:rsidR="00947D74">
              <w:rPr>
                <w:rStyle w:val="FootnoteReference"/>
                <w:color w:val="auto"/>
              </w:rPr>
              <w:footnoteReference w:id="14"/>
            </w:r>
            <w:r w:rsidR="005534C3" w:rsidRPr="00D25A9D">
              <w:rPr>
                <w:color w:val="auto"/>
              </w:rPr>
              <w:t>. Research has further shown that “up to 50% or more of women [on farms] work off the farm and in many cases, the primary motivation is to provide supplemental income to the farm income, in order to continue farming</w:t>
            </w:r>
            <w:proofErr w:type="gramStart"/>
            <w:r w:rsidR="005534C3" w:rsidRPr="00D25A9D">
              <w:rPr>
                <w:color w:val="auto"/>
              </w:rPr>
              <w:t>”</w:t>
            </w:r>
            <w:r w:rsidR="005534C3" w:rsidRPr="00D25A9D">
              <w:rPr>
                <w:color w:val="auto"/>
                <w:vertAlign w:val="superscript"/>
              </w:rPr>
              <w:t xml:space="preserve"> </w:t>
            </w:r>
            <w:proofErr w:type="gramEnd"/>
            <w:r w:rsidR="005534C3" w:rsidRPr="00D25A9D">
              <w:rPr>
                <w:rStyle w:val="FootnoteReference"/>
                <w:color w:val="auto"/>
              </w:rPr>
              <w:footnoteReference w:id="15"/>
            </w:r>
            <w:r w:rsidR="005534C3" w:rsidRPr="00D25A9D">
              <w:rPr>
                <w:color w:val="auto"/>
                <w:vertAlign w:val="superscript"/>
              </w:rPr>
              <w:t xml:space="preserve">.  </w:t>
            </w:r>
          </w:p>
          <w:p w14:paraId="78028C41" w14:textId="77777777" w:rsidR="005534C3" w:rsidRPr="00D25A9D" w:rsidRDefault="005534C3" w:rsidP="005534C3">
            <w:pPr>
              <w:pStyle w:val="Default"/>
              <w:rPr>
                <w:color w:val="auto"/>
              </w:rPr>
            </w:pPr>
          </w:p>
          <w:p w14:paraId="14CB921A" w14:textId="77777777" w:rsidR="005534C3" w:rsidRPr="00D25A9D" w:rsidRDefault="005534C3" w:rsidP="005534C3">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60B0A5EB" w14:textId="77777777" w:rsidR="005534C3" w:rsidRPr="00D25A9D" w:rsidRDefault="005534C3" w:rsidP="005534C3">
            <w:pPr>
              <w:pStyle w:val="Default"/>
              <w:rPr>
                <w:color w:val="auto"/>
              </w:rPr>
            </w:pPr>
          </w:p>
          <w:p w14:paraId="73DA043B" w14:textId="77777777" w:rsidR="005534C3" w:rsidRPr="00D25A9D" w:rsidRDefault="005534C3" w:rsidP="005534C3">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0DE13FCD" w14:textId="77777777" w:rsidR="004830AF" w:rsidRPr="00C106EB" w:rsidRDefault="004830AF" w:rsidP="008D79BF">
            <w:pPr>
              <w:pStyle w:val="Default"/>
              <w:rPr>
                <w:b/>
                <w:sz w:val="28"/>
                <w:szCs w:val="28"/>
              </w:rPr>
            </w:pPr>
          </w:p>
        </w:tc>
      </w:tr>
      <w:tr w:rsidR="004830AF" w:rsidRPr="00C106EB" w14:paraId="743788DC" w14:textId="77777777" w:rsidTr="00D47DB7">
        <w:tc>
          <w:tcPr>
            <w:tcW w:w="2410" w:type="dxa"/>
            <w:shd w:val="clear" w:color="auto" w:fill="E6E6E6"/>
          </w:tcPr>
          <w:p w14:paraId="1EBACC0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7F30F7A2" w14:textId="77777777" w:rsidR="005534C3" w:rsidRPr="00D25A9D" w:rsidRDefault="005534C3" w:rsidP="005534C3">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49907AD" w14:textId="77777777" w:rsidR="005534C3" w:rsidRPr="00D25A9D" w:rsidRDefault="005534C3" w:rsidP="005534C3">
            <w:pPr>
              <w:pStyle w:val="Default"/>
              <w:rPr>
                <w:color w:val="auto"/>
              </w:rPr>
            </w:pPr>
          </w:p>
          <w:p w14:paraId="4DC83B35" w14:textId="6946DAA5" w:rsidR="005534C3" w:rsidRPr="00227410" w:rsidRDefault="00227410" w:rsidP="005534C3">
            <w:pPr>
              <w:rPr>
                <w:rFonts w:ascii="Arial" w:hAnsi="Arial" w:cs="Arial"/>
                <w:szCs w:val="24"/>
              </w:rPr>
            </w:pPr>
            <w:r w:rsidRPr="00227410">
              <w:rPr>
                <w:rFonts w:ascii="Arial" w:hAnsi="Arial" w:cs="Arial"/>
                <w:szCs w:val="24"/>
              </w:rPr>
              <w:t>The 2001 Fa</w:t>
            </w:r>
            <w:r w:rsidR="00563ED4">
              <w:rPr>
                <w:rFonts w:ascii="Arial" w:hAnsi="Arial" w:cs="Arial"/>
                <w:szCs w:val="24"/>
              </w:rPr>
              <w:t>r</w:t>
            </w:r>
            <w:r w:rsidRPr="00227410">
              <w:rPr>
                <w:rFonts w:ascii="Arial" w:hAnsi="Arial" w:cs="Arial"/>
                <w:szCs w:val="24"/>
              </w:rPr>
              <w:t>mers and Farm Families in Northern Ireland</w:t>
            </w:r>
            <w:r w:rsidR="005534C3" w:rsidRPr="00227410">
              <w:rPr>
                <w:rFonts w:ascii="Arial" w:hAnsi="Arial" w:cs="Arial"/>
                <w:szCs w:val="24"/>
              </w:rPr>
              <w:t xml:space="preserve"> Survey</w:t>
            </w:r>
            <w:r w:rsidRPr="00227410">
              <w:rPr>
                <w:rStyle w:val="FootnoteReference"/>
                <w:rFonts w:ascii="Arial" w:hAnsi="Arial" w:cs="Arial"/>
                <w:szCs w:val="24"/>
              </w:rPr>
              <w:footnoteReference w:id="19"/>
            </w:r>
            <w:r w:rsidR="005534C3"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15944569" w14:textId="77777777" w:rsidR="006A2EB8" w:rsidRPr="006A2EB8" w:rsidRDefault="006A2EB8" w:rsidP="00227410">
            <w:pPr>
              <w:rPr>
                <w:rFonts w:ascii="Arial" w:hAnsi="Arial" w:cs="Arial"/>
              </w:rPr>
            </w:pPr>
          </w:p>
        </w:tc>
      </w:tr>
      <w:tr w:rsidR="004830AF" w:rsidRPr="00C106EB" w14:paraId="6F394B5F" w14:textId="77777777" w:rsidTr="00D47DB7">
        <w:tc>
          <w:tcPr>
            <w:tcW w:w="2410" w:type="dxa"/>
            <w:shd w:val="clear" w:color="auto" w:fill="E6E6E6"/>
          </w:tcPr>
          <w:p w14:paraId="118A5736"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03406CB1" w14:textId="77777777" w:rsidR="005534C3" w:rsidRPr="00D25A9D" w:rsidRDefault="005534C3" w:rsidP="005534C3">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59966D02" w14:textId="77777777" w:rsidR="005534C3" w:rsidRPr="00D25A9D" w:rsidRDefault="005534C3" w:rsidP="005534C3">
            <w:pPr>
              <w:pStyle w:val="Default"/>
              <w:rPr>
                <w:color w:val="auto"/>
              </w:rPr>
            </w:pPr>
          </w:p>
          <w:p w14:paraId="7AE0D418" w14:textId="4D44F3B9" w:rsidR="005534C3" w:rsidRPr="00D25A9D" w:rsidRDefault="005534C3" w:rsidP="005534C3">
            <w:pPr>
              <w:pStyle w:val="Default"/>
              <w:rPr>
                <w:color w:val="auto"/>
              </w:rPr>
            </w:pPr>
            <w:r w:rsidRPr="00D25A9D">
              <w:rPr>
                <w:color w:val="auto"/>
              </w:rPr>
              <w:t xml:space="preserve">The </w:t>
            </w:r>
            <w:r w:rsidR="00227410" w:rsidRPr="00227410">
              <w:rPr>
                <w:color w:val="auto"/>
              </w:rPr>
              <w:t>2001 Fa</w:t>
            </w:r>
            <w:r w:rsidR="00563ED4">
              <w:rPr>
                <w:color w:val="auto"/>
              </w:rPr>
              <w:t>r</w:t>
            </w:r>
            <w:r w:rsidR="00227410" w:rsidRPr="00227410">
              <w:rPr>
                <w:color w:val="auto"/>
              </w:rPr>
              <w:t>mers and Farm Families in Northern Ireland Survey</w:t>
            </w:r>
            <w:r w:rsidR="00227410" w:rsidRPr="00227410">
              <w:rPr>
                <w:rStyle w:val="FootnoteReference"/>
                <w:color w:val="auto"/>
              </w:rPr>
              <w:footnoteReference w:id="21"/>
            </w:r>
            <w:r w:rsidR="00227410" w:rsidRPr="00227410">
              <w:rPr>
                <w:color w:val="auto"/>
              </w:rPr>
              <w:t xml:space="preserve"> </w:t>
            </w:r>
            <w:r w:rsidRPr="00D25A9D">
              <w:rPr>
                <w:color w:val="auto"/>
              </w:rPr>
              <w:t xml:space="preserve">revealed that a higher proportion of farm families included one or more dependants; </w:t>
            </w:r>
          </w:p>
          <w:p w14:paraId="1E35A2EB" w14:textId="77777777" w:rsidR="005534C3" w:rsidRPr="00D25A9D" w:rsidRDefault="005534C3" w:rsidP="005534C3">
            <w:pPr>
              <w:pStyle w:val="Default"/>
              <w:numPr>
                <w:ilvl w:val="0"/>
                <w:numId w:val="24"/>
              </w:numPr>
              <w:rPr>
                <w:color w:val="auto"/>
              </w:rPr>
            </w:pPr>
            <w:r w:rsidRPr="00D25A9D">
              <w:rPr>
                <w:color w:val="auto"/>
              </w:rPr>
              <w:t xml:space="preserve">39% with children under 16 or 16-18 in full time education </w:t>
            </w:r>
          </w:p>
          <w:p w14:paraId="0AB7D123" w14:textId="77777777" w:rsidR="005534C3" w:rsidRPr="00D25A9D" w:rsidRDefault="005534C3" w:rsidP="005534C3">
            <w:pPr>
              <w:pStyle w:val="Default"/>
              <w:numPr>
                <w:ilvl w:val="0"/>
                <w:numId w:val="24"/>
              </w:numPr>
              <w:rPr>
                <w:color w:val="auto"/>
              </w:rPr>
            </w:pPr>
            <w:r w:rsidRPr="00D25A9D">
              <w:rPr>
                <w:color w:val="auto"/>
              </w:rPr>
              <w:t xml:space="preserve">14% with a member claiming a disability related benefit; </w:t>
            </w:r>
          </w:p>
          <w:p w14:paraId="48DEF54B" w14:textId="77777777" w:rsidR="005534C3" w:rsidRPr="00D25A9D" w:rsidRDefault="005534C3" w:rsidP="005534C3">
            <w:pPr>
              <w:pStyle w:val="Default"/>
              <w:numPr>
                <w:ilvl w:val="0"/>
                <w:numId w:val="24"/>
              </w:numPr>
              <w:rPr>
                <w:color w:val="auto"/>
              </w:rPr>
            </w:pPr>
            <w:r w:rsidRPr="00D25A9D">
              <w:rPr>
                <w:color w:val="auto"/>
              </w:rPr>
              <w:t xml:space="preserve">32% with a household member aged 65 or over; and </w:t>
            </w:r>
          </w:p>
          <w:p w14:paraId="2C752653" w14:textId="77777777" w:rsidR="005534C3" w:rsidRPr="00D25A9D" w:rsidRDefault="005534C3" w:rsidP="005534C3">
            <w:pPr>
              <w:pStyle w:val="Default"/>
              <w:numPr>
                <w:ilvl w:val="0"/>
                <w:numId w:val="24"/>
              </w:numPr>
              <w:rPr>
                <w:color w:val="auto"/>
              </w:rPr>
            </w:pPr>
            <w:r w:rsidRPr="00D25A9D">
              <w:rPr>
                <w:color w:val="auto"/>
              </w:rPr>
              <w:t xml:space="preserve">73% with any of the above. </w:t>
            </w:r>
          </w:p>
          <w:p w14:paraId="254BFD18" w14:textId="77777777" w:rsidR="004830AF" w:rsidRPr="00C106EB" w:rsidRDefault="004830AF" w:rsidP="006A2EB8">
            <w:pPr>
              <w:pStyle w:val="Default"/>
              <w:rPr>
                <w:b/>
                <w:sz w:val="28"/>
                <w:szCs w:val="28"/>
              </w:rPr>
            </w:pPr>
          </w:p>
        </w:tc>
      </w:tr>
    </w:tbl>
    <w:p w14:paraId="040D6A8F" w14:textId="77777777" w:rsidR="004830AF" w:rsidRDefault="004830AF" w:rsidP="004830AF">
      <w:pPr>
        <w:autoSpaceDE w:val="0"/>
        <w:autoSpaceDN w:val="0"/>
        <w:adjustRightInd w:val="0"/>
        <w:rPr>
          <w:rFonts w:ascii="Arial" w:hAnsi="Arial" w:cs="Arial"/>
          <w:b/>
          <w:sz w:val="28"/>
          <w:szCs w:val="28"/>
        </w:rPr>
      </w:pPr>
    </w:p>
    <w:p w14:paraId="11BDAAE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F34E901" w14:textId="77777777" w:rsidTr="00C92FA5">
        <w:trPr>
          <w:trHeight w:val="1835"/>
        </w:trPr>
        <w:tc>
          <w:tcPr>
            <w:tcW w:w="10632" w:type="dxa"/>
          </w:tcPr>
          <w:p w14:paraId="3452D157" w14:textId="24A98F91"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5200C5F9" w14:textId="7CCA3466" w:rsidR="004D7311" w:rsidRDefault="002A72E8" w:rsidP="00FA407E">
            <w:pPr>
              <w:spacing w:before="5"/>
              <w:ind w:left="40"/>
              <w:rPr>
                <w:rFonts w:ascii="Arial" w:hAnsi="Arial" w:cs="Arial"/>
                <w:szCs w:val="24"/>
              </w:rPr>
            </w:pPr>
            <w:r>
              <w:rPr>
                <w:rFonts w:ascii="Arial" w:hAnsi="Arial" w:cs="Arial"/>
                <w:szCs w:val="24"/>
              </w:rPr>
              <w:t xml:space="preserve">Based on the available evidence detailed above in section B, </w:t>
            </w:r>
            <w:r w:rsidR="004D7311">
              <w:rPr>
                <w:rFonts w:ascii="Arial" w:hAnsi="Arial" w:cs="Arial"/>
                <w:szCs w:val="24"/>
              </w:rPr>
              <w:t xml:space="preserve">and </w:t>
            </w:r>
            <w:r>
              <w:rPr>
                <w:rFonts w:ascii="Arial" w:hAnsi="Arial" w:cs="Arial"/>
                <w:szCs w:val="24"/>
              </w:rPr>
              <w:t xml:space="preserve">given that the </w:t>
            </w:r>
            <w:r w:rsidR="004D7311">
              <w:rPr>
                <w:rFonts w:ascii="Arial" w:hAnsi="Arial" w:cs="Arial"/>
                <w:szCs w:val="24"/>
              </w:rPr>
              <w:t>draft changes to the Regulations are both minor insofar as they update outdated EU references and fix EU-derived legislation to ensure it remains operable after the UK’s exit from the EU, it is considered that there is no other evidence to consider.</w:t>
            </w:r>
          </w:p>
          <w:p w14:paraId="41336F3A" w14:textId="77777777" w:rsidR="00810580" w:rsidRDefault="00810580" w:rsidP="00FA407E">
            <w:pPr>
              <w:spacing w:before="5"/>
              <w:ind w:left="40"/>
              <w:rPr>
                <w:rFonts w:ascii="Arial" w:hAnsi="Arial" w:cs="Arial"/>
                <w:szCs w:val="24"/>
              </w:rPr>
            </w:pPr>
          </w:p>
          <w:p w14:paraId="555583E5" w14:textId="744934E6" w:rsidR="00691A68" w:rsidRDefault="00DA2C64" w:rsidP="00FA407E">
            <w:pPr>
              <w:spacing w:before="5"/>
              <w:ind w:left="40"/>
              <w:rPr>
                <w:rFonts w:ascii="Arial" w:hAnsi="Arial" w:cs="Arial"/>
                <w:szCs w:val="24"/>
              </w:rPr>
            </w:pPr>
            <w:r>
              <w:rPr>
                <w:rFonts w:ascii="Arial" w:hAnsi="Arial" w:cs="Arial"/>
                <w:szCs w:val="24"/>
              </w:rPr>
              <w:t xml:space="preserve">The </w:t>
            </w:r>
            <w:r w:rsidR="00D7631B" w:rsidRPr="00D7631B">
              <w:rPr>
                <w:rFonts w:ascii="Arial" w:hAnsi="Arial" w:cs="Arial"/>
                <w:szCs w:val="24"/>
              </w:rPr>
              <w:t xml:space="preserve">Regulations that </w:t>
            </w:r>
            <w:r w:rsidR="00F127D4">
              <w:rPr>
                <w:rFonts w:ascii="Arial" w:hAnsi="Arial" w:cs="Arial"/>
                <w:szCs w:val="24"/>
              </w:rPr>
              <w:t xml:space="preserve">are being amended </w:t>
            </w:r>
            <w:r w:rsidR="00D7631B" w:rsidRPr="00D7631B">
              <w:rPr>
                <w:rFonts w:ascii="Arial" w:hAnsi="Arial" w:cs="Arial"/>
                <w:szCs w:val="24"/>
              </w:rPr>
              <w:t xml:space="preserve">were </w:t>
            </w:r>
            <w:r w:rsidR="001163E8">
              <w:rPr>
                <w:rFonts w:ascii="Arial" w:hAnsi="Arial" w:cs="Arial"/>
                <w:szCs w:val="24"/>
              </w:rPr>
              <w:t xml:space="preserve">also </w:t>
            </w:r>
            <w:r w:rsidR="00D7631B" w:rsidRPr="00D7631B">
              <w:rPr>
                <w:rFonts w:ascii="Arial" w:hAnsi="Arial" w:cs="Arial"/>
                <w:szCs w:val="24"/>
              </w:rPr>
              <w:t xml:space="preserve">considered for their equality impacts </w:t>
            </w:r>
            <w:r>
              <w:rPr>
                <w:rFonts w:ascii="Arial" w:hAnsi="Arial" w:cs="Arial"/>
                <w:szCs w:val="24"/>
              </w:rPr>
              <w:t xml:space="preserve">both </w:t>
            </w:r>
            <w:r w:rsidR="00D7631B" w:rsidRPr="00D7631B">
              <w:rPr>
                <w:rFonts w:ascii="Arial" w:hAnsi="Arial" w:cs="Arial"/>
                <w:szCs w:val="24"/>
              </w:rPr>
              <w:t>prior to their being made</w:t>
            </w:r>
            <w:r>
              <w:rPr>
                <w:rFonts w:ascii="Arial" w:hAnsi="Arial" w:cs="Arial"/>
                <w:szCs w:val="24"/>
              </w:rPr>
              <w:t xml:space="preserve"> in 2008 and also when last amended in 2011</w:t>
            </w:r>
            <w:r w:rsidR="00D7631B" w:rsidRPr="00D7631B">
              <w:rPr>
                <w:rFonts w:ascii="Arial" w:hAnsi="Arial" w:cs="Arial"/>
                <w:szCs w:val="24"/>
              </w:rPr>
              <w:t xml:space="preserve">. In each case it was concluded that the legislation would have no impact on equality or human rights. </w:t>
            </w:r>
          </w:p>
          <w:p w14:paraId="5CD4A2E7" w14:textId="77777777" w:rsidR="00691A68" w:rsidRDefault="00691A68" w:rsidP="00FA407E">
            <w:pPr>
              <w:spacing w:before="5"/>
              <w:ind w:left="40"/>
              <w:rPr>
                <w:rFonts w:ascii="Arial" w:hAnsi="Arial" w:cs="Arial"/>
                <w:szCs w:val="24"/>
              </w:rPr>
            </w:pPr>
          </w:p>
          <w:p w14:paraId="3CA65A19" w14:textId="2E207E9F" w:rsidR="004E64BD" w:rsidRDefault="00D7631B" w:rsidP="00FA407E">
            <w:pPr>
              <w:spacing w:before="5"/>
              <w:ind w:left="40"/>
              <w:rPr>
                <w:rFonts w:ascii="Arial" w:hAnsi="Arial" w:cs="Arial"/>
                <w:szCs w:val="24"/>
              </w:rPr>
            </w:pPr>
            <w:r w:rsidRPr="00D7631B">
              <w:rPr>
                <w:rFonts w:ascii="Arial" w:hAnsi="Arial" w:cs="Arial"/>
                <w:szCs w:val="24"/>
              </w:rPr>
              <w:t xml:space="preserve">As the </w:t>
            </w:r>
            <w:r w:rsidR="00DA2C64">
              <w:rPr>
                <w:rFonts w:ascii="Arial" w:hAnsi="Arial" w:cs="Arial"/>
                <w:szCs w:val="24"/>
              </w:rPr>
              <w:t xml:space="preserve">amendments to the </w:t>
            </w:r>
            <w:r w:rsidRPr="00D7631B">
              <w:rPr>
                <w:rFonts w:ascii="Arial" w:hAnsi="Arial" w:cs="Arial"/>
                <w:szCs w:val="24"/>
              </w:rPr>
              <w:t xml:space="preserve">Regulations make only minor </w:t>
            </w:r>
            <w:r w:rsidR="00321C2D">
              <w:rPr>
                <w:rFonts w:ascii="Arial" w:hAnsi="Arial" w:cs="Arial"/>
                <w:szCs w:val="24"/>
              </w:rPr>
              <w:t>updates and operability changes</w:t>
            </w:r>
            <w:r w:rsidRPr="00D7631B">
              <w:rPr>
                <w:rFonts w:ascii="Arial" w:hAnsi="Arial" w:cs="Arial"/>
                <w:szCs w:val="24"/>
              </w:rPr>
              <w:t xml:space="preserve">, the Department remains satisfied that there would no further impacts as a result. </w:t>
            </w:r>
            <w:r w:rsidR="005B2EC3">
              <w:rPr>
                <w:rFonts w:ascii="Arial" w:hAnsi="Arial" w:cs="Arial"/>
                <w:szCs w:val="24"/>
              </w:rPr>
              <w:t xml:space="preserve"> </w:t>
            </w:r>
          </w:p>
          <w:p w14:paraId="78EAB307" w14:textId="77777777" w:rsidR="004E64BD" w:rsidRDefault="004E64BD" w:rsidP="00FA407E">
            <w:pPr>
              <w:spacing w:before="5"/>
              <w:ind w:left="40"/>
              <w:rPr>
                <w:rFonts w:ascii="Arial" w:hAnsi="Arial" w:cs="Arial"/>
                <w:szCs w:val="24"/>
              </w:rPr>
            </w:pPr>
          </w:p>
          <w:p w14:paraId="6835B385" w14:textId="5FDBF6EA" w:rsidR="004830AF" w:rsidRPr="00136652" w:rsidRDefault="004830AF" w:rsidP="004E64BD">
            <w:pPr>
              <w:spacing w:before="5"/>
              <w:rPr>
                <w:szCs w:val="24"/>
              </w:rPr>
            </w:pPr>
          </w:p>
        </w:tc>
      </w:tr>
    </w:tbl>
    <w:p w14:paraId="5BDBB696" w14:textId="77777777" w:rsidR="00F162DA" w:rsidRDefault="00F162DA">
      <w:pPr>
        <w:pStyle w:val="DARDEqualityTextBold"/>
        <w:rPr>
          <w:sz w:val="40"/>
        </w:rPr>
      </w:pPr>
    </w:p>
    <w:p w14:paraId="16F86FA3"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53DF7D35"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31B8D111"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FD32E8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3AD97F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5AB8FC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74CEDF1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A393C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43FEA1F" w14:textId="2FA6545B" w:rsidR="004E64BD" w:rsidRPr="005C3C1B" w:rsidRDefault="004E64BD" w:rsidP="004E64BD">
            <w:pPr>
              <w:rPr>
                <w:rFonts w:ascii="Arial" w:hAnsi="Arial" w:cs="Arial"/>
                <w:szCs w:val="24"/>
              </w:rPr>
            </w:pPr>
            <w:r>
              <w:rPr>
                <w:rFonts w:ascii="Arial" w:hAnsi="Arial" w:cs="Arial"/>
                <w:szCs w:val="24"/>
              </w:rPr>
              <w:t>None</w:t>
            </w:r>
            <w:r w:rsidR="000F0C4D" w:rsidRPr="00FA407E">
              <w:rPr>
                <w:rFonts w:ascii="Arial" w:hAnsi="Arial" w:cs="Arial"/>
                <w:szCs w:val="24"/>
              </w:rPr>
              <w:t xml:space="preserve"> –</w:t>
            </w:r>
            <w:r w:rsidR="00912813" w:rsidRPr="00FA407E">
              <w:rPr>
                <w:rFonts w:ascii="Arial" w:hAnsi="Arial" w:cs="Arial"/>
                <w:szCs w:val="24"/>
              </w:rPr>
              <w:t xml:space="preserve"> in making </w:t>
            </w:r>
            <w:r w:rsidR="005B2EC3">
              <w:rPr>
                <w:rFonts w:ascii="Arial" w:hAnsi="Arial" w:cs="Arial"/>
                <w:szCs w:val="24"/>
              </w:rPr>
              <w:t>updates to outdated EU references and minor operability fixes</w:t>
            </w:r>
            <w:r w:rsidR="00912813" w:rsidRPr="00FA407E">
              <w:rPr>
                <w:rFonts w:ascii="Arial" w:hAnsi="Arial" w:cs="Arial"/>
                <w:szCs w:val="24"/>
              </w:rPr>
              <w:t xml:space="preserve">, </w:t>
            </w:r>
            <w:r w:rsidR="003D15A4" w:rsidRPr="00FA407E">
              <w:rPr>
                <w:rFonts w:ascii="Arial" w:hAnsi="Arial" w:cs="Arial"/>
                <w:szCs w:val="24"/>
              </w:rPr>
              <w:t>the amending regulations do not introduce new policy change</w:t>
            </w:r>
            <w:r w:rsidR="005B2EC3">
              <w:rPr>
                <w:rFonts w:ascii="Arial" w:hAnsi="Arial" w:cs="Arial"/>
                <w:szCs w:val="24"/>
              </w:rPr>
              <w:t xml:space="preserve">.  </w:t>
            </w:r>
            <w:r>
              <w:rPr>
                <w:rFonts w:ascii="Arial" w:hAnsi="Arial" w:cs="Arial"/>
                <w:szCs w:val="24"/>
              </w:rPr>
              <w:t xml:space="preserve">The </w:t>
            </w:r>
            <w:r w:rsidR="002E4442">
              <w:rPr>
                <w:rFonts w:ascii="Arial" w:hAnsi="Arial" w:cs="Arial"/>
                <w:szCs w:val="24"/>
              </w:rPr>
              <w:t xml:space="preserve">draft </w:t>
            </w:r>
            <w:r w:rsidR="005B2EC3">
              <w:rPr>
                <w:rFonts w:ascii="Arial" w:hAnsi="Arial" w:cs="Arial"/>
                <w:szCs w:val="24"/>
              </w:rPr>
              <w:t>a</w:t>
            </w:r>
            <w:r w:rsidR="005E5230">
              <w:rPr>
                <w:rFonts w:ascii="Arial" w:hAnsi="Arial" w:cs="Arial"/>
                <w:szCs w:val="24"/>
              </w:rPr>
              <w:t>mendments to the Regulations</w:t>
            </w:r>
            <w:r>
              <w:rPr>
                <w:rFonts w:ascii="Arial" w:hAnsi="Arial" w:cs="Arial"/>
                <w:szCs w:val="24"/>
              </w:rPr>
              <w:t xml:space="preserve"> will there</w:t>
            </w:r>
            <w:r w:rsidR="002B1C37">
              <w:rPr>
                <w:rFonts w:ascii="Arial" w:hAnsi="Arial" w:cs="Arial"/>
                <w:szCs w:val="24"/>
              </w:rPr>
              <w:t>fore</w:t>
            </w:r>
            <w:r>
              <w:rPr>
                <w:rFonts w:ascii="Arial" w:hAnsi="Arial" w:cs="Arial"/>
                <w:szCs w:val="24"/>
              </w:rPr>
              <w:t xml:space="preserve"> have </w:t>
            </w:r>
            <w:r w:rsidR="003D15A4" w:rsidRPr="00FA407E">
              <w:rPr>
                <w:rFonts w:ascii="Arial" w:hAnsi="Arial" w:cs="Arial"/>
                <w:szCs w:val="24"/>
              </w:rPr>
              <w:t>no effect on any of the relevant groups</w:t>
            </w:r>
            <w:r w:rsidR="00DE6906">
              <w:rPr>
                <w:rFonts w:ascii="Arial" w:hAnsi="Arial" w:cs="Arial"/>
                <w:szCs w:val="24"/>
              </w:rPr>
              <w:t xml:space="preserve"> (nor society more generally)</w:t>
            </w:r>
            <w:r w:rsidR="003D15A4" w:rsidRPr="00FA407E">
              <w:rPr>
                <w:rFonts w:ascii="Arial" w:hAnsi="Arial" w:cs="Arial"/>
                <w:szCs w:val="24"/>
              </w:rPr>
              <w:t>, organisations or individuals irrespective of any S</w:t>
            </w:r>
            <w:r w:rsidR="00912813" w:rsidRPr="00FA407E">
              <w:rPr>
                <w:rFonts w:ascii="Arial" w:hAnsi="Arial" w:cs="Arial"/>
                <w:szCs w:val="24"/>
              </w:rPr>
              <w:t>e</w:t>
            </w:r>
            <w:r w:rsidR="003D15A4" w:rsidRPr="00FA407E">
              <w:rPr>
                <w:rFonts w:ascii="Arial" w:hAnsi="Arial" w:cs="Arial"/>
                <w:szCs w:val="24"/>
              </w:rPr>
              <w:t>ction 75 category</w:t>
            </w:r>
            <w:r>
              <w:rPr>
                <w:rFonts w:ascii="Arial" w:hAnsi="Arial" w:cs="Arial"/>
                <w:szCs w:val="24"/>
              </w:rPr>
              <w:t xml:space="preserve"> and no impact on equality of opportunity</w:t>
            </w:r>
            <w:r w:rsidR="003D15A4" w:rsidRPr="00FA407E">
              <w:rPr>
                <w:rFonts w:ascii="Arial" w:hAnsi="Arial" w:cs="Arial"/>
                <w:szCs w:val="24"/>
              </w:rPr>
              <w:t>.</w:t>
            </w:r>
            <w:r w:rsidRPr="005C3C1B">
              <w:rPr>
                <w:rFonts w:ascii="Arial" w:hAnsi="Arial" w:cs="Arial"/>
                <w:szCs w:val="24"/>
              </w:rPr>
              <w:t xml:space="preserve"> </w:t>
            </w:r>
          </w:p>
          <w:p w14:paraId="20E57826" w14:textId="4174BAB1" w:rsidR="00912813" w:rsidRPr="00C106EB" w:rsidRDefault="00912813" w:rsidP="00912813">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E3F1329" w14:textId="1C3855DB" w:rsidR="00AC4C46"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1880B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505A7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08ABE94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46219619" w14:textId="38427E8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B24BB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B23C1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5C6413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1C12E93" w14:textId="0B15B416"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EBA566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45B82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CB6CD11"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BE5ECCD" w14:textId="0364C1A3"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6581D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9196C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51C607"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D26D8CE" w14:textId="4B04AE87"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A73F73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760F5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5386D7A"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0CCC379" w14:textId="145BBCB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91F12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FAF01"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94991D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66D45E4" w14:textId="1C34C832"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E2B25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81C17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14:paraId="48D04382"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8BAB7D4" w14:textId="59C86205"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AC4C46">
              <w:rPr>
                <w:rFonts w:ascii="Arial" w:hAnsi="Arial" w:cs="Arial"/>
                <w:sz w:val="28"/>
                <w:szCs w:val="28"/>
              </w:rPr>
              <w:t>one</w:t>
            </w:r>
          </w:p>
        </w:tc>
      </w:tr>
      <w:tr w:rsidR="00817FBA" w:rsidRPr="00C106EB" w14:paraId="671B154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4C2421"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2C12EFA4" w14:textId="77777777" w:rsidR="0046189D"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D801E66" w14:textId="2D599BB0"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150B5587" w14:textId="77777777" w:rsidR="00817FBA" w:rsidRPr="00817FBA" w:rsidRDefault="00817FBA" w:rsidP="00817FBA">
      <w:pPr>
        <w:rPr>
          <w:rFonts w:ascii="Arial" w:hAnsi="Arial" w:cs="Arial"/>
        </w:rPr>
      </w:pPr>
    </w:p>
    <w:p w14:paraId="7AC5849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67D5C72"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817FBA" w:rsidRPr="00C106EB" w14:paraId="0341B1D8"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5039F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ACD57B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22AA887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472EB2B"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0A506DE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4A9621B9" w14:textId="36563412"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AC4C46">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19EE87EE" w14:textId="6F5D290D" w:rsidR="00F326D0" w:rsidRDefault="005E5230" w:rsidP="00F326D0">
            <w:pPr>
              <w:rPr>
                <w:rFonts w:ascii="Arial" w:hAnsi="Arial" w:cs="Arial"/>
                <w:szCs w:val="24"/>
              </w:rPr>
            </w:pPr>
            <w:r w:rsidRPr="005E5230">
              <w:rPr>
                <w:rFonts w:ascii="Arial" w:hAnsi="Arial" w:cs="Arial"/>
                <w:szCs w:val="24"/>
              </w:rPr>
              <w:t>None – in making updates to outdated EU references and minor operability fixes, the amending regulations do not introduce new policy change.  The draft amendments to the Regulations will therefore have no effect on any of the relevant groups (nor society more generally), organisations or individuals irrespective of any Section 75 category and unfortunately provide no opportunity to promote equality of opportunity.</w:t>
            </w:r>
          </w:p>
          <w:p w14:paraId="7C989401" w14:textId="4658D38F" w:rsidR="00817FBA" w:rsidRPr="004E64BD" w:rsidRDefault="00817FBA" w:rsidP="00F326D0">
            <w:pPr>
              <w:rPr>
                <w:rFonts w:ascii="Arial" w:hAnsi="Arial" w:cs="Arial"/>
                <w:szCs w:val="24"/>
              </w:rPr>
            </w:pPr>
          </w:p>
        </w:tc>
      </w:tr>
      <w:tr w:rsidR="00817FBA" w:rsidRPr="00C106EB" w14:paraId="6979314E"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47B48D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74A0F4B7" w14:textId="5BE72290"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5DD903F2"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03B5470"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696567B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72496E70" w14:textId="7E43ED9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061EA20C"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A712DD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5F2341B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669D4BC4" w14:textId="19EB0824"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3B709E2E"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270329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F876D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0F4A305" w14:textId="0D4A9B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41EF38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B0E080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3550BFF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75E03D2A" w14:textId="1DA4F9A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3697727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911338D"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456F07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w:t>
            </w:r>
            <w:r w:rsidRPr="00C106EB">
              <w:rPr>
                <w:rFonts w:ascii="Arial" w:hAnsi="Arial" w:cs="Arial"/>
                <w:b/>
                <w:sz w:val="28"/>
                <w:szCs w:val="28"/>
              </w:rPr>
              <w:lastRenderedPageBreak/>
              <w:t xml:space="preserve">generally </w:t>
            </w:r>
          </w:p>
        </w:tc>
        <w:tc>
          <w:tcPr>
            <w:tcW w:w="3685" w:type="dxa"/>
            <w:tcBorders>
              <w:top w:val="single" w:sz="4" w:space="0" w:color="auto"/>
              <w:left w:val="single" w:sz="4" w:space="0" w:color="auto"/>
              <w:bottom w:val="single" w:sz="4" w:space="0" w:color="auto"/>
              <w:right w:val="single" w:sz="4" w:space="0" w:color="auto"/>
            </w:tcBorders>
          </w:tcPr>
          <w:p w14:paraId="66543C94" w14:textId="3FA9305E"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lastRenderedPageBreak/>
              <w:t>N/A</w:t>
            </w:r>
          </w:p>
        </w:tc>
        <w:tc>
          <w:tcPr>
            <w:tcW w:w="4536" w:type="dxa"/>
            <w:tcBorders>
              <w:top w:val="single" w:sz="4" w:space="0" w:color="auto"/>
              <w:left w:val="single" w:sz="4" w:space="0" w:color="auto"/>
              <w:bottom w:val="single" w:sz="4" w:space="0" w:color="auto"/>
              <w:right w:val="single" w:sz="4" w:space="0" w:color="auto"/>
            </w:tcBorders>
          </w:tcPr>
          <w:p w14:paraId="48A4E5D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0C531C5"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23F3A4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54E796E6" w14:textId="518CA5B3"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5394DBE8"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CCCA6C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781307EA"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685" w:type="dxa"/>
            <w:tcBorders>
              <w:top w:val="single" w:sz="4" w:space="0" w:color="auto"/>
              <w:left w:val="single" w:sz="4" w:space="0" w:color="auto"/>
              <w:bottom w:val="single" w:sz="4" w:space="0" w:color="auto"/>
              <w:right w:val="single" w:sz="4" w:space="0" w:color="auto"/>
            </w:tcBorders>
          </w:tcPr>
          <w:p w14:paraId="0D238270" w14:textId="429CCA68" w:rsidR="0046189D"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64FC1DB"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77CB375D"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E780056" w14:textId="77777777" w:rsidTr="000A1FB1">
        <w:tc>
          <w:tcPr>
            <w:tcW w:w="2269" w:type="dxa"/>
            <w:shd w:val="clear" w:color="auto" w:fill="E6E6E6"/>
          </w:tcPr>
          <w:p w14:paraId="1284DEE6"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E67DD3F"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19F7C80"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5310AF2" w14:textId="77777777" w:rsidTr="000A1FB1">
        <w:tc>
          <w:tcPr>
            <w:tcW w:w="2269" w:type="dxa"/>
            <w:shd w:val="clear" w:color="auto" w:fill="E6E6E6"/>
          </w:tcPr>
          <w:p w14:paraId="7CB1A1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1625057" w14:textId="63FCD48D" w:rsidR="004E64BD" w:rsidRDefault="005E5230" w:rsidP="00F326D0">
            <w:pPr>
              <w:rPr>
                <w:rFonts w:ascii="Arial" w:hAnsi="Arial" w:cs="Arial"/>
                <w:szCs w:val="24"/>
              </w:rPr>
            </w:pPr>
            <w:r w:rsidRPr="005E5230">
              <w:rPr>
                <w:rFonts w:ascii="Arial" w:hAnsi="Arial" w:cs="Arial"/>
                <w:szCs w:val="24"/>
              </w:rPr>
              <w:t>None – in making updates to outdated EU references and minor operability fixes, the amending regulations do not introduce new policy change.  The draft amendments to the Regulations will therefore have no effect on any of the relevant groups (nor society more generally), organisations or individuals irrespective of any Section 75 category and will have no impact on good relations.</w:t>
            </w:r>
          </w:p>
          <w:p w14:paraId="48A6DC8F" w14:textId="77777777" w:rsidR="00F326D0" w:rsidRDefault="00F326D0" w:rsidP="00F326D0">
            <w:pPr>
              <w:rPr>
                <w:rFonts w:ascii="Arial" w:hAnsi="Arial" w:cs="Arial"/>
                <w:szCs w:val="24"/>
              </w:rPr>
            </w:pPr>
          </w:p>
          <w:p w14:paraId="45994F60" w14:textId="3BD48533" w:rsidR="00817FBA" w:rsidRPr="00C106EB" w:rsidRDefault="00817FBA" w:rsidP="00AC4C46">
            <w:pPr>
              <w:rPr>
                <w:rFonts w:ascii="Arial" w:hAnsi="Arial" w:cs="Arial"/>
                <w:sz w:val="28"/>
                <w:szCs w:val="28"/>
              </w:rPr>
            </w:pPr>
          </w:p>
        </w:tc>
        <w:tc>
          <w:tcPr>
            <w:tcW w:w="2551" w:type="dxa"/>
          </w:tcPr>
          <w:p w14:paraId="2586F350" w14:textId="4818393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BE0D0EF" w14:textId="77777777" w:rsidTr="000A1FB1">
        <w:tc>
          <w:tcPr>
            <w:tcW w:w="2269" w:type="dxa"/>
            <w:shd w:val="clear" w:color="auto" w:fill="E6E6E6"/>
          </w:tcPr>
          <w:p w14:paraId="057DB9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33AEBE8" w14:textId="4087B2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467905D0" w14:textId="4E580239"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DA95FDA" w14:textId="77777777" w:rsidTr="000A1FB1">
        <w:tc>
          <w:tcPr>
            <w:tcW w:w="2269" w:type="dxa"/>
            <w:shd w:val="clear" w:color="auto" w:fill="E6E6E6"/>
          </w:tcPr>
          <w:p w14:paraId="6ABC28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6BBCBA" w14:textId="5DF239C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733404CF" w14:textId="4720B167"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1999CC6"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D20113F"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14:paraId="6871C88C" w14:textId="77777777" w:rsidTr="000F0C4D">
        <w:tc>
          <w:tcPr>
            <w:tcW w:w="2410" w:type="dxa"/>
            <w:shd w:val="clear" w:color="auto" w:fill="E6E6E6"/>
          </w:tcPr>
          <w:p w14:paraId="52429C5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6075988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1A69D0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EC62CB8" w14:textId="77777777" w:rsidTr="000F0C4D">
        <w:tc>
          <w:tcPr>
            <w:tcW w:w="2410" w:type="dxa"/>
            <w:shd w:val="clear" w:color="auto" w:fill="E6E6E6"/>
          </w:tcPr>
          <w:p w14:paraId="7027863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3754C047" w14:textId="33E6D87E"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0C4E83AE" w14:textId="757316BC" w:rsidR="004E64BD" w:rsidRDefault="005E5230" w:rsidP="004E64BD">
            <w:pPr>
              <w:rPr>
                <w:rFonts w:ascii="Arial" w:hAnsi="Arial" w:cs="Arial"/>
                <w:szCs w:val="24"/>
              </w:rPr>
            </w:pPr>
            <w:r w:rsidRPr="005E5230">
              <w:rPr>
                <w:rFonts w:ascii="Arial" w:hAnsi="Arial" w:cs="Arial"/>
                <w:szCs w:val="24"/>
              </w:rPr>
              <w:t xml:space="preserve">None – in making updates to outdated EU references and minor operability fixes, the amending regulations do not introduce new policy change.  The draft amendments to the Regulations will </w:t>
            </w:r>
            <w:r w:rsidRPr="005E5230">
              <w:rPr>
                <w:rFonts w:ascii="Arial" w:hAnsi="Arial" w:cs="Arial"/>
                <w:szCs w:val="24"/>
              </w:rPr>
              <w:lastRenderedPageBreak/>
              <w:t>therefore have no effect on any of the relevant groups (nor society more generally), organisations or individuals irrespective of any Section 75 category and unfortunately provide no opportunity to promote good relations</w:t>
            </w:r>
            <w:r w:rsidR="00F326D0" w:rsidRPr="00F326D0">
              <w:rPr>
                <w:rFonts w:ascii="Arial" w:hAnsi="Arial" w:cs="Arial"/>
                <w:szCs w:val="24"/>
              </w:rPr>
              <w:t>.</w:t>
            </w:r>
          </w:p>
          <w:p w14:paraId="4961249B" w14:textId="4E088BD4" w:rsidR="00817FBA" w:rsidRPr="00C106EB" w:rsidRDefault="00817FBA" w:rsidP="00AC4C46">
            <w:pPr>
              <w:rPr>
                <w:rFonts w:ascii="Arial" w:hAnsi="Arial" w:cs="Arial"/>
                <w:sz w:val="28"/>
                <w:szCs w:val="28"/>
              </w:rPr>
            </w:pPr>
          </w:p>
        </w:tc>
      </w:tr>
      <w:tr w:rsidR="00817FBA" w:rsidRPr="00C106EB" w14:paraId="4655B13B" w14:textId="77777777" w:rsidTr="000F0C4D">
        <w:tc>
          <w:tcPr>
            <w:tcW w:w="2410" w:type="dxa"/>
            <w:shd w:val="clear" w:color="auto" w:fill="E6E6E6"/>
          </w:tcPr>
          <w:p w14:paraId="03AE639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402" w:type="dxa"/>
          </w:tcPr>
          <w:p w14:paraId="542F5C0A" w14:textId="7C49455B"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37EAD0B6"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7E2D5FD" w14:textId="77777777" w:rsidTr="000F0C4D">
        <w:tc>
          <w:tcPr>
            <w:tcW w:w="2410" w:type="dxa"/>
            <w:shd w:val="clear" w:color="auto" w:fill="E6E6E6"/>
          </w:tcPr>
          <w:p w14:paraId="607CF97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57B9D61" w14:textId="498196C2"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625166D5"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0438383C" w14:textId="77777777" w:rsidR="00817FBA" w:rsidRDefault="00817FBA" w:rsidP="00817FBA">
      <w:pPr>
        <w:pStyle w:val="DARDEqualityText"/>
        <w:spacing w:before="400"/>
        <w:rPr>
          <w:b/>
        </w:rPr>
      </w:pPr>
    </w:p>
    <w:p w14:paraId="0B816B38" w14:textId="77777777" w:rsidR="00AC4C46" w:rsidRDefault="00AC4C46">
      <w:pPr>
        <w:pStyle w:val="DARDEqualityTextBold"/>
        <w:rPr>
          <w:sz w:val="40"/>
        </w:rPr>
      </w:pPr>
    </w:p>
    <w:p w14:paraId="7EFAF58B" w14:textId="77777777" w:rsidR="00AC4C46" w:rsidRDefault="00AC4C46">
      <w:pPr>
        <w:pStyle w:val="DARDEqualityTextBold"/>
        <w:rPr>
          <w:sz w:val="40"/>
        </w:rPr>
      </w:pPr>
    </w:p>
    <w:p w14:paraId="43CEB332" w14:textId="77777777" w:rsidR="00202D9F" w:rsidRDefault="00202D9F">
      <w:pPr>
        <w:pStyle w:val="DARDEqualityTextBold"/>
        <w:rPr>
          <w:sz w:val="40"/>
        </w:rPr>
      </w:pPr>
      <w:r>
        <w:rPr>
          <w:sz w:val="40"/>
        </w:rPr>
        <w:t>Section C</w:t>
      </w:r>
    </w:p>
    <w:p w14:paraId="6BBD6824"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512B42" w14:textId="77777777" w:rsidR="00202D9F" w:rsidRDefault="00202D9F">
      <w:pPr>
        <w:pStyle w:val="DARDEqualityTextBold"/>
        <w:spacing w:before="300"/>
        <w:rPr>
          <w:b w:val="0"/>
        </w:rPr>
      </w:pPr>
      <w:r>
        <w:t>Consideration of Disability Duties</w:t>
      </w:r>
    </w:p>
    <w:p w14:paraId="30F5585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EAB22F" w14:textId="77777777" w:rsidTr="001C7443">
        <w:trPr>
          <w:trHeight w:val="1830"/>
        </w:trPr>
        <w:tc>
          <w:tcPr>
            <w:tcW w:w="10432" w:type="dxa"/>
          </w:tcPr>
          <w:p w14:paraId="4F4A175B" w14:textId="728CA9D5" w:rsidR="001C7443" w:rsidRDefault="00202D9F">
            <w:pPr>
              <w:pStyle w:val="DARDEqualityText"/>
              <w:tabs>
                <w:tab w:val="left" w:pos="426"/>
              </w:tabs>
              <w:spacing w:before="20"/>
              <w:rPr>
                <w:b/>
              </w:rPr>
            </w:pPr>
            <w:r>
              <w:rPr>
                <w:b/>
                <w:sz w:val="24"/>
              </w:rPr>
              <w:t>Explain your assessment in full</w:t>
            </w:r>
            <w:r>
              <w:rPr>
                <w:b/>
              </w:rPr>
              <w:t xml:space="preserve"> </w:t>
            </w:r>
          </w:p>
          <w:p w14:paraId="6341E8CB" w14:textId="77777777" w:rsidR="00AC4C46" w:rsidRDefault="00AC4C46" w:rsidP="00AC4C46">
            <w:pPr>
              <w:rPr>
                <w:rFonts w:ascii="Arial" w:hAnsi="Arial" w:cs="Arial"/>
                <w:szCs w:val="24"/>
              </w:rPr>
            </w:pPr>
            <w:r>
              <w:rPr>
                <w:rFonts w:ascii="Arial" w:hAnsi="Arial" w:cs="Arial"/>
                <w:szCs w:val="24"/>
              </w:rPr>
              <w:t xml:space="preserve">No. </w:t>
            </w:r>
          </w:p>
          <w:p w14:paraId="01DB8785" w14:textId="5B3C319E" w:rsidR="001C7443" w:rsidRPr="00DA08E6" w:rsidRDefault="00AC4C46" w:rsidP="00534CE3">
            <w:pPr>
              <w:rPr>
                <w:rFonts w:ascii="Arial" w:hAnsi="Arial" w:cs="Arial"/>
                <w:szCs w:val="24"/>
              </w:rPr>
            </w:pPr>
            <w:r>
              <w:rPr>
                <w:rFonts w:ascii="Arial" w:hAnsi="Arial" w:cs="Arial"/>
                <w:szCs w:val="24"/>
              </w:rPr>
              <w:t>I</w:t>
            </w:r>
            <w:r w:rsidRPr="00FA407E">
              <w:rPr>
                <w:rFonts w:ascii="Arial" w:hAnsi="Arial" w:cs="Arial"/>
                <w:szCs w:val="24"/>
              </w:rPr>
              <w:t xml:space="preserve">n </w:t>
            </w:r>
            <w:r w:rsidR="005E5230">
              <w:rPr>
                <w:rFonts w:ascii="Arial" w:hAnsi="Arial" w:cs="Arial"/>
                <w:szCs w:val="24"/>
              </w:rPr>
              <w:t xml:space="preserve">making necessary updates to outdated EU references </w:t>
            </w:r>
            <w:r w:rsidR="00DA08E6">
              <w:rPr>
                <w:rFonts w:ascii="Arial" w:hAnsi="Arial" w:cs="Arial"/>
                <w:szCs w:val="24"/>
              </w:rPr>
              <w:t xml:space="preserve">and operability fixes to ensure </w:t>
            </w:r>
            <w:r w:rsidR="00DA08E6" w:rsidRPr="00DA08E6">
              <w:rPr>
                <w:rFonts w:ascii="Arial" w:hAnsi="Arial" w:cs="Arial"/>
                <w:szCs w:val="24"/>
              </w:rPr>
              <w:t xml:space="preserve">to ensure a functioning statute book </w:t>
            </w:r>
            <w:r w:rsidR="00DA08E6">
              <w:rPr>
                <w:rFonts w:ascii="Arial" w:hAnsi="Arial" w:cs="Arial"/>
                <w:szCs w:val="24"/>
              </w:rPr>
              <w:t xml:space="preserve">on the day the UK leaves the EU (i.e. Exit Day), the amendments </w:t>
            </w:r>
            <w:r w:rsidRPr="00FA407E">
              <w:rPr>
                <w:rFonts w:ascii="Arial" w:hAnsi="Arial" w:cs="Arial"/>
                <w:szCs w:val="24"/>
              </w:rPr>
              <w:t>do not introduce new policy change</w:t>
            </w:r>
            <w:r w:rsidR="00314406">
              <w:rPr>
                <w:rFonts w:ascii="Arial" w:hAnsi="Arial" w:cs="Arial"/>
                <w:szCs w:val="24"/>
              </w:rPr>
              <w:t xml:space="preserve"> but are </w:t>
            </w:r>
            <w:r w:rsidRPr="00FA407E">
              <w:rPr>
                <w:rFonts w:ascii="Arial" w:hAnsi="Arial" w:cs="Arial"/>
                <w:szCs w:val="24"/>
              </w:rPr>
              <w:t xml:space="preserve">minor </w:t>
            </w:r>
            <w:r w:rsidR="00586718">
              <w:rPr>
                <w:rFonts w:ascii="Arial" w:hAnsi="Arial" w:cs="Arial"/>
                <w:szCs w:val="24"/>
              </w:rPr>
              <w:t xml:space="preserve">drafting </w:t>
            </w:r>
            <w:r>
              <w:rPr>
                <w:rFonts w:ascii="Arial" w:hAnsi="Arial" w:cs="Arial"/>
                <w:szCs w:val="24"/>
              </w:rPr>
              <w:t>changes</w:t>
            </w:r>
            <w:r w:rsidRPr="005C3C1B">
              <w:rPr>
                <w:rFonts w:ascii="Arial" w:hAnsi="Arial" w:cs="Arial"/>
                <w:szCs w:val="24"/>
              </w:rPr>
              <w:t xml:space="preserve">. </w:t>
            </w:r>
            <w:r>
              <w:rPr>
                <w:rFonts w:ascii="Arial" w:hAnsi="Arial" w:cs="Arial"/>
                <w:szCs w:val="24"/>
              </w:rPr>
              <w:t xml:space="preserve">The </w:t>
            </w:r>
            <w:r w:rsidR="002B5F03">
              <w:rPr>
                <w:rFonts w:ascii="Arial" w:hAnsi="Arial" w:cs="Arial"/>
                <w:szCs w:val="24"/>
              </w:rPr>
              <w:t>amendments to the Regulations</w:t>
            </w:r>
            <w:r>
              <w:rPr>
                <w:rFonts w:ascii="Arial" w:hAnsi="Arial" w:cs="Arial"/>
                <w:szCs w:val="24"/>
              </w:rPr>
              <w:t xml:space="preserve"> will there</w:t>
            </w:r>
            <w:r w:rsidR="005715F8">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Pr>
                <w:rFonts w:ascii="Arial" w:hAnsi="Arial" w:cs="Arial"/>
                <w:szCs w:val="24"/>
              </w:rPr>
              <w:t xml:space="preserve">tive of any Section 75 category </w:t>
            </w:r>
            <w:r w:rsidR="00DE6906">
              <w:rPr>
                <w:rFonts w:ascii="Arial" w:hAnsi="Arial" w:cs="Arial"/>
                <w:szCs w:val="24"/>
              </w:rPr>
              <w:t xml:space="preserve">(nor society more generally) </w:t>
            </w:r>
            <w:r>
              <w:rPr>
                <w:rFonts w:ascii="Arial" w:hAnsi="Arial" w:cs="Arial"/>
                <w:szCs w:val="24"/>
              </w:rPr>
              <w:t>and provide no opportunity to promote positive attitudes towards disabled people.</w:t>
            </w:r>
            <w:r>
              <w:rPr>
                <w:szCs w:val="24"/>
              </w:rPr>
              <w:t xml:space="preserve"> </w:t>
            </w:r>
          </w:p>
        </w:tc>
      </w:tr>
    </w:tbl>
    <w:p w14:paraId="0FC2B01D" w14:textId="77777777" w:rsidR="00202D9F" w:rsidRDefault="00202D9F" w:rsidP="001C7443">
      <w:pPr>
        <w:pStyle w:val="DARDEqualityText"/>
        <w:tabs>
          <w:tab w:val="left" w:pos="426"/>
        </w:tabs>
      </w:pPr>
    </w:p>
    <w:p w14:paraId="3AEAF664"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E52297A" w14:textId="77777777" w:rsidTr="001C7443">
        <w:trPr>
          <w:trHeight w:val="1982"/>
        </w:trPr>
        <w:tc>
          <w:tcPr>
            <w:tcW w:w="10432" w:type="dxa"/>
          </w:tcPr>
          <w:p w14:paraId="62FB3A76"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7D545624" w14:textId="2E904826" w:rsidR="00AC4C46" w:rsidRDefault="00912813" w:rsidP="002B1C37">
            <w:pPr>
              <w:pStyle w:val="DARDEqualityText"/>
              <w:tabs>
                <w:tab w:val="left" w:pos="426"/>
              </w:tabs>
              <w:spacing w:before="20" w:line="240" w:lineRule="auto"/>
              <w:rPr>
                <w:rFonts w:cs="Arial"/>
                <w:sz w:val="24"/>
                <w:szCs w:val="24"/>
              </w:rPr>
            </w:pPr>
            <w:r w:rsidRPr="00FA407E">
              <w:rPr>
                <w:rFonts w:cs="Arial"/>
                <w:sz w:val="24"/>
                <w:szCs w:val="24"/>
              </w:rPr>
              <w:t>N</w:t>
            </w:r>
            <w:r w:rsidR="00AC4C46">
              <w:rPr>
                <w:rFonts w:cs="Arial"/>
                <w:sz w:val="24"/>
                <w:szCs w:val="24"/>
              </w:rPr>
              <w:t>o.</w:t>
            </w:r>
          </w:p>
          <w:p w14:paraId="5B3C56BD" w14:textId="09633853" w:rsidR="00912813" w:rsidRPr="00FA407E" w:rsidRDefault="002B5F03" w:rsidP="002B1C37">
            <w:pPr>
              <w:pStyle w:val="DARDEqualityText"/>
              <w:tabs>
                <w:tab w:val="left" w:pos="426"/>
              </w:tabs>
              <w:spacing w:before="20" w:line="240" w:lineRule="auto"/>
              <w:rPr>
                <w:rFonts w:cs="Arial"/>
                <w:sz w:val="24"/>
                <w:szCs w:val="24"/>
              </w:rPr>
            </w:pPr>
            <w:r w:rsidRPr="002B5F03">
              <w:rPr>
                <w:rFonts w:cs="Arial"/>
                <w:sz w:val="24"/>
                <w:szCs w:val="24"/>
              </w:rPr>
              <w:t>In making necessary updates to outdated EU references and operability fixes to ensure to ensure a functioning statute book on the day the UK leaves the EU (i.e. Exit Day), the amendments do not introduce new policy change</w:t>
            </w:r>
            <w:r>
              <w:rPr>
                <w:rFonts w:cs="Arial"/>
                <w:sz w:val="24"/>
                <w:szCs w:val="24"/>
              </w:rPr>
              <w:t xml:space="preserve"> but</w:t>
            </w:r>
            <w:r w:rsidRPr="002B5F03">
              <w:rPr>
                <w:rFonts w:cs="Arial"/>
                <w:sz w:val="24"/>
                <w:szCs w:val="24"/>
              </w:rPr>
              <w:t xml:space="preserve"> are minor drafting changes. </w:t>
            </w:r>
            <w:r>
              <w:rPr>
                <w:rFonts w:cs="Arial"/>
                <w:sz w:val="24"/>
                <w:szCs w:val="24"/>
              </w:rPr>
              <w:t xml:space="preserve">Therefore, </w:t>
            </w:r>
            <w:r w:rsidR="00FA407E">
              <w:rPr>
                <w:rFonts w:cs="Arial"/>
                <w:sz w:val="24"/>
                <w:szCs w:val="24"/>
              </w:rPr>
              <w:t xml:space="preserve">the new legislation </w:t>
            </w:r>
            <w:r w:rsidR="00FA407E" w:rsidRPr="00FA407E">
              <w:rPr>
                <w:sz w:val="24"/>
                <w:szCs w:val="24"/>
              </w:rPr>
              <w:t>will have no bearing on the participation of disabled people in public life.</w:t>
            </w:r>
          </w:p>
          <w:p w14:paraId="74C40073" w14:textId="01123B50" w:rsidR="001C7443" w:rsidRPr="00136652" w:rsidRDefault="001C7443" w:rsidP="00FA407E">
            <w:pPr>
              <w:rPr>
                <w:szCs w:val="24"/>
              </w:rPr>
            </w:pPr>
          </w:p>
        </w:tc>
      </w:tr>
    </w:tbl>
    <w:p w14:paraId="510DDDCC" w14:textId="77777777" w:rsidR="00202D9F" w:rsidRDefault="00202D9F">
      <w:pPr>
        <w:pStyle w:val="DARDEqualityText"/>
        <w:tabs>
          <w:tab w:val="left" w:pos="426"/>
        </w:tabs>
        <w:ind w:left="426" w:hanging="426"/>
      </w:pPr>
    </w:p>
    <w:p w14:paraId="1C02C8F5" w14:textId="702CA764" w:rsidR="00202D9F" w:rsidRDefault="00202D9F">
      <w:pPr>
        <w:pStyle w:val="DARDEqualityTextBold"/>
        <w:rPr>
          <w:b w:val="0"/>
        </w:rPr>
      </w:pPr>
      <w:r>
        <w:t xml:space="preserve">Consideration of Human Rights </w:t>
      </w:r>
    </w:p>
    <w:p w14:paraId="31E41D6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749777A"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879427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968A56B" w14:textId="77777777" w:rsidTr="00916911">
        <w:trPr>
          <w:trHeight w:val="737"/>
        </w:trPr>
        <w:tc>
          <w:tcPr>
            <w:tcW w:w="6204" w:type="dxa"/>
          </w:tcPr>
          <w:p w14:paraId="5EF86D9B"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B91B623" w14:textId="77777777" w:rsidR="00011002" w:rsidRDefault="00011002">
            <w:pPr>
              <w:pStyle w:val="Header"/>
              <w:tabs>
                <w:tab w:val="clear" w:pos="4320"/>
                <w:tab w:val="clear" w:pos="8640"/>
              </w:tabs>
              <w:spacing w:before="100"/>
              <w:rPr>
                <w:rFonts w:ascii="Arial" w:hAnsi="Arial"/>
              </w:rPr>
            </w:pPr>
          </w:p>
        </w:tc>
        <w:tc>
          <w:tcPr>
            <w:tcW w:w="1984" w:type="dxa"/>
          </w:tcPr>
          <w:p w14:paraId="20054CF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66630B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5A77B01B" w14:textId="77777777" w:rsidTr="00916911">
        <w:trPr>
          <w:trHeight w:val="737"/>
        </w:trPr>
        <w:tc>
          <w:tcPr>
            <w:tcW w:w="6204" w:type="dxa"/>
          </w:tcPr>
          <w:p w14:paraId="5E9EBCC8"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0ABD265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57592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689002DD" w14:textId="77777777" w:rsidTr="00916911">
        <w:trPr>
          <w:trHeight w:val="737"/>
        </w:trPr>
        <w:tc>
          <w:tcPr>
            <w:tcW w:w="6204" w:type="dxa"/>
          </w:tcPr>
          <w:p w14:paraId="3CABF15F"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2B57A32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C19E5C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409EDB92" w14:textId="77777777" w:rsidTr="00916911">
        <w:trPr>
          <w:trHeight w:val="737"/>
        </w:trPr>
        <w:tc>
          <w:tcPr>
            <w:tcW w:w="6204" w:type="dxa"/>
          </w:tcPr>
          <w:p w14:paraId="77CACBB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9F75B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16D7E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3179ADBC" w14:textId="77777777" w:rsidTr="00916911">
        <w:trPr>
          <w:trHeight w:val="737"/>
        </w:trPr>
        <w:tc>
          <w:tcPr>
            <w:tcW w:w="6204" w:type="dxa"/>
          </w:tcPr>
          <w:p w14:paraId="295A5305" w14:textId="77777777" w:rsidR="00202D9F" w:rsidRDefault="00202D9F">
            <w:pPr>
              <w:spacing w:before="100"/>
              <w:rPr>
                <w:rFonts w:ascii="Arial" w:hAnsi="Arial"/>
              </w:rPr>
            </w:pPr>
            <w:r>
              <w:rPr>
                <w:rFonts w:ascii="Arial" w:hAnsi="Arial"/>
              </w:rPr>
              <w:t>Right to a fair and public trial</w:t>
            </w:r>
          </w:p>
        </w:tc>
        <w:tc>
          <w:tcPr>
            <w:tcW w:w="1984" w:type="dxa"/>
          </w:tcPr>
          <w:p w14:paraId="092FBEA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7B1223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5A1D147B" w14:textId="77777777" w:rsidTr="00916911">
        <w:trPr>
          <w:trHeight w:val="737"/>
        </w:trPr>
        <w:tc>
          <w:tcPr>
            <w:tcW w:w="6204" w:type="dxa"/>
          </w:tcPr>
          <w:p w14:paraId="240AC969" w14:textId="77777777" w:rsidR="00202D9F" w:rsidRDefault="00202D9F">
            <w:pPr>
              <w:spacing w:before="100"/>
              <w:rPr>
                <w:rFonts w:ascii="Arial" w:hAnsi="Arial"/>
              </w:rPr>
            </w:pPr>
            <w:r>
              <w:rPr>
                <w:rFonts w:ascii="Arial" w:hAnsi="Arial"/>
              </w:rPr>
              <w:t>Right to no punishment without law</w:t>
            </w:r>
          </w:p>
        </w:tc>
        <w:tc>
          <w:tcPr>
            <w:tcW w:w="1984" w:type="dxa"/>
          </w:tcPr>
          <w:p w14:paraId="4CDD78E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773A20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4E6E6494" w14:textId="77777777" w:rsidTr="00916911">
        <w:trPr>
          <w:trHeight w:val="737"/>
        </w:trPr>
        <w:tc>
          <w:tcPr>
            <w:tcW w:w="6204" w:type="dxa"/>
          </w:tcPr>
          <w:p w14:paraId="28A7964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03C718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9DC95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3B01DE67" w14:textId="77777777" w:rsidTr="00916911">
        <w:trPr>
          <w:trHeight w:val="737"/>
        </w:trPr>
        <w:tc>
          <w:tcPr>
            <w:tcW w:w="6204" w:type="dxa"/>
          </w:tcPr>
          <w:p w14:paraId="7C155010"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8AD6EE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08435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1807800A" w14:textId="77777777" w:rsidTr="00916911">
        <w:trPr>
          <w:trHeight w:val="737"/>
        </w:trPr>
        <w:tc>
          <w:tcPr>
            <w:tcW w:w="6204" w:type="dxa"/>
          </w:tcPr>
          <w:p w14:paraId="51BDE66A" w14:textId="77777777" w:rsidR="00202D9F" w:rsidRDefault="00202D9F">
            <w:pPr>
              <w:spacing w:before="100"/>
              <w:rPr>
                <w:rFonts w:ascii="Arial" w:hAnsi="Arial"/>
              </w:rPr>
            </w:pPr>
            <w:r>
              <w:rPr>
                <w:rFonts w:ascii="Arial" w:hAnsi="Arial"/>
              </w:rPr>
              <w:t>Right to freedom of expression</w:t>
            </w:r>
          </w:p>
        </w:tc>
        <w:tc>
          <w:tcPr>
            <w:tcW w:w="1984" w:type="dxa"/>
          </w:tcPr>
          <w:p w14:paraId="7D3D57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56252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4BC42E35" w14:textId="77777777" w:rsidTr="00916911">
        <w:trPr>
          <w:trHeight w:val="737"/>
        </w:trPr>
        <w:tc>
          <w:tcPr>
            <w:tcW w:w="6204" w:type="dxa"/>
          </w:tcPr>
          <w:p w14:paraId="72C7CBE8"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75E680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CAC3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4AE33286" w14:textId="77777777" w:rsidTr="00916911">
        <w:trPr>
          <w:trHeight w:val="737"/>
        </w:trPr>
        <w:tc>
          <w:tcPr>
            <w:tcW w:w="6204" w:type="dxa"/>
          </w:tcPr>
          <w:p w14:paraId="402D8D75" w14:textId="77777777" w:rsidR="00202D9F" w:rsidRDefault="00202D9F">
            <w:pPr>
              <w:spacing w:before="100"/>
              <w:rPr>
                <w:rFonts w:ascii="Arial" w:hAnsi="Arial"/>
              </w:rPr>
            </w:pPr>
            <w:r>
              <w:rPr>
                <w:rFonts w:ascii="Arial" w:hAnsi="Arial"/>
              </w:rPr>
              <w:t>Right to marry and to found a family</w:t>
            </w:r>
          </w:p>
        </w:tc>
        <w:tc>
          <w:tcPr>
            <w:tcW w:w="1984" w:type="dxa"/>
          </w:tcPr>
          <w:p w14:paraId="2E98920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E27E0A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6D9CA0AF" w14:textId="77777777" w:rsidTr="00916911">
        <w:trPr>
          <w:trHeight w:val="737"/>
        </w:trPr>
        <w:tc>
          <w:tcPr>
            <w:tcW w:w="6204" w:type="dxa"/>
          </w:tcPr>
          <w:p w14:paraId="09162B2E" w14:textId="77777777" w:rsidR="00202D9F" w:rsidRDefault="00202D9F">
            <w:pPr>
              <w:spacing w:before="100"/>
              <w:rPr>
                <w:rFonts w:ascii="Arial" w:hAnsi="Arial"/>
              </w:rPr>
            </w:pPr>
            <w:r>
              <w:rPr>
                <w:rFonts w:ascii="Arial" w:hAnsi="Arial"/>
              </w:rPr>
              <w:lastRenderedPageBreak/>
              <w:t>The prohibition of discrimination</w:t>
            </w:r>
          </w:p>
        </w:tc>
        <w:tc>
          <w:tcPr>
            <w:tcW w:w="1984" w:type="dxa"/>
          </w:tcPr>
          <w:p w14:paraId="328337C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EFFFD1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6DA32742" w14:textId="77777777" w:rsidTr="00916911">
        <w:trPr>
          <w:trHeight w:val="737"/>
        </w:trPr>
        <w:tc>
          <w:tcPr>
            <w:tcW w:w="6204" w:type="dxa"/>
          </w:tcPr>
          <w:p w14:paraId="2CCD513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BB247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178AD7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12A38696" w14:textId="77777777" w:rsidTr="00916911">
        <w:trPr>
          <w:trHeight w:val="737"/>
        </w:trPr>
        <w:tc>
          <w:tcPr>
            <w:tcW w:w="6204" w:type="dxa"/>
          </w:tcPr>
          <w:p w14:paraId="2726134D" w14:textId="77777777" w:rsidR="00202D9F" w:rsidRDefault="00202D9F">
            <w:pPr>
              <w:spacing w:before="100"/>
              <w:rPr>
                <w:rFonts w:ascii="Arial" w:hAnsi="Arial"/>
              </w:rPr>
            </w:pPr>
            <w:r>
              <w:rPr>
                <w:rFonts w:ascii="Arial" w:hAnsi="Arial"/>
              </w:rPr>
              <w:t>Right to education</w:t>
            </w:r>
          </w:p>
        </w:tc>
        <w:tc>
          <w:tcPr>
            <w:tcW w:w="1984" w:type="dxa"/>
          </w:tcPr>
          <w:p w14:paraId="7ABF426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663EDB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r w:rsidR="00202D9F" w14:paraId="6787F3FF" w14:textId="77777777" w:rsidTr="00916911">
        <w:trPr>
          <w:trHeight w:val="737"/>
        </w:trPr>
        <w:tc>
          <w:tcPr>
            <w:tcW w:w="6204" w:type="dxa"/>
          </w:tcPr>
          <w:p w14:paraId="266EDAB2" w14:textId="77777777" w:rsidR="00202D9F" w:rsidRDefault="00202D9F">
            <w:pPr>
              <w:spacing w:before="100"/>
              <w:rPr>
                <w:rFonts w:ascii="Arial" w:hAnsi="Arial"/>
              </w:rPr>
            </w:pPr>
            <w:r>
              <w:rPr>
                <w:rFonts w:ascii="Arial" w:hAnsi="Arial"/>
              </w:rPr>
              <w:t>Right to free and secret elections</w:t>
            </w:r>
          </w:p>
        </w:tc>
        <w:tc>
          <w:tcPr>
            <w:tcW w:w="1984" w:type="dxa"/>
          </w:tcPr>
          <w:p w14:paraId="05C8ACF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EA0527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r>
    </w:tbl>
    <w:p w14:paraId="65A85EF7"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22B9542" w14:textId="77777777" w:rsidTr="00C92FA5">
        <w:trPr>
          <w:trHeight w:val="3289"/>
        </w:trPr>
        <w:tc>
          <w:tcPr>
            <w:tcW w:w="10432" w:type="dxa"/>
          </w:tcPr>
          <w:p w14:paraId="07502810" w14:textId="7FBA97BF"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9ED4D48" w14:textId="77777777" w:rsidR="001C7443" w:rsidRDefault="001C7443" w:rsidP="002B1C37">
            <w:pPr>
              <w:pStyle w:val="DARDEqualityText"/>
              <w:tabs>
                <w:tab w:val="left" w:pos="426"/>
              </w:tabs>
              <w:spacing w:before="20" w:line="240" w:lineRule="auto"/>
              <w:ind w:left="452" w:hanging="452"/>
              <w:rPr>
                <w:sz w:val="24"/>
                <w:szCs w:val="24"/>
              </w:rPr>
            </w:pPr>
            <w:r w:rsidRPr="00136652">
              <w:rPr>
                <w:sz w:val="24"/>
                <w:szCs w:val="24"/>
              </w:rPr>
              <w:t>N/A</w:t>
            </w:r>
            <w:r w:rsidR="00AC4C46">
              <w:rPr>
                <w:sz w:val="24"/>
                <w:szCs w:val="24"/>
              </w:rPr>
              <w:t>.</w:t>
            </w:r>
          </w:p>
          <w:p w14:paraId="7F895DA8" w14:textId="77777777" w:rsidR="002B1C37" w:rsidRDefault="002B1C37" w:rsidP="002B1C37">
            <w:pPr>
              <w:pStyle w:val="DARDEqualityText"/>
              <w:tabs>
                <w:tab w:val="left" w:pos="426"/>
              </w:tabs>
              <w:spacing w:before="20" w:line="240" w:lineRule="auto"/>
              <w:ind w:left="452" w:hanging="452"/>
              <w:rPr>
                <w:sz w:val="24"/>
                <w:szCs w:val="24"/>
              </w:rPr>
            </w:pPr>
          </w:p>
          <w:p w14:paraId="291DAABB" w14:textId="2F485609" w:rsidR="00AC4C46" w:rsidRPr="00314406" w:rsidRDefault="00AC4C46" w:rsidP="00534CE3">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w:t>
            </w:r>
            <w:r w:rsidR="00314406">
              <w:rPr>
                <w:rFonts w:cs="Arial"/>
                <w:sz w:val="24"/>
                <w:szCs w:val="24"/>
              </w:rPr>
              <w:t xml:space="preserve">necessary </w:t>
            </w:r>
            <w:r w:rsidR="00314406" w:rsidRPr="00314406">
              <w:rPr>
                <w:rFonts w:cs="Arial"/>
                <w:sz w:val="24"/>
                <w:szCs w:val="24"/>
              </w:rPr>
              <w:t xml:space="preserve">dates to outdated EU references and also operability fixes to ensure to ensure a functioning statute book on the day the UK leaves the EU (i.e. Exit Day), the amendments </w:t>
            </w:r>
            <w:r w:rsidR="00314406">
              <w:rPr>
                <w:rFonts w:cs="Arial"/>
                <w:sz w:val="24"/>
                <w:szCs w:val="24"/>
              </w:rPr>
              <w:t xml:space="preserve">to the Regulations </w:t>
            </w:r>
            <w:r w:rsidR="00314406" w:rsidRPr="00314406">
              <w:rPr>
                <w:rFonts w:cs="Arial"/>
                <w:sz w:val="24"/>
                <w:szCs w:val="24"/>
              </w:rPr>
              <w:t>do not introduce new policy change but are minor drafting changes. Therefore, the new legislation will have no adverse impact on human rights.</w:t>
            </w:r>
          </w:p>
        </w:tc>
      </w:tr>
    </w:tbl>
    <w:p w14:paraId="0D09F034"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1DB8CC24" w14:textId="77777777" w:rsidTr="00C92FA5">
        <w:trPr>
          <w:trHeight w:val="3289"/>
        </w:trPr>
        <w:tc>
          <w:tcPr>
            <w:tcW w:w="10490" w:type="dxa"/>
          </w:tcPr>
          <w:p w14:paraId="5150ABAB"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3F639662" w14:textId="71E00155" w:rsidR="002B1C37" w:rsidRDefault="002B1C37" w:rsidP="002B1C37">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3DEB5171" w14:textId="77777777" w:rsidR="002B1C37" w:rsidRDefault="002B1C37" w:rsidP="002B1C37">
            <w:pPr>
              <w:pStyle w:val="DARDEqualityText"/>
              <w:tabs>
                <w:tab w:val="left" w:pos="426"/>
              </w:tabs>
              <w:spacing w:before="20" w:line="240" w:lineRule="auto"/>
              <w:ind w:left="452" w:hanging="452"/>
              <w:rPr>
                <w:sz w:val="24"/>
                <w:szCs w:val="24"/>
              </w:rPr>
            </w:pPr>
          </w:p>
          <w:p w14:paraId="34848068" w14:textId="410ABC8C" w:rsidR="00314406" w:rsidRDefault="002B1C37" w:rsidP="00C17092">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 xml:space="preserve">n making </w:t>
            </w:r>
            <w:r w:rsidR="00314406" w:rsidRPr="00314406">
              <w:rPr>
                <w:rFonts w:cs="Arial"/>
                <w:sz w:val="24"/>
                <w:szCs w:val="24"/>
              </w:rPr>
              <w:t>necessary updates to outdated EU references and also operability fixes to ensure to ensure a functioning statute book on the day the UK leaves the EU (i.e. Exit Day), the amendments do not introduce new policy change but are minor drafting changes</w:t>
            </w:r>
            <w:r w:rsidR="00314406">
              <w:rPr>
                <w:rFonts w:cs="Arial"/>
                <w:sz w:val="24"/>
                <w:szCs w:val="24"/>
              </w:rPr>
              <w:t xml:space="preserve">.  Therefore, </w:t>
            </w:r>
          </w:p>
          <w:p w14:paraId="2B23F69E" w14:textId="53F02352" w:rsidR="001C7443" w:rsidRPr="00C106EB" w:rsidRDefault="002B1C37" w:rsidP="00C17092">
            <w:pPr>
              <w:pStyle w:val="DARDEqualityText"/>
              <w:tabs>
                <w:tab w:val="left" w:pos="426"/>
              </w:tabs>
              <w:spacing w:before="20" w:line="240" w:lineRule="auto"/>
              <w:rPr>
                <w:sz w:val="24"/>
              </w:rPr>
            </w:pPr>
            <w:r>
              <w:rPr>
                <w:rFonts w:cs="Arial"/>
                <w:sz w:val="24"/>
                <w:szCs w:val="24"/>
              </w:rPr>
              <w:t xml:space="preserve">the new legislation </w:t>
            </w:r>
            <w:r w:rsidRPr="00FA407E">
              <w:rPr>
                <w:sz w:val="24"/>
                <w:szCs w:val="24"/>
              </w:rPr>
              <w:t xml:space="preserve">will </w:t>
            </w:r>
            <w:r>
              <w:rPr>
                <w:sz w:val="24"/>
                <w:szCs w:val="24"/>
              </w:rPr>
              <w:t>provide no opportunity to positively promote human rights.</w:t>
            </w:r>
          </w:p>
        </w:tc>
      </w:tr>
    </w:tbl>
    <w:p w14:paraId="557C3228" w14:textId="77777777" w:rsidR="00CB4313" w:rsidRDefault="00CB4313"/>
    <w:p w14:paraId="33AF45C2" w14:textId="77777777" w:rsidR="004830AF" w:rsidRDefault="004830AF"/>
    <w:p w14:paraId="6613E410"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42129AF" w14:textId="77777777" w:rsidR="00F92B0D" w:rsidRPr="00CB4313" w:rsidRDefault="00F92B0D">
      <w:pPr>
        <w:rPr>
          <w:rFonts w:ascii="Arial" w:hAnsi="Arial" w:cs="Arial"/>
          <w:b/>
          <w:sz w:val="28"/>
          <w:szCs w:val="28"/>
        </w:rPr>
      </w:pPr>
    </w:p>
    <w:p w14:paraId="2748D95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0C5E1DA" w14:textId="77777777" w:rsidR="004830AF" w:rsidRDefault="004830AF">
      <w:pPr>
        <w:rPr>
          <w:rStyle w:val="DARDEqualityTextBoldChar"/>
          <w:b w:val="0"/>
          <w:color w:val="auto"/>
        </w:rPr>
      </w:pPr>
    </w:p>
    <w:p w14:paraId="3276317A" w14:textId="77777777" w:rsidR="004830AF" w:rsidRDefault="004830AF" w:rsidP="004830AF">
      <w:pPr>
        <w:rPr>
          <w:rFonts w:ascii="Arial" w:hAnsi="Arial" w:cs="Arial"/>
          <w:i/>
          <w:sz w:val="28"/>
          <w:szCs w:val="28"/>
        </w:rPr>
      </w:pPr>
      <w:r w:rsidRPr="004830AF">
        <w:rPr>
          <w:rFonts w:ascii="Arial" w:hAnsi="Arial" w:cs="Arial"/>
          <w:i/>
          <w:sz w:val="28"/>
          <w:szCs w:val="28"/>
        </w:rPr>
        <w:t xml:space="preserve">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w:t>
      </w:r>
      <w:r w:rsidRPr="004830AF">
        <w:rPr>
          <w:rFonts w:ascii="Arial" w:hAnsi="Arial" w:cs="Arial"/>
          <w:i/>
          <w:sz w:val="28"/>
          <w:szCs w:val="28"/>
        </w:rPr>
        <w:lastRenderedPageBreak/>
        <w:t>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B54E185" w14:textId="77777777" w:rsidR="00701A79" w:rsidRPr="004830AF" w:rsidRDefault="00701A79" w:rsidP="004830AF">
      <w:pPr>
        <w:rPr>
          <w:rFonts w:ascii="Arial" w:hAnsi="Arial" w:cs="Arial"/>
          <w:i/>
          <w:sz w:val="28"/>
          <w:szCs w:val="28"/>
        </w:rPr>
      </w:pPr>
    </w:p>
    <w:p w14:paraId="025CA11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69D50F7" w14:textId="77777777" w:rsidR="004830AF" w:rsidRDefault="004830AF">
      <w:pPr>
        <w:rPr>
          <w:rStyle w:val="DARDEqualityTextBoldChar"/>
          <w:b w:val="0"/>
          <w:color w:val="auto"/>
        </w:rPr>
      </w:pPr>
    </w:p>
    <w:p w14:paraId="4C37EA80" w14:textId="77777777" w:rsidR="00D20045" w:rsidRDefault="00D20045">
      <w:pPr>
        <w:rPr>
          <w:rStyle w:val="DARDEqualityTextBoldChar"/>
          <w:b w:val="0"/>
          <w:color w:val="auto"/>
        </w:rPr>
      </w:pPr>
    </w:p>
    <w:p w14:paraId="182C080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C3C6149" w14:textId="77777777" w:rsidR="00F92B0D" w:rsidRPr="00CB4313" w:rsidRDefault="00F92B0D">
      <w:pPr>
        <w:rPr>
          <w:rFonts w:ascii="Arial" w:hAnsi="Arial" w:cs="Arial"/>
          <w:sz w:val="28"/>
          <w:szCs w:val="28"/>
        </w:rPr>
      </w:pPr>
    </w:p>
    <w:p w14:paraId="636D139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CB4313" w14:paraId="22CF165C" w14:textId="77777777" w:rsidTr="002B1C37">
        <w:tc>
          <w:tcPr>
            <w:tcW w:w="3261" w:type="dxa"/>
          </w:tcPr>
          <w:p w14:paraId="6A94B129"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0" w:type="dxa"/>
          </w:tcPr>
          <w:p w14:paraId="655D6C0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14:paraId="4C06253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40196FEB" w14:textId="77777777" w:rsidTr="00014376">
        <w:tc>
          <w:tcPr>
            <w:tcW w:w="3261" w:type="dxa"/>
            <w:shd w:val="clear" w:color="auto" w:fill="auto"/>
          </w:tcPr>
          <w:p w14:paraId="7D999DA9" w14:textId="3CECA725" w:rsidR="00CB4313" w:rsidRPr="00014376" w:rsidRDefault="002B1C37" w:rsidP="00534CE3">
            <w:r w:rsidRPr="00014376">
              <w:rPr>
                <w:rFonts w:ascii="Arial" w:hAnsi="Arial" w:cs="Arial"/>
                <w:szCs w:val="24"/>
              </w:rPr>
              <w:t xml:space="preserve">Since the </w:t>
            </w:r>
            <w:r w:rsidR="00314406">
              <w:rPr>
                <w:rFonts w:ascii="Arial" w:hAnsi="Arial" w:cs="Arial"/>
                <w:szCs w:val="24"/>
              </w:rPr>
              <w:t xml:space="preserve">draft amendments to the </w:t>
            </w:r>
            <w:r w:rsidRPr="00014376">
              <w:rPr>
                <w:rFonts w:ascii="Arial" w:hAnsi="Arial" w:cs="Arial"/>
                <w:szCs w:val="24"/>
              </w:rPr>
              <w:t xml:space="preserve">Regulations do not introduce policies it is not necessary to monitor their specific impact on equality. </w:t>
            </w:r>
          </w:p>
        </w:tc>
        <w:tc>
          <w:tcPr>
            <w:tcW w:w="3260" w:type="dxa"/>
            <w:shd w:val="clear" w:color="auto" w:fill="auto"/>
          </w:tcPr>
          <w:p w14:paraId="09425F39" w14:textId="79D61F90" w:rsidR="00CB4313" w:rsidRPr="00014376" w:rsidRDefault="002B1C37" w:rsidP="00534CE3">
            <w:pPr>
              <w:pStyle w:val="DARDEqualityText"/>
              <w:tabs>
                <w:tab w:val="left" w:pos="448"/>
              </w:tabs>
              <w:spacing w:line="240" w:lineRule="auto"/>
              <w:rPr>
                <w:sz w:val="24"/>
                <w:szCs w:val="24"/>
              </w:rPr>
            </w:pPr>
            <w:r w:rsidRPr="00014376">
              <w:rPr>
                <w:rFonts w:cs="Arial"/>
                <w:sz w:val="24"/>
                <w:szCs w:val="24"/>
              </w:rPr>
              <w:t xml:space="preserve">Since the </w:t>
            </w:r>
            <w:r w:rsidR="00F127D4" w:rsidRPr="00014376">
              <w:rPr>
                <w:rFonts w:cs="Arial"/>
                <w:sz w:val="24"/>
                <w:szCs w:val="24"/>
              </w:rPr>
              <w:t xml:space="preserve">draft </w:t>
            </w:r>
            <w:r w:rsidR="00314406">
              <w:rPr>
                <w:rFonts w:cs="Arial"/>
                <w:sz w:val="24"/>
                <w:szCs w:val="24"/>
              </w:rPr>
              <w:t xml:space="preserve">amendments to the </w:t>
            </w:r>
            <w:r w:rsidRPr="00014376">
              <w:rPr>
                <w:rFonts w:cs="Arial"/>
                <w:sz w:val="24"/>
                <w:szCs w:val="24"/>
              </w:rPr>
              <w:t xml:space="preserve">Regulations do not introduce policies it is not necessary to monitor their specific impact on good relations. </w:t>
            </w:r>
          </w:p>
        </w:tc>
        <w:tc>
          <w:tcPr>
            <w:tcW w:w="3402" w:type="dxa"/>
            <w:shd w:val="clear" w:color="auto" w:fill="auto"/>
          </w:tcPr>
          <w:p w14:paraId="524BC6E0" w14:textId="77F7D5E8" w:rsidR="00CB4313" w:rsidRPr="00014376" w:rsidRDefault="002B1C37" w:rsidP="00314406">
            <w:pPr>
              <w:pStyle w:val="DARDEqualityText"/>
              <w:tabs>
                <w:tab w:val="left" w:pos="448"/>
              </w:tabs>
              <w:spacing w:line="240" w:lineRule="auto"/>
              <w:rPr>
                <w:sz w:val="24"/>
                <w:szCs w:val="24"/>
              </w:rPr>
            </w:pPr>
            <w:r w:rsidRPr="00014376">
              <w:rPr>
                <w:sz w:val="24"/>
                <w:szCs w:val="24"/>
              </w:rPr>
              <w:t xml:space="preserve">Since the </w:t>
            </w:r>
            <w:r w:rsidR="00F127D4" w:rsidRPr="00014376">
              <w:rPr>
                <w:sz w:val="24"/>
                <w:szCs w:val="24"/>
              </w:rPr>
              <w:t xml:space="preserve">draft </w:t>
            </w:r>
            <w:r w:rsidR="00314406">
              <w:rPr>
                <w:sz w:val="24"/>
                <w:szCs w:val="24"/>
              </w:rPr>
              <w:t xml:space="preserve">amendments to the </w:t>
            </w:r>
            <w:r w:rsidRPr="00014376">
              <w:rPr>
                <w:sz w:val="24"/>
                <w:szCs w:val="24"/>
              </w:rPr>
              <w:t xml:space="preserve">Regulations do not introduce policies it is not necessary to monitor their specific impact on disability duties. </w:t>
            </w:r>
          </w:p>
        </w:tc>
      </w:tr>
      <w:tr w:rsidR="00E70E6C" w14:paraId="6AAA2E67" w14:textId="77777777" w:rsidTr="002B1C37">
        <w:tc>
          <w:tcPr>
            <w:tcW w:w="3261" w:type="dxa"/>
          </w:tcPr>
          <w:p w14:paraId="2AE75D78" w14:textId="77777777" w:rsidR="00E70E6C" w:rsidRDefault="00E70E6C" w:rsidP="00C106EB">
            <w:pPr>
              <w:pStyle w:val="DARDEqualityText"/>
              <w:tabs>
                <w:tab w:val="left" w:pos="448"/>
              </w:tabs>
            </w:pPr>
          </w:p>
        </w:tc>
        <w:tc>
          <w:tcPr>
            <w:tcW w:w="3260" w:type="dxa"/>
          </w:tcPr>
          <w:p w14:paraId="08F988EF" w14:textId="77777777" w:rsidR="00E70E6C" w:rsidRDefault="00E70E6C" w:rsidP="00C106EB">
            <w:pPr>
              <w:pStyle w:val="DARDEqualityText"/>
              <w:tabs>
                <w:tab w:val="left" w:pos="448"/>
              </w:tabs>
            </w:pPr>
          </w:p>
        </w:tc>
        <w:tc>
          <w:tcPr>
            <w:tcW w:w="3402" w:type="dxa"/>
          </w:tcPr>
          <w:p w14:paraId="6806DF1C" w14:textId="77777777" w:rsidR="00E70E6C" w:rsidRDefault="00E70E6C" w:rsidP="00C106EB">
            <w:pPr>
              <w:pStyle w:val="DARDEqualityText"/>
              <w:tabs>
                <w:tab w:val="left" w:pos="448"/>
              </w:tabs>
            </w:pPr>
          </w:p>
        </w:tc>
      </w:tr>
    </w:tbl>
    <w:p w14:paraId="1DC32194" w14:textId="77777777" w:rsidR="00202D9F" w:rsidRDefault="00202D9F">
      <w:pPr>
        <w:pStyle w:val="DARDEqualityText"/>
        <w:tabs>
          <w:tab w:val="left" w:pos="448"/>
        </w:tabs>
        <w:ind w:left="448" w:hanging="448"/>
      </w:pPr>
    </w:p>
    <w:p w14:paraId="61EBDD6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309A239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6267041" w14:textId="77777777" w:rsidTr="00C92FA5">
        <w:trPr>
          <w:trHeight w:val="1083"/>
        </w:trPr>
        <w:tc>
          <w:tcPr>
            <w:tcW w:w="10432" w:type="dxa"/>
          </w:tcPr>
          <w:p w14:paraId="245544C2" w14:textId="77777777" w:rsidR="00202D9F" w:rsidRDefault="00202D9F" w:rsidP="003B5D00">
            <w:pPr>
              <w:pStyle w:val="DARDEqualityText"/>
              <w:tabs>
                <w:tab w:val="left" w:pos="452"/>
              </w:tabs>
              <w:spacing w:before="20"/>
              <w:rPr>
                <w:sz w:val="24"/>
              </w:rPr>
            </w:pPr>
            <w:r>
              <w:rPr>
                <w:b/>
                <w:sz w:val="24"/>
              </w:rPr>
              <w:t xml:space="preserve">Title of Proposed Policy / Decision being screened </w:t>
            </w:r>
          </w:p>
          <w:p w14:paraId="763B9094" w14:textId="2375A0BB" w:rsidR="003B5D00" w:rsidRPr="0002349A" w:rsidRDefault="00314406" w:rsidP="0035253F">
            <w:pPr>
              <w:pStyle w:val="DARDEqualityText"/>
              <w:tabs>
                <w:tab w:val="left" w:pos="452"/>
              </w:tabs>
              <w:spacing w:before="20" w:line="240" w:lineRule="auto"/>
              <w:rPr>
                <w:sz w:val="24"/>
              </w:rPr>
            </w:pPr>
            <w:r w:rsidRPr="00314406">
              <w:rPr>
                <w:sz w:val="24"/>
              </w:rPr>
              <w:t>Drafting of amendments to the Reporting of Prices of Milk Products Regulations (Northern Ireland) 2008</w:t>
            </w:r>
          </w:p>
        </w:tc>
      </w:tr>
    </w:tbl>
    <w:p w14:paraId="6BAD5C6E" w14:textId="77777777" w:rsidR="000C1464" w:rsidRDefault="000C1464" w:rsidP="000C1464">
      <w:pPr>
        <w:pStyle w:val="DARDEqualityText"/>
      </w:pPr>
    </w:p>
    <w:p w14:paraId="74BFDA9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5869372" w14:textId="77777777" w:rsidTr="00C92FA5">
        <w:trPr>
          <w:trHeight w:val="737"/>
        </w:trPr>
        <w:tc>
          <w:tcPr>
            <w:tcW w:w="1102" w:type="dxa"/>
          </w:tcPr>
          <w:p w14:paraId="7F321C7C" w14:textId="77777777" w:rsidR="00202D9F" w:rsidRDefault="003B5D0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406F18">
              <w:fldChar w:fldCharType="separate"/>
            </w:r>
            <w:r>
              <w:fldChar w:fldCharType="end"/>
            </w:r>
            <w:bookmarkEnd w:id="3"/>
          </w:p>
        </w:tc>
        <w:tc>
          <w:tcPr>
            <w:tcW w:w="9354" w:type="dxa"/>
          </w:tcPr>
          <w:p w14:paraId="407BB975" w14:textId="77777777" w:rsidR="00202D9F" w:rsidRDefault="00202D9F">
            <w:pPr>
              <w:pStyle w:val="DARDEqualityText"/>
              <w:spacing w:before="100"/>
            </w:pPr>
            <w:r>
              <w:t>equality of opportunity and good relations</w:t>
            </w:r>
          </w:p>
        </w:tc>
      </w:tr>
      <w:tr w:rsidR="00202D9F" w14:paraId="2A12A5DA" w14:textId="77777777" w:rsidTr="00C92FA5">
        <w:trPr>
          <w:trHeight w:val="737"/>
        </w:trPr>
        <w:tc>
          <w:tcPr>
            <w:tcW w:w="1102" w:type="dxa"/>
          </w:tcPr>
          <w:p w14:paraId="76D3635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9354" w:type="dxa"/>
          </w:tcPr>
          <w:p w14:paraId="2697D6A8" w14:textId="77777777" w:rsidR="00202D9F" w:rsidRDefault="00202D9F">
            <w:pPr>
              <w:pStyle w:val="DARDEqualityText"/>
              <w:spacing w:before="100"/>
            </w:pPr>
            <w:r>
              <w:t>disabilities duties; and</w:t>
            </w:r>
          </w:p>
        </w:tc>
      </w:tr>
      <w:tr w:rsidR="00202D9F" w14:paraId="34BC9803" w14:textId="77777777" w:rsidTr="00C92FA5">
        <w:trPr>
          <w:trHeight w:val="737"/>
        </w:trPr>
        <w:tc>
          <w:tcPr>
            <w:tcW w:w="1102" w:type="dxa"/>
          </w:tcPr>
          <w:p w14:paraId="2871663A" w14:textId="77777777" w:rsidR="00202D9F" w:rsidRDefault="003B5D0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9354" w:type="dxa"/>
          </w:tcPr>
          <w:p w14:paraId="216B843B" w14:textId="77777777" w:rsidR="00202D9F" w:rsidRDefault="00202D9F" w:rsidP="000C1464">
            <w:pPr>
              <w:pStyle w:val="DARDEqualityText"/>
            </w:pPr>
            <w:r>
              <w:t>human rights issues</w:t>
            </w:r>
          </w:p>
        </w:tc>
      </w:tr>
    </w:tbl>
    <w:p w14:paraId="422076FE" w14:textId="77777777" w:rsidR="00F018BD" w:rsidRDefault="00F018BD" w:rsidP="000C1464">
      <w:pPr>
        <w:pStyle w:val="DARDEqualityText"/>
      </w:pPr>
    </w:p>
    <w:p w14:paraId="7281C82F"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7E9B213"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2D67A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B617E9C"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06F1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642FC5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92680DA" w14:textId="77777777" w:rsidR="00F018BD" w:rsidRDefault="00F018BD"/>
    <w:tbl>
      <w:tblPr>
        <w:tblW w:w="10456" w:type="dxa"/>
        <w:tblLook w:val="0000" w:firstRow="0" w:lastRow="0" w:firstColumn="0" w:lastColumn="0" w:noHBand="0" w:noVBand="0"/>
      </w:tblPr>
      <w:tblGrid>
        <w:gridCol w:w="1102"/>
        <w:gridCol w:w="9354"/>
      </w:tblGrid>
      <w:tr w:rsidR="00202D9F" w14:paraId="1BA9D17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2A0AC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8ED51FC"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8B7FE58" w14:textId="296C002D" w:rsidR="003B5D00" w:rsidRDefault="00B966AE" w:rsidP="003B5D00">
            <w:pPr>
              <w:pStyle w:val="DARDEqualityText"/>
              <w:spacing w:before="100"/>
              <w:rPr>
                <w:sz w:val="24"/>
                <w:szCs w:val="24"/>
              </w:rPr>
            </w:pPr>
            <w:r>
              <w:rPr>
                <w:sz w:val="24"/>
                <w:szCs w:val="24"/>
              </w:rPr>
              <w:t>T</w:t>
            </w:r>
            <w:r w:rsidR="00997064" w:rsidRPr="00997064">
              <w:rPr>
                <w:sz w:val="24"/>
                <w:szCs w:val="24"/>
              </w:rPr>
              <w:t>he amending regulations do no</w:t>
            </w:r>
            <w:r w:rsidR="00FA407E">
              <w:rPr>
                <w:sz w:val="24"/>
                <w:szCs w:val="24"/>
              </w:rPr>
              <w:t xml:space="preserve">t introduce new policy change; it makes </w:t>
            </w:r>
            <w:r w:rsidR="00997064" w:rsidRPr="00997064">
              <w:rPr>
                <w:sz w:val="24"/>
                <w:szCs w:val="24"/>
              </w:rPr>
              <w:t xml:space="preserve">minor </w:t>
            </w:r>
            <w:r w:rsidR="00586718">
              <w:rPr>
                <w:sz w:val="24"/>
                <w:szCs w:val="24"/>
              </w:rPr>
              <w:t xml:space="preserve">drafting </w:t>
            </w:r>
            <w:r w:rsidR="00997064" w:rsidRPr="00997064">
              <w:rPr>
                <w:sz w:val="24"/>
                <w:szCs w:val="24"/>
              </w:rPr>
              <w:t>amendments</w:t>
            </w:r>
            <w:r w:rsidR="00DE6906">
              <w:rPr>
                <w:sz w:val="24"/>
                <w:szCs w:val="24"/>
              </w:rPr>
              <w:t xml:space="preserve"> which have no impact on society generally</w:t>
            </w:r>
            <w:r>
              <w:rPr>
                <w:sz w:val="24"/>
                <w:szCs w:val="24"/>
              </w:rPr>
              <w:t xml:space="preserve">. </w:t>
            </w:r>
            <w:r w:rsidR="00997064" w:rsidRPr="00997064">
              <w:rPr>
                <w:sz w:val="24"/>
                <w:szCs w:val="24"/>
              </w:rPr>
              <w:t xml:space="preserve">There are therefore no impacts anticipated on any Section 75 categories / good relations etc.  </w:t>
            </w:r>
          </w:p>
          <w:p w14:paraId="3F52F881" w14:textId="3FEEA1C9" w:rsidR="00FA407E" w:rsidRPr="00DD4AF6" w:rsidRDefault="00FA407E" w:rsidP="00FA407E">
            <w:pPr>
              <w:spacing w:line="259" w:lineRule="auto"/>
              <w:contextualSpacing/>
              <w:rPr>
                <w:rFonts w:ascii="Arial" w:hAnsi="Arial" w:cs="Arial"/>
                <w:color w:val="FF0000"/>
                <w:szCs w:val="24"/>
              </w:rPr>
            </w:pPr>
          </w:p>
          <w:p w14:paraId="344D7C64" w14:textId="7EB71513" w:rsidR="00FA407E" w:rsidRPr="00D14B5C" w:rsidRDefault="00FA407E" w:rsidP="003B5D00">
            <w:pPr>
              <w:pStyle w:val="DARDEqualityText"/>
              <w:spacing w:before="100"/>
              <w:rPr>
                <w:sz w:val="24"/>
                <w:szCs w:val="24"/>
              </w:rPr>
            </w:pPr>
          </w:p>
        </w:tc>
      </w:tr>
    </w:tbl>
    <w:p w14:paraId="5CD55A22" w14:textId="77777777" w:rsidR="00F018BD" w:rsidRDefault="00F018BD"/>
    <w:tbl>
      <w:tblPr>
        <w:tblW w:w="10456" w:type="dxa"/>
        <w:tblLook w:val="0000" w:firstRow="0" w:lastRow="0" w:firstColumn="0" w:lastColumn="0" w:noHBand="0" w:noVBand="0"/>
      </w:tblPr>
      <w:tblGrid>
        <w:gridCol w:w="1102"/>
        <w:gridCol w:w="9354"/>
      </w:tblGrid>
      <w:tr w:rsidR="00E85D82" w14:paraId="4E5DF3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FEFA204" w14:textId="19DA7798"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406F18">
              <w:rPr>
                <w:sz w:val="22"/>
                <w:szCs w:val="22"/>
              </w:rPr>
            </w:r>
            <w:r w:rsidR="00406F18">
              <w:rPr>
                <w:sz w:val="22"/>
                <w:szCs w:val="22"/>
              </w:rPr>
              <w:fldChar w:fldCharType="separate"/>
            </w:r>
            <w:r w:rsidRPr="005D0A14">
              <w:rPr>
                <w:sz w:val="22"/>
                <w:szCs w:val="22"/>
              </w:rPr>
              <w:fldChar w:fldCharType="end"/>
            </w:r>
          </w:p>
          <w:p w14:paraId="2727613A" w14:textId="77777777" w:rsidR="005D0A14" w:rsidRPr="005D0A14" w:rsidRDefault="005D0A14" w:rsidP="00E85D82">
            <w:pPr>
              <w:pStyle w:val="Header"/>
              <w:tabs>
                <w:tab w:val="clear" w:pos="4320"/>
                <w:tab w:val="clear" w:pos="8640"/>
              </w:tabs>
              <w:spacing w:before="100"/>
              <w:jc w:val="center"/>
              <w:rPr>
                <w:sz w:val="22"/>
                <w:szCs w:val="22"/>
              </w:rPr>
            </w:pPr>
          </w:p>
          <w:p w14:paraId="2CC9A598" w14:textId="77777777" w:rsidR="005D0A14" w:rsidRPr="005D0A14" w:rsidRDefault="005D0A14" w:rsidP="00E85D82">
            <w:pPr>
              <w:pStyle w:val="Header"/>
              <w:tabs>
                <w:tab w:val="clear" w:pos="4320"/>
                <w:tab w:val="clear" w:pos="8640"/>
              </w:tabs>
              <w:spacing w:before="100"/>
              <w:jc w:val="center"/>
              <w:rPr>
                <w:sz w:val="22"/>
                <w:szCs w:val="22"/>
              </w:rPr>
            </w:pPr>
          </w:p>
          <w:p w14:paraId="4EE2828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2B715E4"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4CFAE49" w14:textId="77777777" w:rsidR="00F22301" w:rsidRPr="00DD697A" w:rsidRDefault="00F22301" w:rsidP="003B5D00">
            <w:pPr>
              <w:pStyle w:val="DARDEqualityText"/>
              <w:spacing w:before="100"/>
              <w:ind w:left="780"/>
              <w:rPr>
                <w:sz w:val="24"/>
                <w:szCs w:val="24"/>
              </w:rPr>
            </w:pPr>
          </w:p>
        </w:tc>
      </w:tr>
    </w:tbl>
    <w:p w14:paraId="05637091" w14:textId="77777777" w:rsidR="00C946E4" w:rsidRDefault="00C946E4"/>
    <w:p w14:paraId="52E21742" w14:textId="77777777" w:rsidR="00F018BD" w:rsidRDefault="00F018BD"/>
    <w:p w14:paraId="25E0D7B9" w14:textId="77777777" w:rsidR="0002349A" w:rsidRDefault="0002349A" w:rsidP="008E13D2">
      <w:pPr>
        <w:rPr>
          <w:rFonts w:ascii="Arial" w:hAnsi="Arial"/>
          <w:b/>
          <w:sz w:val="40"/>
        </w:rPr>
      </w:pPr>
    </w:p>
    <w:p w14:paraId="3DC0934C" w14:textId="77777777" w:rsidR="0002349A" w:rsidRDefault="0002349A" w:rsidP="008E13D2">
      <w:pPr>
        <w:rPr>
          <w:rFonts w:ascii="Arial" w:hAnsi="Arial"/>
          <w:b/>
          <w:sz w:val="40"/>
        </w:rPr>
      </w:pPr>
    </w:p>
    <w:p w14:paraId="1FDFA234" w14:textId="77777777" w:rsidR="0002349A" w:rsidRDefault="0002349A" w:rsidP="008E13D2">
      <w:pPr>
        <w:rPr>
          <w:rFonts w:ascii="Arial" w:hAnsi="Arial"/>
          <w:b/>
          <w:sz w:val="40"/>
        </w:rPr>
      </w:pPr>
    </w:p>
    <w:p w14:paraId="46A31BBD"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A6BF68D" w14:textId="77777777" w:rsidR="008E13D2" w:rsidRDefault="008E13D2" w:rsidP="008E13D2">
      <w:pPr>
        <w:pStyle w:val="Heading1"/>
      </w:pPr>
      <w:r>
        <w:rPr>
          <w:sz w:val="40"/>
        </w:rPr>
        <w:t>Screening Checklist</w:t>
      </w:r>
    </w:p>
    <w:p w14:paraId="1ADE77B6" w14:textId="77777777" w:rsidR="008E13D2" w:rsidRDefault="008E13D2" w:rsidP="008E13D2">
      <w:pPr>
        <w:jc w:val="center"/>
        <w:rPr>
          <w:b/>
          <w:sz w:val="28"/>
        </w:rPr>
      </w:pPr>
    </w:p>
    <w:p w14:paraId="63A33797" w14:textId="77777777" w:rsidR="008E13D2" w:rsidRDefault="008E13D2" w:rsidP="008E13D2">
      <w:pPr>
        <w:pStyle w:val="DARDEqualityText"/>
      </w:pPr>
      <w:r>
        <w:t>Before signing off this screening template please confirm that you have completed all the actions listed below.</w:t>
      </w:r>
    </w:p>
    <w:p w14:paraId="079877B9" w14:textId="77777777" w:rsidR="008E13D2" w:rsidRDefault="008E13D2" w:rsidP="008E13D2">
      <w:pPr>
        <w:pStyle w:val="DARDEqualityText"/>
      </w:pPr>
    </w:p>
    <w:p w14:paraId="7F359BD7" w14:textId="77777777" w:rsidR="008E13D2" w:rsidRDefault="008E13D2" w:rsidP="008E13D2">
      <w:pPr>
        <w:pStyle w:val="DARDEqualityText"/>
      </w:pPr>
      <w:r>
        <w:t>I can confirm that all the actions listed below have been completed –</w:t>
      </w:r>
    </w:p>
    <w:p w14:paraId="46A88AAE"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FB4B145" w14:textId="77777777" w:rsidTr="00250BA2">
        <w:trPr>
          <w:trHeight w:val="737"/>
        </w:trPr>
        <w:tc>
          <w:tcPr>
            <w:tcW w:w="1102" w:type="dxa"/>
          </w:tcPr>
          <w:p w14:paraId="4ADD0D8D" w14:textId="0A0B1510" w:rsidR="008E13D2" w:rsidRDefault="009970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8260" w:type="dxa"/>
          </w:tcPr>
          <w:p w14:paraId="1D5DB9FC" w14:textId="77777777" w:rsidR="008E13D2" w:rsidRDefault="008E13D2" w:rsidP="00250BA2">
            <w:pPr>
              <w:pStyle w:val="DARDEqualityText"/>
              <w:spacing w:before="100"/>
            </w:pPr>
            <w:r>
              <w:t>I have explained any technical issues in plain English (easily understood by a 12 year old)</w:t>
            </w:r>
          </w:p>
        </w:tc>
      </w:tr>
      <w:tr w:rsidR="008E13D2" w14:paraId="62E935E9" w14:textId="77777777" w:rsidTr="00250BA2">
        <w:trPr>
          <w:trHeight w:val="737"/>
        </w:trPr>
        <w:tc>
          <w:tcPr>
            <w:tcW w:w="1102" w:type="dxa"/>
          </w:tcPr>
          <w:p w14:paraId="42016ACD" w14:textId="16004AF1" w:rsidR="008E13D2" w:rsidRDefault="009970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8260" w:type="dxa"/>
          </w:tcPr>
          <w:p w14:paraId="4B6AFFEE" w14:textId="77777777" w:rsidR="008E13D2" w:rsidRDefault="008E13D2" w:rsidP="00250BA2">
            <w:pPr>
              <w:pStyle w:val="DARDEqualityText"/>
              <w:spacing w:before="100"/>
            </w:pPr>
            <w:r>
              <w:t>I have added evidence and explained my assessments in full</w:t>
            </w:r>
          </w:p>
        </w:tc>
      </w:tr>
      <w:tr w:rsidR="008E13D2" w14:paraId="6F073FA4" w14:textId="77777777" w:rsidTr="00250BA2">
        <w:trPr>
          <w:trHeight w:val="737"/>
        </w:trPr>
        <w:tc>
          <w:tcPr>
            <w:tcW w:w="1102" w:type="dxa"/>
          </w:tcPr>
          <w:p w14:paraId="27C60D6E" w14:textId="7ACC8354" w:rsidR="008E13D2" w:rsidRDefault="006E48EB" w:rsidP="006E48EB">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8260" w:type="dxa"/>
          </w:tcPr>
          <w:p w14:paraId="73FDEA02" w14:textId="77777777" w:rsidR="008E13D2" w:rsidRDefault="008E13D2" w:rsidP="00250BA2">
            <w:pPr>
              <w:pStyle w:val="DARDEqualityText"/>
              <w:spacing w:before="100"/>
            </w:pPr>
            <w:r>
              <w:t>I have provided a brief note to justify my decision to ‘Screen In’ or ‘Screen Out’</w:t>
            </w:r>
          </w:p>
        </w:tc>
      </w:tr>
      <w:tr w:rsidR="008E13D2" w14:paraId="3A9F16A5" w14:textId="77777777" w:rsidTr="00250BA2">
        <w:trPr>
          <w:trHeight w:val="737"/>
        </w:trPr>
        <w:tc>
          <w:tcPr>
            <w:tcW w:w="1102" w:type="dxa"/>
          </w:tcPr>
          <w:p w14:paraId="04216C98" w14:textId="62CF4437" w:rsidR="008E13D2" w:rsidRDefault="001B137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06F18">
              <w:fldChar w:fldCharType="separate"/>
            </w:r>
            <w:r>
              <w:fldChar w:fldCharType="end"/>
            </w:r>
          </w:p>
        </w:tc>
        <w:tc>
          <w:tcPr>
            <w:tcW w:w="8260" w:type="dxa"/>
          </w:tcPr>
          <w:p w14:paraId="114FB9F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4349BD3" w14:textId="77777777" w:rsidR="008E13D2" w:rsidRDefault="008E13D2" w:rsidP="008E13D2">
      <w:pPr>
        <w:pStyle w:val="DARDEqualityText"/>
      </w:pPr>
    </w:p>
    <w:p w14:paraId="714AA5FF" w14:textId="77777777" w:rsidR="008E13D2" w:rsidRDefault="008E13D2"/>
    <w:p w14:paraId="57CF1841" w14:textId="77777777" w:rsidR="008E13D2" w:rsidRDefault="008E13D2"/>
    <w:p w14:paraId="3EE24FC1" w14:textId="77777777" w:rsidR="008E13D2" w:rsidRDefault="008E13D2"/>
    <w:p w14:paraId="0B1A664C" w14:textId="77777777" w:rsidR="008E13D2" w:rsidRDefault="008E13D2"/>
    <w:p w14:paraId="0ED33A85" w14:textId="77777777" w:rsidR="008E13D2" w:rsidRDefault="008E13D2"/>
    <w:p w14:paraId="5878A9AD" w14:textId="77777777" w:rsidR="008E13D2" w:rsidRDefault="008E13D2"/>
    <w:p w14:paraId="281235E1" w14:textId="77777777" w:rsidR="008E13D2" w:rsidRDefault="008E13D2"/>
    <w:p w14:paraId="5DA9BF05" w14:textId="77777777" w:rsidR="008E13D2" w:rsidRDefault="008E13D2"/>
    <w:p w14:paraId="54120B31" w14:textId="77777777" w:rsidR="008E13D2" w:rsidRDefault="008E13D2"/>
    <w:p w14:paraId="5344319D" w14:textId="77777777" w:rsidR="008E13D2" w:rsidRDefault="008E13D2"/>
    <w:p w14:paraId="7A303391" w14:textId="77777777" w:rsidR="008E13D2" w:rsidRDefault="008E13D2"/>
    <w:p w14:paraId="26373238" w14:textId="77777777" w:rsidR="008E13D2" w:rsidRDefault="008E13D2"/>
    <w:p w14:paraId="2E8E6197" w14:textId="77777777" w:rsidR="008E13D2" w:rsidRDefault="008E13D2"/>
    <w:p w14:paraId="2742B021" w14:textId="77777777" w:rsidR="008E13D2" w:rsidRDefault="008E13D2"/>
    <w:p w14:paraId="446BA666" w14:textId="77777777" w:rsidR="008E13D2" w:rsidRDefault="008E13D2"/>
    <w:p w14:paraId="70DB6AAC" w14:textId="77777777" w:rsidR="006713FE" w:rsidRDefault="006713FE"/>
    <w:p w14:paraId="2C983D99" w14:textId="77777777" w:rsidR="006713FE" w:rsidRDefault="006713FE"/>
    <w:p w14:paraId="677FECD3" w14:textId="77777777" w:rsidR="008E13D2" w:rsidRDefault="008E13D2"/>
    <w:p w14:paraId="31AD371D" w14:textId="77777777" w:rsidR="008E13D2" w:rsidRDefault="008E13D2"/>
    <w:p w14:paraId="5D2832EB" w14:textId="77777777" w:rsidR="008E13D2" w:rsidRDefault="008E13D2"/>
    <w:p w14:paraId="6A3643F9" w14:textId="77777777" w:rsidR="008E13D2" w:rsidRDefault="008E13D2"/>
    <w:p w14:paraId="3EDAA929" w14:textId="77777777" w:rsidR="00B35098" w:rsidRDefault="00B35098"/>
    <w:p w14:paraId="65984D7A" w14:textId="77777777" w:rsidR="00B35098" w:rsidRDefault="00B35098"/>
    <w:p w14:paraId="1EE13B6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1AFCDF5" w14:textId="77777777" w:rsidR="00462813" w:rsidRDefault="00462813" w:rsidP="00462813">
      <w:pPr>
        <w:rPr>
          <w:rFonts w:ascii="Arial" w:hAnsi="Arial" w:cs="Arial"/>
          <w:sz w:val="28"/>
          <w:szCs w:val="28"/>
        </w:rPr>
      </w:pPr>
    </w:p>
    <w:p w14:paraId="107D020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6C48298" w14:textId="77777777" w:rsidR="00462813" w:rsidRDefault="00462813" w:rsidP="00462813">
      <w:pPr>
        <w:rPr>
          <w:rFonts w:ascii="Arial" w:hAnsi="Arial" w:cs="Arial"/>
          <w:b/>
          <w:i/>
          <w:sz w:val="28"/>
          <w:szCs w:val="28"/>
        </w:rPr>
      </w:pPr>
    </w:p>
    <w:p w14:paraId="5BD2BAD6" w14:textId="388BDDE2" w:rsidR="00462813" w:rsidRDefault="001B1370" w:rsidP="00462813">
      <w:pPr>
        <w:rPr>
          <w:rFonts w:ascii="Arial" w:hAnsi="Arial" w:cs="Arial"/>
          <w:b/>
          <w:i/>
          <w:sz w:val="28"/>
          <w:szCs w:val="28"/>
        </w:rPr>
      </w:pPr>
      <w:r>
        <w:rPr>
          <w:rFonts w:ascii="Arial" w:hAnsi="Arial" w:cs="Arial"/>
          <w:b/>
          <w:i/>
          <w:sz w:val="28"/>
          <w:szCs w:val="28"/>
        </w:rPr>
        <w:t>Yes</w:t>
      </w:r>
    </w:p>
    <w:p w14:paraId="3E5697BB" w14:textId="77777777" w:rsidR="00462813" w:rsidRDefault="00462813" w:rsidP="00462813">
      <w:pPr>
        <w:rPr>
          <w:rFonts w:ascii="Arial" w:hAnsi="Arial" w:cs="Arial"/>
          <w:b/>
          <w:i/>
          <w:sz w:val="28"/>
          <w:szCs w:val="28"/>
        </w:rPr>
      </w:pPr>
    </w:p>
    <w:p w14:paraId="1B07C1AB" w14:textId="77777777" w:rsidR="00462813" w:rsidRPr="00E33385" w:rsidRDefault="00462813" w:rsidP="00462813">
      <w:pPr>
        <w:rPr>
          <w:rFonts w:ascii="Arial" w:hAnsi="Arial" w:cs="Arial"/>
          <w:b/>
          <w:i/>
          <w:sz w:val="28"/>
          <w:szCs w:val="28"/>
        </w:rPr>
      </w:pPr>
    </w:p>
    <w:p w14:paraId="139D83B5" w14:textId="77777777" w:rsidR="00462813" w:rsidRDefault="00462813" w:rsidP="00462813">
      <w:pPr>
        <w:rPr>
          <w:rFonts w:ascii="Arial" w:hAnsi="Arial" w:cs="Arial"/>
          <w:sz w:val="28"/>
          <w:szCs w:val="28"/>
        </w:rPr>
      </w:pPr>
    </w:p>
    <w:p w14:paraId="1CD26E47" w14:textId="77777777" w:rsidR="00462813" w:rsidRDefault="00462813" w:rsidP="00462813">
      <w:pPr>
        <w:rPr>
          <w:rFonts w:ascii="Arial" w:hAnsi="Arial" w:cs="Arial"/>
          <w:sz w:val="28"/>
          <w:szCs w:val="28"/>
        </w:rPr>
      </w:pPr>
    </w:p>
    <w:p w14:paraId="4FDD641F" w14:textId="77777777" w:rsidR="00462813" w:rsidRDefault="00462813" w:rsidP="00462813">
      <w:pPr>
        <w:rPr>
          <w:rFonts w:ascii="Arial" w:hAnsi="Arial" w:cs="Arial"/>
          <w:sz w:val="28"/>
          <w:szCs w:val="28"/>
        </w:rPr>
      </w:pPr>
    </w:p>
    <w:p w14:paraId="7B56DA4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3A833F2" w14:textId="77777777" w:rsidTr="00B60891">
        <w:trPr>
          <w:cantSplit/>
          <w:trHeight w:val="454"/>
        </w:trPr>
        <w:tc>
          <w:tcPr>
            <w:tcW w:w="9362" w:type="dxa"/>
            <w:gridSpan w:val="2"/>
          </w:tcPr>
          <w:p w14:paraId="4E0151B4" w14:textId="77777777" w:rsidR="00462813" w:rsidRDefault="00462813" w:rsidP="00B60891">
            <w:pPr>
              <w:pStyle w:val="DARDEqualityText"/>
              <w:spacing w:before="100"/>
              <w:rPr>
                <w:b/>
              </w:rPr>
            </w:pPr>
            <w:r>
              <w:rPr>
                <w:b/>
              </w:rPr>
              <w:t>Screening assessment completed by (Staff Officer level or above) -</w:t>
            </w:r>
          </w:p>
        </w:tc>
      </w:tr>
      <w:tr w:rsidR="00462813" w14:paraId="12623380" w14:textId="77777777" w:rsidTr="00B60891">
        <w:trPr>
          <w:trHeight w:val="454"/>
        </w:trPr>
        <w:tc>
          <w:tcPr>
            <w:tcW w:w="5646" w:type="dxa"/>
          </w:tcPr>
          <w:p w14:paraId="06DD7E52" w14:textId="088466E3" w:rsidR="00462813" w:rsidRDefault="00462813" w:rsidP="001B137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B1370">
              <w:rPr>
                <w:rFonts w:ascii="Arial" w:hAnsi="Arial"/>
              </w:rPr>
              <w:t>Darren Beggs</w:t>
            </w:r>
          </w:p>
        </w:tc>
        <w:tc>
          <w:tcPr>
            <w:tcW w:w="3716" w:type="dxa"/>
          </w:tcPr>
          <w:p w14:paraId="7A43B420" w14:textId="24490E08" w:rsidR="00462813" w:rsidRDefault="00462813" w:rsidP="001B137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B1370">
              <w:rPr>
                <w:rFonts w:ascii="Arial" w:hAnsi="Arial"/>
              </w:rPr>
              <w:t>Staff Officer</w:t>
            </w:r>
          </w:p>
        </w:tc>
      </w:tr>
      <w:tr w:rsidR="00462813" w14:paraId="64CD24AD" w14:textId="77777777" w:rsidTr="00B60891">
        <w:trPr>
          <w:trHeight w:val="454"/>
        </w:trPr>
        <w:tc>
          <w:tcPr>
            <w:tcW w:w="5646" w:type="dxa"/>
            <w:shd w:val="solid" w:color="C0C0C0" w:fill="auto"/>
          </w:tcPr>
          <w:p w14:paraId="5C5E8359"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0E1E2F8" w14:textId="6EE4447B" w:rsidR="00462813" w:rsidRDefault="00462813" w:rsidP="00E8324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83245">
              <w:rPr>
                <w:rFonts w:ascii="Arial" w:hAnsi="Arial"/>
              </w:rPr>
              <w:t xml:space="preserve">28 </w:t>
            </w:r>
            <w:r w:rsidR="00314406">
              <w:rPr>
                <w:rFonts w:ascii="Arial" w:hAnsi="Arial"/>
              </w:rPr>
              <w:t>January 2019</w:t>
            </w:r>
          </w:p>
        </w:tc>
      </w:tr>
      <w:tr w:rsidR="00462813" w14:paraId="2F0CBAB0" w14:textId="77777777" w:rsidTr="00B60891">
        <w:trPr>
          <w:cantSplit/>
          <w:trHeight w:val="454"/>
        </w:trPr>
        <w:tc>
          <w:tcPr>
            <w:tcW w:w="9362" w:type="dxa"/>
            <w:gridSpan w:val="2"/>
          </w:tcPr>
          <w:p w14:paraId="2D04DFDC" w14:textId="6E9F14D9" w:rsidR="00462813" w:rsidRDefault="00462813" w:rsidP="001B1370">
            <w:pPr>
              <w:pStyle w:val="Header"/>
              <w:tabs>
                <w:tab w:val="clear" w:pos="4320"/>
                <w:tab w:val="clear" w:pos="8640"/>
              </w:tabs>
              <w:rPr>
                <w:rFonts w:ascii="Arial" w:hAnsi="Arial"/>
              </w:rPr>
            </w:pPr>
            <w:r>
              <w:rPr>
                <w:rFonts w:ascii="Arial" w:hAnsi="Arial"/>
                <w:sz w:val="28"/>
              </w:rPr>
              <w:t>Branch:</w:t>
            </w:r>
            <w:r>
              <w:rPr>
                <w:rFonts w:ascii="Arial" w:hAnsi="Arial"/>
              </w:rPr>
              <w:t xml:space="preserve"> </w:t>
            </w:r>
            <w:proofErr w:type="spellStart"/>
            <w:r w:rsidR="001B1370">
              <w:rPr>
                <w:rFonts w:ascii="Arial" w:hAnsi="Arial"/>
              </w:rPr>
              <w:t>Agri-food</w:t>
            </w:r>
            <w:proofErr w:type="spellEnd"/>
            <w:r w:rsidR="001B1370">
              <w:rPr>
                <w:rFonts w:ascii="Arial" w:hAnsi="Arial"/>
              </w:rPr>
              <w:t xml:space="preserve"> Brexit Policy 2</w:t>
            </w:r>
          </w:p>
        </w:tc>
      </w:tr>
    </w:tbl>
    <w:p w14:paraId="1662BB85" w14:textId="77777777" w:rsidR="00462813" w:rsidRDefault="00462813" w:rsidP="00462813">
      <w:pPr>
        <w:pStyle w:val="DARDEqualityText"/>
        <w:rPr>
          <w:b/>
        </w:rPr>
        <w:sectPr w:rsidR="00462813" w:rsidSect="009176B4">
          <w:footerReference w:type="default" r:id="rId15"/>
          <w:pgSz w:w="11899" w:h="16838"/>
          <w:pgMar w:top="720" w:right="720" w:bottom="720" w:left="720" w:header="720" w:footer="567" w:gutter="0"/>
          <w:cols w:space="720"/>
          <w:docGrid w:linePitch="326"/>
        </w:sectPr>
      </w:pPr>
    </w:p>
    <w:p w14:paraId="64C09F0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2B955D1" w14:textId="77777777" w:rsidTr="00B60891">
        <w:trPr>
          <w:cantSplit/>
          <w:trHeight w:val="501"/>
        </w:trPr>
        <w:tc>
          <w:tcPr>
            <w:tcW w:w="9362" w:type="dxa"/>
          </w:tcPr>
          <w:p w14:paraId="4CA1B4D8"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2A3B27C" w14:textId="77777777" w:rsidR="00462813" w:rsidRDefault="00462813" w:rsidP="00B60891">
            <w:pPr>
              <w:rPr>
                <w:rFonts w:ascii="Arial" w:hAnsi="Arial"/>
                <w:color w:val="808080"/>
                <w:sz w:val="28"/>
              </w:rPr>
            </w:pPr>
          </w:p>
          <w:p w14:paraId="0D032E18" w14:textId="77777777" w:rsidR="00462813" w:rsidRDefault="00462813" w:rsidP="00B60891"/>
          <w:p w14:paraId="4E0C09B0" w14:textId="77777777" w:rsidR="00462813" w:rsidRDefault="00462813" w:rsidP="00B60891"/>
          <w:p w14:paraId="3EDC7CE7" w14:textId="77777777" w:rsidR="00462813" w:rsidRDefault="00462813" w:rsidP="00B60891"/>
          <w:p w14:paraId="2BB08D33" w14:textId="77777777" w:rsidR="00462813" w:rsidRDefault="00462813" w:rsidP="00B60891"/>
          <w:p w14:paraId="2F25AADB" w14:textId="77777777" w:rsidR="00462813" w:rsidRDefault="00462813" w:rsidP="00B60891"/>
          <w:p w14:paraId="5318586B" w14:textId="77777777" w:rsidR="00462813" w:rsidRDefault="00462813" w:rsidP="00B60891"/>
          <w:p w14:paraId="6804D7F0" w14:textId="77777777" w:rsidR="00462813" w:rsidRDefault="00462813" w:rsidP="00B60891"/>
          <w:p w14:paraId="1CDCEE94" w14:textId="77777777" w:rsidR="00462813" w:rsidRDefault="00462813" w:rsidP="00B60891"/>
        </w:tc>
      </w:tr>
    </w:tbl>
    <w:p w14:paraId="7B1E19A6"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CCAF6A1"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21646C1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61D1DF6" w14:textId="77777777" w:rsidTr="00B60891">
        <w:trPr>
          <w:cantSplit/>
          <w:trHeight w:val="454"/>
        </w:trPr>
        <w:tc>
          <w:tcPr>
            <w:tcW w:w="9362" w:type="dxa"/>
            <w:gridSpan w:val="2"/>
          </w:tcPr>
          <w:p w14:paraId="24943E0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EAC6A11" w14:textId="77777777" w:rsidTr="00B60891">
        <w:trPr>
          <w:trHeight w:val="454"/>
        </w:trPr>
        <w:tc>
          <w:tcPr>
            <w:tcW w:w="5646" w:type="dxa"/>
          </w:tcPr>
          <w:p w14:paraId="06134AC6" w14:textId="148CC9C0" w:rsidR="00462813" w:rsidRDefault="00462813" w:rsidP="005D423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D423D">
              <w:rPr>
                <w:rFonts w:ascii="Arial" w:hAnsi="Arial"/>
              </w:rPr>
              <w:t>Norman Fulton</w:t>
            </w:r>
          </w:p>
        </w:tc>
        <w:tc>
          <w:tcPr>
            <w:tcW w:w="3716" w:type="dxa"/>
          </w:tcPr>
          <w:p w14:paraId="2D2850B1" w14:textId="2AD78B12" w:rsidR="00462813" w:rsidRDefault="00462813" w:rsidP="005D423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423D">
              <w:rPr>
                <w:rFonts w:ascii="Arial" w:hAnsi="Arial"/>
              </w:rPr>
              <w:t>3</w:t>
            </w:r>
          </w:p>
        </w:tc>
      </w:tr>
      <w:tr w:rsidR="00462813" w14:paraId="19B10BC1" w14:textId="77777777" w:rsidTr="00B60891">
        <w:trPr>
          <w:trHeight w:val="454"/>
        </w:trPr>
        <w:tc>
          <w:tcPr>
            <w:tcW w:w="5646" w:type="dxa"/>
            <w:shd w:val="solid" w:color="C0C0C0" w:fill="auto"/>
          </w:tcPr>
          <w:p w14:paraId="376E113A"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497AC13" w14:textId="44338417" w:rsidR="00462813" w:rsidRDefault="00462813" w:rsidP="004E2A9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21173">
              <w:rPr>
                <w:rFonts w:ascii="Arial" w:hAnsi="Arial"/>
              </w:rPr>
              <w:t>28/1/2019</w:t>
            </w:r>
          </w:p>
        </w:tc>
      </w:tr>
      <w:tr w:rsidR="00462813" w14:paraId="3CC35B1D" w14:textId="77777777" w:rsidTr="00B60891">
        <w:trPr>
          <w:cantSplit/>
          <w:trHeight w:val="454"/>
        </w:trPr>
        <w:tc>
          <w:tcPr>
            <w:tcW w:w="9362" w:type="dxa"/>
            <w:gridSpan w:val="2"/>
          </w:tcPr>
          <w:p w14:paraId="381C9D17" w14:textId="17C8458D" w:rsidR="00462813" w:rsidRDefault="00462813" w:rsidP="005D423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D423D">
              <w:rPr>
                <w:rFonts w:ascii="Arial" w:hAnsi="Arial"/>
              </w:rPr>
              <w:t>FFG</w:t>
            </w:r>
          </w:p>
        </w:tc>
      </w:tr>
    </w:tbl>
    <w:p w14:paraId="2D8B469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321087E"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012FF2" w14:textId="77777777" w:rsidTr="00B60891">
        <w:trPr>
          <w:cantSplit/>
          <w:trHeight w:val="1713"/>
        </w:trPr>
        <w:tc>
          <w:tcPr>
            <w:tcW w:w="9362" w:type="dxa"/>
          </w:tcPr>
          <w:p w14:paraId="354FB599"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DF670AB" w14:textId="05241723" w:rsidR="00462813" w:rsidRDefault="00462813" w:rsidP="00B60891">
            <w:pPr>
              <w:pStyle w:val="Header"/>
              <w:tabs>
                <w:tab w:val="clear" w:pos="4320"/>
                <w:tab w:val="clear" w:pos="8640"/>
              </w:tabs>
              <w:spacing w:before="100"/>
            </w:pPr>
          </w:p>
          <w:p w14:paraId="25D289E7" w14:textId="76FE572E" w:rsidR="00D47DB7" w:rsidRPr="00855DA3" w:rsidRDefault="00821173" w:rsidP="00B60891">
            <w:pPr>
              <w:pStyle w:val="Header"/>
              <w:tabs>
                <w:tab w:val="clear" w:pos="4320"/>
                <w:tab w:val="clear" w:pos="8640"/>
              </w:tabs>
              <w:spacing w:before="100"/>
              <w:rPr>
                <w:rFonts w:ascii="Arial" w:hAnsi="Arial" w:cs="Arial"/>
                <w:sz w:val="28"/>
                <w:szCs w:val="28"/>
              </w:rPr>
            </w:pPr>
            <w:r>
              <w:object w:dxaOrig="14010" w:dyaOrig="6930" w14:anchorId="7C76DCB7">
                <v:shape id="_x0000_i1027" type="#_x0000_t75" style="width:165.9pt;height:81.8pt" o:ole="" fillcolor="window">
                  <v:imagedata r:id="rId16" o:title=""/>
                </v:shape>
                <o:OLEObject Type="Embed" ProgID="PBrush" ShapeID="_x0000_i1027" DrawAspect="Content" ObjectID="_1610259912" r:id="rId17"/>
              </w:object>
            </w:r>
          </w:p>
        </w:tc>
      </w:tr>
    </w:tbl>
    <w:p w14:paraId="5D992643"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75DBFE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29768B7"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5991AFB" w14:textId="77777777" w:rsidR="00227800" w:rsidRDefault="00227800">
      <w:pPr>
        <w:pStyle w:val="DARDEqualityText"/>
        <w:rPr>
          <w:color w:val="142062"/>
        </w:rPr>
      </w:pPr>
    </w:p>
    <w:p w14:paraId="1DACFB9B" w14:textId="77777777" w:rsidR="00227800" w:rsidRPr="00B35098" w:rsidRDefault="00227800">
      <w:pPr>
        <w:pStyle w:val="DARDEqualityText"/>
      </w:pPr>
      <w:r>
        <w:object w:dxaOrig="1550" w:dyaOrig="991" w14:anchorId="60507A9C">
          <v:shape id="_x0000_i1028" type="#_x0000_t75" style="width:75.45pt;height:49.55pt" o:ole="">
            <v:imagedata r:id="rId19" o:title=""/>
          </v:shape>
          <o:OLEObject Type="Embed" ProgID="Package" ShapeID="_x0000_i1028" DrawAspect="Icon" ObjectID="_1610259913" r:id="rId20"/>
        </w:object>
      </w:r>
    </w:p>
    <w:p w14:paraId="103D3CC8" w14:textId="77777777" w:rsidR="00462813" w:rsidRDefault="00462813" w:rsidP="000C1464">
      <w:pPr>
        <w:pStyle w:val="DARDEqualityText"/>
      </w:pPr>
    </w:p>
    <w:p w14:paraId="18518579"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A7A2B02" w14:textId="77777777" w:rsidR="00227800" w:rsidRDefault="00227800" w:rsidP="00227800">
      <w:pPr>
        <w:pStyle w:val="DARDEqualityText"/>
        <w:spacing w:line="240" w:lineRule="auto"/>
      </w:pPr>
      <w:r>
        <w:t>DAERA Equality Unit</w:t>
      </w:r>
    </w:p>
    <w:p w14:paraId="0BD09A1C"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5CB4E85B" w14:textId="77777777" w:rsidR="00227800" w:rsidRPr="00E647A4" w:rsidRDefault="00227800" w:rsidP="00227800">
      <w:pPr>
        <w:rPr>
          <w:rFonts w:ascii="Arial" w:hAnsi="Arial" w:cs="Arial"/>
          <w:sz w:val="28"/>
          <w:szCs w:val="28"/>
          <w:lang w:val="en"/>
        </w:rPr>
      </w:pPr>
    </w:p>
    <w:p w14:paraId="2342D02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E647A4">
          <w:rPr>
            <w:rStyle w:val="Hyperlink"/>
            <w:rFonts w:ascii="Arial" w:hAnsi="Arial" w:cs="Arial"/>
            <w:sz w:val="28"/>
            <w:szCs w:val="28"/>
          </w:rPr>
          <w:t>equalitybranch@daera-ni.gov.uk</w:t>
        </w:r>
      </w:hyperlink>
    </w:p>
    <w:p w14:paraId="5537A9D4" w14:textId="77777777" w:rsidR="00227800" w:rsidRPr="00E647A4" w:rsidRDefault="00227800" w:rsidP="00227800">
      <w:pPr>
        <w:rPr>
          <w:rStyle w:val="Hyperlink"/>
          <w:rFonts w:ascii="Arial" w:hAnsi="Arial" w:cs="Arial"/>
          <w:sz w:val="28"/>
          <w:szCs w:val="28"/>
        </w:rPr>
      </w:pPr>
    </w:p>
    <w:p w14:paraId="537AFF0F"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3097C282" w14:textId="77777777" w:rsidR="0077251C" w:rsidRDefault="0077251C" w:rsidP="00227800">
      <w:pPr>
        <w:rPr>
          <w:rStyle w:val="Hyperlink"/>
          <w:rFonts w:ascii="Arial" w:hAnsi="Arial" w:cs="Arial"/>
          <w:sz w:val="28"/>
          <w:szCs w:val="28"/>
        </w:rPr>
      </w:pPr>
    </w:p>
    <w:p w14:paraId="490DC9D2" w14:textId="77777777" w:rsidR="0077251C" w:rsidRDefault="0077251C" w:rsidP="00227800">
      <w:pPr>
        <w:rPr>
          <w:rStyle w:val="Hyperlink"/>
          <w:rFonts w:ascii="Arial" w:hAnsi="Arial" w:cs="Arial"/>
          <w:sz w:val="28"/>
          <w:szCs w:val="28"/>
        </w:rPr>
      </w:pPr>
    </w:p>
    <w:p w14:paraId="310459E7" w14:textId="77777777" w:rsidR="0077251C" w:rsidRDefault="0077251C" w:rsidP="00227800">
      <w:pPr>
        <w:rPr>
          <w:rStyle w:val="Hyperlink"/>
          <w:rFonts w:ascii="Arial" w:hAnsi="Arial" w:cs="Arial"/>
          <w:sz w:val="28"/>
          <w:szCs w:val="28"/>
        </w:rPr>
      </w:pPr>
    </w:p>
    <w:p w14:paraId="0EF9B9E1" w14:textId="24C7F31E" w:rsidR="0077251C" w:rsidRDefault="0077251C" w:rsidP="00227800">
      <w:pPr>
        <w:rPr>
          <w:rFonts w:ascii="Arial" w:hAnsi="Arial" w:cs="Arial"/>
          <w:b/>
          <w:sz w:val="28"/>
          <w:szCs w:val="28"/>
        </w:rPr>
      </w:pPr>
    </w:p>
    <w:p w14:paraId="25C68511" w14:textId="77777777" w:rsidR="00131341" w:rsidRDefault="00131341" w:rsidP="00227800">
      <w:pPr>
        <w:rPr>
          <w:rFonts w:ascii="Arial" w:hAnsi="Arial" w:cs="Arial"/>
          <w:b/>
          <w:sz w:val="28"/>
          <w:szCs w:val="28"/>
        </w:rPr>
      </w:pPr>
    </w:p>
    <w:p w14:paraId="4BEB955F" w14:textId="77777777" w:rsidR="00131341" w:rsidRDefault="00131341" w:rsidP="00227800">
      <w:pPr>
        <w:rPr>
          <w:rFonts w:ascii="Arial" w:hAnsi="Arial" w:cs="Arial"/>
          <w:b/>
          <w:sz w:val="28"/>
          <w:szCs w:val="28"/>
        </w:rPr>
      </w:pPr>
    </w:p>
    <w:p w14:paraId="27CE4032" w14:textId="77777777" w:rsidR="00131341" w:rsidRDefault="00131341" w:rsidP="00227800">
      <w:pPr>
        <w:rPr>
          <w:rFonts w:ascii="Arial" w:hAnsi="Arial" w:cs="Arial"/>
          <w:b/>
          <w:sz w:val="28"/>
          <w:szCs w:val="28"/>
        </w:rPr>
      </w:pPr>
    </w:p>
    <w:p w14:paraId="2E817A1C" w14:textId="77777777" w:rsidR="00131341" w:rsidRDefault="00131341" w:rsidP="00227800">
      <w:pPr>
        <w:rPr>
          <w:rFonts w:ascii="Arial" w:hAnsi="Arial" w:cs="Arial"/>
          <w:b/>
          <w:sz w:val="28"/>
          <w:szCs w:val="28"/>
        </w:rPr>
      </w:pPr>
    </w:p>
    <w:p w14:paraId="383643A3" w14:textId="77777777" w:rsidR="00131341" w:rsidRPr="0077251C" w:rsidRDefault="00131341" w:rsidP="00227800">
      <w:pPr>
        <w:rPr>
          <w:rFonts w:ascii="Arial" w:hAnsi="Arial" w:cs="Arial"/>
          <w:b/>
          <w:sz w:val="28"/>
          <w:szCs w:val="28"/>
        </w:rPr>
      </w:pPr>
    </w:p>
    <w:p w14:paraId="1D5CA0BE" w14:textId="77777777" w:rsidR="00227800" w:rsidRDefault="00227800" w:rsidP="00227800">
      <w:pPr>
        <w:pStyle w:val="DARDEqualityText"/>
        <w:spacing w:line="240" w:lineRule="auto"/>
      </w:pPr>
    </w:p>
    <w:p w14:paraId="058F4EC0" w14:textId="77777777" w:rsidR="001B0109" w:rsidRDefault="001B0109">
      <w:pPr>
        <w:pStyle w:val="DARDEqualityText"/>
        <w:spacing w:line="240" w:lineRule="auto"/>
      </w:pPr>
    </w:p>
    <w:p w14:paraId="65CCD84A" w14:textId="77777777" w:rsidR="001B0109" w:rsidRDefault="001B0109">
      <w:pPr>
        <w:pStyle w:val="DARDEqualityText"/>
        <w:spacing w:line="240" w:lineRule="auto"/>
      </w:pPr>
    </w:p>
    <w:p w14:paraId="7E928617" w14:textId="77777777" w:rsidR="00202D9F" w:rsidRDefault="00202D9F">
      <w:pPr>
        <w:pStyle w:val="DARDEqualityText"/>
        <w:spacing w:line="240" w:lineRule="auto"/>
      </w:pPr>
    </w:p>
    <w:p w14:paraId="562F202F" w14:textId="77777777" w:rsidR="001C32B5" w:rsidRDefault="001C32B5">
      <w:pPr>
        <w:pStyle w:val="DARDEqualityText"/>
        <w:spacing w:line="240" w:lineRule="auto"/>
        <w:rPr>
          <w:b/>
          <w:color w:val="FF0000"/>
          <w:u w:val="single"/>
        </w:rPr>
      </w:pPr>
    </w:p>
    <w:p w14:paraId="68F2806A" w14:textId="77777777" w:rsidR="00D059C6" w:rsidRDefault="00D059C6" w:rsidP="00E15BF2">
      <w:pPr>
        <w:pStyle w:val="DARDEqualityText"/>
        <w:spacing w:line="240" w:lineRule="auto"/>
      </w:pPr>
    </w:p>
    <w:p w14:paraId="3A355E71" w14:textId="77777777" w:rsidR="00D059C6" w:rsidRDefault="00D059C6" w:rsidP="00E15BF2">
      <w:pPr>
        <w:pStyle w:val="DARDEqualityText"/>
        <w:spacing w:line="240" w:lineRule="auto"/>
      </w:pPr>
    </w:p>
    <w:p w14:paraId="2C74D92A" w14:textId="77777777" w:rsidR="00D059C6" w:rsidRDefault="00D059C6" w:rsidP="00E15BF2">
      <w:pPr>
        <w:pStyle w:val="DARDEqualityText"/>
        <w:spacing w:line="240" w:lineRule="auto"/>
      </w:pPr>
    </w:p>
    <w:p w14:paraId="19BBD802" w14:textId="77777777" w:rsidR="00D059C6" w:rsidRDefault="00D059C6" w:rsidP="00E15BF2">
      <w:pPr>
        <w:pStyle w:val="DARDEqualityText"/>
        <w:spacing w:line="240" w:lineRule="auto"/>
      </w:pPr>
    </w:p>
    <w:p w14:paraId="565A7D99" w14:textId="77777777" w:rsidR="00202D9F" w:rsidRDefault="00202D9F">
      <w:pPr>
        <w:pStyle w:val="DARDEqualityText"/>
        <w:spacing w:line="240" w:lineRule="auto"/>
      </w:pPr>
    </w:p>
    <w:p w14:paraId="68912B40" w14:textId="77777777" w:rsidR="000A1FB1" w:rsidRDefault="000A1FB1">
      <w:pPr>
        <w:pStyle w:val="DARDEqualityText"/>
        <w:spacing w:before="100" w:line="240" w:lineRule="auto"/>
        <w:rPr>
          <w:sz w:val="56"/>
        </w:rPr>
      </w:pPr>
    </w:p>
    <w:p w14:paraId="243519D5" w14:textId="77777777" w:rsidR="00B96E27" w:rsidRDefault="00406F18">
      <w:pPr>
        <w:pStyle w:val="DARDEqualityText"/>
        <w:spacing w:before="100" w:line="240" w:lineRule="auto"/>
        <w:rPr>
          <w:szCs w:val="28"/>
        </w:rPr>
      </w:pPr>
      <w:r>
        <w:rPr>
          <w:sz w:val="56"/>
        </w:rPr>
        <w:pict w14:anchorId="0A7CAAA3">
          <v:shape id="_x0000_i1029" type="#_x0000_t75" style="width:269.55pt;height:71.4pt">
            <v:imagedata r:id="rId11" o:title="A4 DAERA Logo process"/>
          </v:shape>
        </w:pict>
      </w:r>
    </w:p>
    <w:p w14:paraId="242CC338" w14:textId="77777777" w:rsidR="000A1FB1" w:rsidRDefault="000A1FB1" w:rsidP="00D47DB7">
      <w:pPr>
        <w:pStyle w:val="DARDEqualityText"/>
        <w:spacing w:before="100"/>
        <w:rPr>
          <w:b/>
          <w:szCs w:val="28"/>
        </w:rPr>
      </w:pPr>
      <w:r w:rsidRPr="000A1FB1">
        <w:rPr>
          <w:b/>
          <w:szCs w:val="28"/>
        </w:rPr>
        <w:t>Annex A</w:t>
      </w:r>
    </w:p>
    <w:p w14:paraId="6449EFB7"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37E3E6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D2D10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4DCB8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90DE9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14:paraId="0AB7684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928FC9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46FC4B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EDA085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D7F52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885BD5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DBEDE7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E689BB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E29E53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14:paraId="484C2C6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D4F493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5B7F9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DF32F8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5723B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4A6C524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89D59D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78C641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FE8E88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52C530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07A66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52BFC03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13F0C9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D3300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2E5A22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B964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C11EEC6"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70203D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35AF85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14:paraId="03F63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7C04E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78C095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24E9B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CADA27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3F022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42784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790DC53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2052AA8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E6448F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85022B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550B16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3B29DFB"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63465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8DDB6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27FFC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38C2F9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0A737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FCA499"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A4371E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7569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4E27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14:paraId="105C619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19A87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A5FB9D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56834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9AC7D9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959F19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96773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96748E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A647EF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C669FCB"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80D0A1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748B19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14:paraId="2AD14E9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AC19A5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04A5252"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E44EA6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E170B9"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AE33F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10D2F0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D1E95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CF1D20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14:paraId="3413101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A5D090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E2F9CF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3A4B61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0EBA4A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9130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BFCDF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14:paraId="0F0D419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A99FF32"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0DFE3A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82C4F6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6EE4FC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772B5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9C726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14:paraId="5818861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DE2B2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 xml:space="preserve">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92A537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7D1672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6E47D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C6B77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E79C2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14:paraId="701DDF8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15F6F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6AF69C4"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2798B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BF5EEC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4D6FD7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36C5E9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14:paraId="619B29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9577C4"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9204B8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6FD81A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66301A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F439A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14:paraId="5F7C560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FE12F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1129F981" w14:textId="77777777" w:rsidR="000A1FB1" w:rsidRDefault="000A1FB1" w:rsidP="00D47DB7">
      <w:pPr>
        <w:spacing w:line="360" w:lineRule="auto"/>
        <w:rPr>
          <w:rFonts w:ascii="Arial" w:hAnsi="Arial" w:cs="Arial"/>
          <w:sz w:val="23"/>
          <w:szCs w:val="23"/>
        </w:rPr>
      </w:pPr>
    </w:p>
    <w:p w14:paraId="12557BB2" w14:textId="77777777" w:rsidR="00D47DB7" w:rsidRDefault="00D47DB7" w:rsidP="00D47DB7">
      <w:pPr>
        <w:spacing w:line="360" w:lineRule="auto"/>
        <w:rPr>
          <w:rFonts w:ascii="Arial" w:hAnsi="Arial" w:cs="Arial"/>
          <w:sz w:val="23"/>
          <w:szCs w:val="23"/>
        </w:rPr>
      </w:pPr>
    </w:p>
    <w:p w14:paraId="7477071F" w14:textId="77777777" w:rsidR="00D47DB7" w:rsidRDefault="00D47DB7" w:rsidP="00D47DB7">
      <w:pPr>
        <w:spacing w:line="360" w:lineRule="auto"/>
        <w:rPr>
          <w:rFonts w:ascii="Arial" w:hAnsi="Arial" w:cs="Arial"/>
          <w:sz w:val="23"/>
          <w:szCs w:val="23"/>
        </w:rPr>
      </w:pPr>
    </w:p>
    <w:p w14:paraId="15591797" w14:textId="77777777" w:rsidR="00D47DB7" w:rsidRDefault="00D47DB7" w:rsidP="00D47DB7">
      <w:pPr>
        <w:spacing w:line="360" w:lineRule="auto"/>
        <w:rPr>
          <w:rFonts w:ascii="Arial" w:hAnsi="Arial" w:cs="Arial"/>
          <w:sz w:val="23"/>
          <w:szCs w:val="23"/>
        </w:rPr>
      </w:pPr>
    </w:p>
    <w:p w14:paraId="15EAC1EB" w14:textId="77777777" w:rsidR="00D47DB7" w:rsidRDefault="00D47DB7" w:rsidP="00D47DB7">
      <w:pPr>
        <w:spacing w:line="360" w:lineRule="auto"/>
        <w:rPr>
          <w:rFonts w:ascii="Arial" w:hAnsi="Arial" w:cs="Arial"/>
          <w:sz w:val="23"/>
          <w:szCs w:val="23"/>
        </w:rPr>
      </w:pPr>
    </w:p>
    <w:p w14:paraId="6A1E017A" w14:textId="77777777" w:rsidR="00D47DB7" w:rsidRDefault="00D47DB7" w:rsidP="00D47DB7">
      <w:pPr>
        <w:spacing w:line="360" w:lineRule="auto"/>
        <w:rPr>
          <w:rFonts w:ascii="Arial" w:hAnsi="Arial" w:cs="Arial"/>
          <w:sz w:val="23"/>
          <w:szCs w:val="23"/>
        </w:rPr>
      </w:pPr>
    </w:p>
    <w:p w14:paraId="1C2B8C80" w14:textId="77777777" w:rsidR="00D47DB7" w:rsidRDefault="00D47DB7" w:rsidP="00D47DB7">
      <w:pPr>
        <w:spacing w:line="360" w:lineRule="auto"/>
        <w:rPr>
          <w:rFonts w:ascii="Arial" w:hAnsi="Arial" w:cs="Arial"/>
          <w:sz w:val="23"/>
          <w:szCs w:val="23"/>
        </w:rPr>
      </w:pPr>
    </w:p>
    <w:p w14:paraId="4DB9C28C" w14:textId="77777777" w:rsidR="00D47DB7" w:rsidRDefault="00D47DB7" w:rsidP="00D47DB7">
      <w:pPr>
        <w:spacing w:line="360" w:lineRule="auto"/>
        <w:rPr>
          <w:rFonts w:ascii="Arial" w:hAnsi="Arial" w:cs="Arial"/>
          <w:sz w:val="23"/>
          <w:szCs w:val="23"/>
        </w:rPr>
      </w:pPr>
    </w:p>
    <w:p w14:paraId="6A69499A" w14:textId="77777777" w:rsidR="00D47DB7" w:rsidRDefault="00D47DB7" w:rsidP="00D47DB7">
      <w:pPr>
        <w:spacing w:line="360" w:lineRule="auto"/>
        <w:rPr>
          <w:rFonts w:ascii="Arial" w:hAnsi="Arial" w:cs="Arial"/>
          <w:sz w:val="23"/>
          <w:szCs w:val="23"/>
        </w:rPr>
      </w:pPr>
    </w:p>
    <w:p w14:paraId="6439837E"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D765DD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0FB4F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14:paraId="141E5EB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C257F14"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5891D3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832F06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3D20B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51C038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BF90E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14:paraId="0627DA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1EB756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104C3B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ED44920"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10612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108BD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14:paraId="4756DC1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4735DD"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8EA4D8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59A0" w14:textId="77777777" w:rsidR="00CF693D" w:rsidRDefault="00CF693D">
      <w:r>
        <w:separator/>
      </w:r>
    </w:p>
  </w:endnote>
  <w:endnote w:type="continuationSeparator" w:id="0">
    <w:p w14:paraId="05A16DF6" w14:textId="77777777" w:rsidR="00CF693D" w:rsidRDefault="00CF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5956" w14:textId="77777777" w:rsidR="00CF693D" w:rsidRDefault="00CF693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0E160" w14:textId="77777777" w:rsidR="00CF693D" w:rsidRDefault="00CF693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AEFF" w14:textId="77777777" w:rsidR="00CF693D" w:rsidRDefault="00CF693D">
    <w:pPr>
      <w:pStyle w:val="Footer"/>
    </w:pPr>
    <w:r>
      <w:t>[Type here]</w:t>
    </w:r>
  </w:p>
  <w:p w14:paraId="64013D55" w14:textId="77777777" w:rsidR="00CF693D" w:rsidRDefault="00CF693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482A" w14:textId="77777777" w:rsidR="00CF693D" w:rsidRDefault="00CF693D">
    <w:pPr>
      <w:pStyle w:val="Footer"/>
      <w:jc w:val="center"/>
    </w:pPr>
    <w:r>
      <w:fldChar w:fldCharType="begin"/>
    </w:r>
    <w:r>
      <w:instrText xml:space="preserve"> PAGE   \* MERGEFORMAT </w:instrText>
    </w:r>
    <w:r>
      <w:fldChar w:fldCharType="separate"/>
    </w:r>
    <w:r w:rsidR="00406F18">
      <w:rPr>
        <w:noProof/>
      </w:rPr>
      <w:t>5</w:t>
    </w:r>
    <w:r>
      <w:rPr>
        <w:noProof/>
      </w:rPr>
      <w:fldChar w:fldCharType="end"/>
    </w:r>
  </w:p>
  <w:p w14:paraId="35547E01" w14:textId="77777777" w:rsidR="00CF693D" w:rsidRDefault="00CF693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F2E7" w14:textId="77777777" w:rsidR="00CF693D" w:rsidRDefault="00CF693D">
      <w:r>
        <w:separator/>
      </w:r>
    </w:p>
  </w:footnote>
  <w:footnote w:type="continuationSeparator" w:id="0">
    <w:p w14:paraId="0806B239" w14:textId="77777777" w:rsidR="00CF693D" w:rsidRDefault="00CF693D">
      <w:r>
        <w:continuationSeparator/>
      </w:r>
    </w:p>
  </w:footnote>
  <w:footnote w:id="1">
    <w:p w14:paraId="427BE95D" w14:textId="77777777" w:rsidR="00CF693D" w:rsidRPr="00132B12" w:rsidRDefault="00CF693D">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26B47751" w14:textId="77777777" w:rsidR="00CF693D" w:rsidRPr="00DA42B7" w:rsidRDefault="00CF693D" w:rsidP="005534C3">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745232CB" w14:textId="77777777" w:rsidR="00CF693D" w:rsidRPr="00132B12" w:rsidRDefault="00CF693D">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07383D2" w14:textId="77777777" w:rsidR="00CF693D" w:rsidRPr="003B72DF" w:rsidRDefault="00CF693D" w:rsidP="005534C3">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3A94BC52" w14:textId="77777777" w:rsidR="00CF693D" w:rsidRPr="00EB40E6" w:rsidRDefault="00CF693D">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770975FE" w14:textId="77777777" w:rsidR="00CF693D" w:rsidRPr="00864E32" w:rsidRDefault="00CF693D">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1009A2B" w14:textId="77777777" w:rsidR="00CF693D" w:rsidRPr="00DE6B9E" w:rsidRDefault="00CF693D" w:rsidP="005534C3">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4F273811" w14:textId="77777777" w:rsidR="00CF693D" w:rsidRPr="006C7DD2" w:rsidRDefault="00CF693D" w:rsidP="005534C3">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2E9EB2DA" w14:textId="77777777" w:rsidR="00CF693D" w:rsidRPr="00834BC1" w:rsidRDefault="00CF693D">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19402466" w14:textId="77777777" w:rsidR="00CF693D" w:rsidRPr="00DD192F" w:rsidRDefault="00CF693D" w:rsidP="005534C3">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4CC1104E" w14:textId="77777777" w:rsidR="00CF693D" w:rsidRPr="00834BC1" w:rsidRDefault="00CF693D">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259B6378" w14:textId="77777777" w:rsidR="00CF693D" w:rsidRPr="00834BC1" w:rsidRDefault="00CF693D">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5543B1FB" w14:textId="77777777" w:rsidR="00CF693D" w:rsidRPr="00947D74" w:rsidRDefault="00CF693D">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210FDDA6" w14:textId="77777777" w:rsidR="00CF693D" w:rsidRPr="00947D74" w:rsidRDefault="00CF693D">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78B6FF9E" w14:textId="77777777" w:rsidR="00CF693D" w:rsidRPr="00500A64" w:rsidRDefault="00CF693D" w:rsidP="005534C3">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proofErr w:type="spellStart"/>
      <w:r w:rsidRPr="00500A64">
        <w:rPr>
          <w:rFonts w:ascii="Times New Roman" w:hAnsi="Times New Roman"/>
          <w:sz w:val="20"/>
        </w:rPr>
        <w:t>Shorthall</w:t>
      </w:r>
      <w:proofErr w:type="spellEnd"/>
      <w:r w:rsidRPr="00500A64">
        <w:rPr>
          <w:rFonts w:ascii="Times New Roman" w:hAnsi="Times New Roman"/>
          <w:sz w:val="20"/>
        </w:rPr>
        <w:t xml:space="preserve">, S. (2003). Women in Rural Areas in NI: A Policy Discussion Document. The Rural Community Network NI, </w:t>
      </w:r>
      <w:proofErr w:type="spellStart"/>
      <w:r w:rsidRPr="00500A64">
        <w:rPr>
          <w:rFonts w:ascii="Times New Roman" w:hAnsi="Times New Roman"/>
          <w:sz w:val="20"/>
        </w:rPr>
        <w:t>Cookstown</w:t>
      </w:r>
      <w:proofErr w:type="spellEnd"/>
      <w:r>
        <w:rPr>
          <w:sz w:val="13"/>
          <w:szCs w:val="13"/>
        </w:rPr>
        <w:t xml:space="preserve"> </w:t>
      </w:r>
      <w:r>
        <w:t xml:space="preserve"> </w:t>
      </w:r>
    </w:p>
  </w:footnote>
  <w:footnote w:id="16">
    <w:p w14:paraId="1F795A32" w14:textId="77777777" w:rsidR="00CF693D" w:rsidRPr="00B4199F" w:rsidRDefault="00CF693D" w:rsidP="005534C3">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0D85E524" w14:textId="77777777" w:rsidR="00CF693D" w:rsidRPr="007D42EF" w:rsidRDefault="00CF693D" w:rsidP="005534C3">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4B459A9" w14:textId="77777777" w:rsidR="00CF693D" w:rsidRPr="00863504" w:rsidRDefault="00CF693D" w:rsidP="005534C3">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75E0A273" w14:textId="77777777" w:rsidR="00CF693D" w:rsidRPr="00227410" w:rsidRDefault="00CF693D">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45C511DC" w14:textId="77777777" w:rsidR="00CF693D" w:rsidRPr="005322DB" w:rsidRDefault="00CF693D" w:rsidP="005534C3">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344AF6F8" w14:textId="77777777" w:rsidR="00CF693D" w:rsidRPr="00227410" w:rsidRDefault="00CF693D" w:rsidP="00227410">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36E" w14:textId="77777777" w:rsidR="00CF693D" w:rsidRDefault="00CF693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1"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18"/>
  </w:num>
  <w:num w:numId="6">
    <w:abstractNumId w:val="13"/>
  </w:num>
  <w:num w:numId="7">
    <w:abstractNumId w:val="3"/>
  </w:num>
  <w:num w:numId="8">
    <w:abstractNumId w:val="22"/>
  </w:num>
  <w:num w:numId="9">
    <w:abstractNumId w:val="24"/>
  </w:num>
  <w:num w:numId="10">
    <w:abstractNumId w:val="21"/>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9"/>
  </w:num>
  <w:num w:numId="18">
    <w:abstractNumId w:val="11"/>
  </w:num>
  <w:num w:numId="19">
    <w:abstractNumId w:val="15"/>
  </w:num>
  <w:num w:numId="20">
    <w:abstractNumId w:val="16"/>
  </w:num>
  <w:num w:numId="21">
    <w:abstractNumId w:val="8"/>
  </w:num>
  <w:num w:numId="22">
    <w:abstractNumId w:val="1"/>
  </w:num>
  <w:num w:numId="23">
    <w:abstractNumId w:val="6"/>
  </w:num>
  <w:num w:numId="24">
    <w:abstractNumId w:val="5"/>
  </w:num>
  <w:num w:numId="25">
    <w:abstractNumId w:val="17"/>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06CA"/>
    <w:rsid w:val="00001C0F"/>
    <w:rsid w:val="000060B7"/>
    <w:rsid w:val="000109BD"/>
    <w:rsid w:val="00011002"/>
    <w:rsid w:val="00014376"/>
    <w:rsid w:val="0002349A"/>
    <w:rsid w:val="000247DA"/>
    <w:rsid w:val="00042940"/>
    <w:rsid w:val="000532C6"/>
    <w:rsid w:val="00053B50"/>
    <w:rsid w:val="00054968"/>
    <w:rsid w:val="00073F4D"/>
    <w:rsid w:val="000763FE"/>
    <w:rsid w:val="00092067"/>
    <w:rsid w:val="000A1FB1"/>
    <w:rsid w:val="000A57E9"/>
    <w:rsid w:val="000C0080"/>
    <w:rsid w:val="000C1464"/>
    <w:rsid w:val="000D68B0"/>
    <w:rsid w:val="000E173E"/>
    <w:rsid w:val="000E207C"/>
    <w:rsid w:val="000E5B9B"/>
    <w:rsid w:val="000F0C4D"/>
    <w:rsid w:val="001015C2"/>
    <w:rsid w:val="00105C0B"/>
    <w:rsid w:val="001163E8"/>
    <w:rsid w:val="001262D9"/>
    <w:rsid w:val="00130D46"/>
    <w:rsid w:val="00131341"/>
    <w:rsid w:val="00132B12"/>
    <w:rsid w:val="00135041"/>
    <w:rsid w:val="00136652"/>
    <w:rsid w:val="00162902"/>
    <w:rsid w:val="00171C9C"/>
    <w:rsid w:val="00173641"/>
    <w:rsid w:val="001906D5"/>
    <w:rsid w:val="00194483"/>
    <w:rsid w:val="001A0E53"/>
    <w:rsid w:val="001A2665"/>
    <w:rsid w:val="001A6E80"/>
    <w:rsid w:val="001B0109"/>
    <w:rsid w:val="001B1370"/>
    <w:rsid w:val="001C051C"/>
    <w:rsid w:val="001C32B5"/>
    <w:rsid w:val="001C6ED2"/>
    <w:rsid w:val="001C7443"/>
    <w:rsid w:val="001E348D"/>
    <w:rsid w:val="001F26FA"/>
    <w:rsid w:val="00202D9F"/>
    <w:rsid w:val="00205ECA"/>
    <w:rsid w:val="002171F1"/>
    <w:rsid w:val="0021778B"/>
    <w:rsid w:val="0022257B"/>
    <w:rsid w:val="00224B4F"/>
    <w:rsid w:val="00227410"/>
    <w:rsid w:val="00227481"/>
    <w:rsid w:val="00227800"/>
    <w:rsid w:val="00230293"/>
    <w:rsid w:val="002431B2"/>
    <w:rsid w:val="00250BA2"/>
    <w:rsid w:val="00263CB6"/>
    <w:rsid w:val="00264635"/>
    <w:rsid w:val="002658B1"/>
    <w:rsid w:val="0027081E"/>
    <w:rsid w:val="00281A61"/>
    <w:rsid w:val="00284C95"/>
    <w:rsid w:val="00295734"/>
    <w:rsid w:val="002A6223"/>
    <w:rsid w:val="002A6A7D"/>
    <w:rsid w:val="002A72E8"/>
    <w:rsid w:val="002B1C37"/>
    <w:rsid w:val="002B5F03"/>
    <w:rsid w:val="002B7D3D"/>
    <w:rsid w:val="002D27B6"/>
    <w:rsid w:val="002D519B"/>
    <w:rsid w:val="002D65A6"/>
    <w:rsid w:val="002E4391"/>
    <w:rsid w:val="002E4442"/>
    <w:rsid w:val="002E4E7C"/>
    <w:rsid w:val="002E6A0E"/>
    <w:rsid w:val="002F4B72"/>
    <w:rsid w:val="003041FF"/>
    <w:rsid w:val="003052DB"/>
    <w:rsid w:val="00311506"/>
    <w:rsid w:val="00311A8D"/>
    <w:rsid w:val="0031243D"/>
    <w:rsid w:val="00314406"/>
    <w:rsid w:val="00321C2D"/>
    <w:rsid w:val="00321F11"/>
    <w:rsid w:val="00322747"/>
    <w:rsid w:val="0035253F"/>
    <w:rsid w:val="00366647"/>
    <w:rsid w:val="00375C4D"/>
    <w:rsid w:val="003819B4"/>
    <w:rsid w:val="00394485"/>
    <w:rsid w:val="00397C76"/>
    <w:rsid w:val="003B12B1"/>
    <w:rsid w:val="003B146D"/>
    <w:rsid w:val="003B5D00"/>
    <w:rsid w:val="003C3FAE"/>
    <w:rsid w:val="003D15A4"/>
    <w:rsid w:val="003D1DAC"/>
    <w:rsid w:val="00406F18"/>
    <w:rsid w:val="0046189D"/>
    <w:rsid w:val="00462813"/>
    <w:rsid w:val="00465279"/>
    <w:rsid w:val="00465FBD"/>
    <w:rsid w:val="004738FB"/>
    <w:rsid w:val="0047531B"/>
    <w:rsid w:val="004830AF"/>
    <w:rsid w:val="00486A07"/>
    <w:rsid w:val="004A3DE5"/>
    <w:rsid w:val="004B6158"/>
    <w:rsid w:val="004B65E9"/>
    <w:rsid w:val="004D6559"/>
    <w:rsid w:val="004D7311"/>
    <w:rsid w:val="004E2A95"/>
    <w:rsid w:val="004E64BD"/>
    <w:rsid w:val="004F6BFB"/>
    <w:rsid w:val="00506394"/>
    <w:rsid w:val="00512C52"/>
    <w:rsid w:val="00514462"/>
    <w:rsid w:val="00534CE3"/>
    <w:rsid w:val="005534C3"/>
    <w:rsid w:val="00563ED4"/>
    <w:rsid w:val="00570052"/>
    <w:rsid w:val="005715F8"/>
    <w:rsid w:val="0057584A"/>
    <w:rsid w:val="0058299D"/>
    <w:rsid w:val="00586718"/>
    <w:rsid w:val="0059008F"/>
    <w:rsid w:val="005B2EC3"/>
    <w:rsid w:val="005C03E2"/>
    <w:rsid w:val="005D0A14"/>
    <w:rsid w:val="005D423D"/>
    <w:rsid w:val="005E5230"/>
    <w:rsid w:val="005E5692"/>
    <w:rsid w:val="00602BD5"/>
    <w:rsid w:val="00607423"/>
    <w:rsid w:val="00607CB9"/>
    <w:rsid w:val="0061085C"/>
    <w:rsid w:val="00614BC2"/>
    <w:rsid w:val="00640371"/>
    <w:rsid w:val="00644CBC"/>
    <w:rsid w:val="00661EEE"/>
    <w:rsid w:val="006713FE"/>
    <w:rsid w:val="00677852"/>
    <w:rsid w:val="0069174E"/>
    <w:rsid w:val="00691A68"/>
    <w:rsid w:val="00697695"/>
    <w:rsid w:val="006A1F17"/>
    <w:rsid w:val="006A2EB8"/>
    <w:rsid w:val="006A54E5"/>
    <w:rsid w:val="006A73A4"/>
    <w:rsid w:val="006B7041"/>
    <w:rsid w:val="006C5BF5"/>
    <w:rsid w:val="006C7DA9"/>
    <w:rsid w:val="006D2BA5"/>
    <w:rsid w:val="006E48EB"/>
    <w:rsid w:val="006E6ADD"/>
    <w:rsid w:val="006F2B78"/>
    <w:rsid w:val="00701A79"/>
    <w:rsid w:val="00716554"/>
    <w:rsid w:val="00723D15"/>
    <w:rsid w:val="00730BFC"/>
    <w:rsid w:val="0077251C"/>
    <w:rsid w:val="007731AE"/>
    <w:rsid w:val="007775BD"/>
    <w:rsid w:val="007811C0"/>
    <w:rsid w:val="007920B2"/>
    <w:rsid w:val="00794B03"/>
    <w:rsid w:val="007B29F0"/>
    <w:rsid w:val="007C126B"/>
    <w:rsid w:val="007C7078"/>
    <w:rsid w:val="007D37EA"/>
    <w:rsid w:val="007F2A36"/>
    <w:rsid w:val="007F311C"/>
    <w:rsid w:val="007F720E"/>
    <w:rsid w:val="00803CD9"/>
    <w:rsid w:val="00807323"/>
    <w:rsid w:val="00810580"/>
    <w:rsid w:val="00817FBA"/>
    <w:rsid w:val="00821173"/>
    <w:rsid w:val="008275C7"/>
    <w:rsid w:val="00834BC1"/>
    <w:rsid w:val="008370F8"/>
    <w:rsid w:val="008416A5"/>
    <w:rsid w:val="00844311"/>
    <w:rsid w:val="00844708"/>
    <w:rsid w:val="008461B5"/>
    <w:rsid w:val="00855DA3"/>
    <w:rsid w:val="00861896"/>
    <w:rsid w:val="00862D63"/>
    <w:rsid w:val="00864E32"/>
    <w:rsid w:val="00866C8E"/>
    <w:rsid w:val="0088236D"/>
    <w:rsid w:val="0089605C"/>
    <w:rsid w:val="008A2DB4"/>
    <w:rsid w:val="008A59FD"/>
    <w:rsid w:val="008D29E0"/>
    <w:rsid w:val="008D79BF"/>
    <w:rsid w:val="008E13D2"/>
    <w:rsid w:val="008E6AB7"/>
    <w:rsid w:val="00903CEB"/>
    <w:rsid w:val="00912813"/>
    <w:rsid w:val="009159AF"/>
    <w:rsid w:val="00916054"/>
    <w:rsid w:val="00916911"/>
    <w:rsid w:val="009176B4"/>
    <w:rsid w:val="0093252B"/>
    <w:rsid w:val="00937FE9"/>
    <w:rsid w:val="009462F8"/>
    <w:rsid w:val="00947D74"/>
    <w:rsid w:val="009508BA"/>
    <w:rsid w:val="00952B75"/>
    <w:rsid w:val="00952DA9"/>
    <w:rsid w:val="00956B34"/>
    <w:rsid w:val="00956C57"/>
    <w:rsid w:val="00963E15"/>
    <w:rsid w:val="00967982"/>
    <w:rsid w:val="00982DE0"/>
    <w:rsid w:val="009846B8"/>
    <w:rsid w:val="00997064"/>
    <w:rsid w:val="009A1E33"/>
    <w:rsid w:val="009B6775"/>
    <w:rsid w:val="009C7ABC"/>
    <w:rsid w:val="009D6A39"/>
    <w:rsid w:val="009D7DB3"/>
    <w:rsid w:val="009E0138"/>
    <w:rsid w:val="009E023B"/>
    <w:rsid w:val="009F31D9"/>
    <w:rsid w:val="009F4E30"/>
    <w:rsid w:val="009F6574"/>
    <w:rsid w:val="00A04139"/>
    <w:rsid w:val="00A251A6"/>
    <w:rsid w:val="00A32E7A"/>
    <w:rsid w:val="00A42679"/>
    <w:rsid w:val="00A551D1"/>
    <w:rsid w:val="00A631B1"/>
    <w:rsid w:val="00A63A94"/>
    <w:rsid w:val="00A65ECA"/>
    <w:rsid w:val="00A71176"/>
    <w:rsid w:val="00A73FCC"/>
    <w:rsid w:val="00AA7425"/>
    <w:rsid w:val="00AB0AD7"/>
    <w:rsid w:val="00AB34AA"/>
    <w:rsid w:val="00AC4C46"/>
    <w:rsid w:val="00AD47F1"/>
    <w:rsid w:val="00AE3B4B"/>
    <w:rsid w:val="00AE5F35"/>
    <w:rsid w:val="00AE771C"/>
    <w:rsid w:val="00AF0043"/>
    <w:rsid w:val="00AF1941"/>
    <w:rsid w:val="00AF396B"/>
    <w:rsid w:val="00B00B78"/>
    <w:rsid w:val="00B2029E"/>
    <w:rsid w:val="00B23698"/>
    <w:rsid w:val="00B252B2"/>
    <w:rsid w:val="00B35098"/>
    <w:rsid w:val="00B60891"/>
    <w:rsid w:val="00B63608"/>
    <w:rsid w:val="00B7098C"/>
    <w:rsid w:val="00B90197"/>
    <w:rsid w:val="00B966AE"/>
    <w:rsid w:val="00B96E27"/>
    <w:rsid w:val="00BA751D"/>
    <w:rsid w:val="00BA7CB6"/>
    <w:rsid w:val="00BC05CA"/>
    <w:rsid w:val="00BC32D3"/>
    <w:rsid w:val="00BC3F3B"/>
    <w:rsid w:val="00BC6346"/>
    <w:rsid w:val="00BE7A92"/>
    <w:rsid w:val="00BF7786"/>
    <w:rsid w:val="00C04C4B"/>
    <w:rsid w:val="00C075D9"/>
    <w:rsid w:val="00C106EB"/>
    <w:rsid w:val="00C16C5F"/>
    <w:rsid w:val="00C16E00"/>
    <w:rsid w:val="00C17092"/>
    <w:rsid w:val="00C30F41"/>
    <w:rsid w:val="00C47FCA"/>
    <w:rsid w:val="00C50901"/>
    <w:rsid w:val="00C87FE8"/>
    <w:rsid w:val="00C91E99"/>
    <w:rsid w:val="00C92FA5"/>
    <w:rsid w:val="00C946E4"/>
    <w:rsid w:val="00CA0BB5"/>
    <w:rsid w:val="00CA7F26"/>
    <w:rsid w:val="00CB01BD"/>
    <w:rsid w:val="00CB4313"/>
    <w:rsid w:val="00CB7BD3"/>
    <w:rsid w:val="00CC0E7F"/>
    <w:rsid w:val="00CC25DA"/>
    <w:rsid w:val="00CC5C4C"/>
    <w:rsid w:val="00CE3512"/>
    <w:rsid w:val="00CE4727"/>
    <w:rsid w:val="00CF693D"/>
    <w:rsid w:val="00D059C6"/>
    <w:rsid w:val="00D07258"/>
    <w:rsid w:val="00D129E0"/>
    <w:rsid w:val="00D14B5C"/>
    <w:rsid w:val="00D20045"/>
    <w:rsid w:val="00D3051B"/>
    <w:rsid w:val="00D363AA"/>
    <w:rsid w:val="00D425F3"/>
    <w:rsid w:val="00D47DB7"/>
    <w:rsid w:val="00D539BB"/>
    <w:rsid w:val="00D64449"/>
    <w:rsid w:val="00D72D62"/>
    <w:rsid w:val="00D74B55"/>
    <w:rsid w:val="00D7631B"/>
    <w:rsid w:val="00D9704D"/>
    <w:rsid w:val="00DA08E6"/>
    <w:rsid w:val="00DA148F"/>
    <w:rsid w:val="00DA2C64"/>
    <w:rsid w:val="00DC2867"/>
    <w:rsid w:val="00DC5514"/>
    <w:rsid w:val="00DD4199"/>
    <w:rsid w:val="00DD697A"/>
    <w:rsid w:val="00DE076F"/>
    <w:rsid w:val="00DE1A1C"/>
    <w:rsid w:val="00DE2128"/>
    <w:rsid w:val="00DE6906"/>
    <w:rsid w:val="00DF6C1E"/>
    <w:rsid w:val="00E12311"/>
    <w:rsid w:val="00E14398"/>
    <w:rsid w:val="00E15BF2"/>
    <w:rsid w:val="00E22308"/>
    <w:rsid w:val="00E42DD3"/>
    <w:rsid w:val="00E475DE"/>
    <w:rsid w:val="00E550A9"/>
    <w:rsid w:val="00E57AEE"/>
    <w:rsid w:val="00E70E6C"/>
    <w:rsid w:val="00E83245"/>
    <w:rsid w:val="00E85D82"/>
    <w:rsid w:val="00E90069"/>
    <w:rsid w:val="00EA1E36"/>
    <w:rsid w:val="00EA7D92"/>
    <w:rsid w:val="00EB116D"/>
    <w:rsid w:val="00EB403B"/>
    <w:rsid w:val="00EB40E6"/>
    <w:rsid w:val="00EB4A94"/>
    <w:rsid w:val="00EB53FA"/>
    <w:rsid w:val="00EB6CC7"/>
    <w:rsid w:val="00EB7848"/>
    <w:rsid w:val="00ED654B"/>
    <w:rsid w:val="00EE29A4"/>
    <w:rsid w:val="00EE572E"/>
    <w:rsid w:val="00F018BD"/>
    <w:rsid w:val="00F07814"/>
    <w:rsid w:val="00F127D4"/>
    <w:rsid w:val="00F162DA"/>
    <w:rsid w:val="00F22301"/>
    <w:rsid w:val="00F317D8"/>
    <w:rsid w:val="00F326D0"/>
    <w:rsid w:val="00F41252"/>
    <w:rsid w:val="00F43C60"/>
    <w:rsid w:val="00F52437"/>
    <w:rsid w:val="00F52D58"/>
    <w:rsid w:val="00F54920"/>
    <w:rsid w:val="00F54A3E"/>
    <w:rsid w:val="00F5561D"/>
    <w:rsid w:val="00F57C37"/>
    <w:rsid w:val="00F642E2"/>
    <w:rsid w:val="00F659F1"/>
    <w:rsid w:val="00F77F77"/>
    <w:rsid w:val="00F92B0D"/>
    <w:rsid w:val="00FA407E"/>
    <w:rsid w:val="00FA5C2B"/>
    <w:rsid w:val="00FB4A33"/>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61372A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5534C3"/>
    <w:rPr>
      <w:lang w:val="en-US" w:eastAsia="en-US"/>
    </w:rPr>
  </w:style>
  <w:style w:type="paragraph" w:customStyle="1" w:styleId="Default">
    <w:name w:val="Default"/>
    <w:rsid w:val="005534C3"/>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397C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33912186">
      <w:bodyDiv w:val="1"/>
      <w:marLeft w:val="0"/>
      <w:marRight w:val="0"/>
      <w:marTop w:val="0"/>
      <w:marBottom w:val="0"/>
      <w:divBdr>
        <w:top w:val="none" w:sz="0" w:space="0" w:color="auto"/>
        <w:left w:val="none" w:sz="0" w:space="0" w:color="auto"/>
        <w:bottom w:val="none" w:sz="0" w:space="0" w:color="auto"/>
        <w:right w:val="none" w:sz="0" w:space="0" w:color="auto"/>
      </w:divBdr>
    </w:div>
    <w:div w:id="20552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branch@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E3772-AEEB-4EE7-9E03-A955DB85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26</Pages>
  <Words>5514</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34894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112</cp:revision>
  <cp:lastPrinted>2018-11-12T15:08:00Z</cp:lastPrinted>
  <dcterms:created xsi:type="dcterms:W3CDTF">2017-11-15T14:30:00Z</dcterms:created>
  <dcterms:modified xsi:type="dcterms:W3CDTF">2019-01-29T09:39:00Z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