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1EA7" w14:textId="77777777" w:rsidR="00B37803" w:rsidRPr="00A929CD" w:rsidRDefault="0071606A" w:rsidP="00811D8F">
      <w:pPr>
        <w:ind w:left="720" w:firstLine="720"/>
        <w:outlineLvl w:val="0"/>
        <w:rPr>
          <w:rFonts w:ascii="Arial" w:hAnsi="Arial" w:cs="Arial"/>
          <w:b/>
        </w:rPr>
      </w:pPr>
      <w:r w:rsidRPr="00A929CD">
        <w:rPr>
          <w:rFonts w:ascii="Arial" w:hAnsi="Arial" w:cs="Arial"/>
          <w:b/>
        </w:rPr>
        <w:t>DAERA</w:t>
      </w:r>
      <w:r w:rsidR="009172CC" w:rsidRPr="00A929CD">
        <w:rPr>
          <w:rFonts w:ascii="Arial" w:hAnsi="Arial" w:cs="Arial"/>
          <w:b/>
        </w:rPr>
        <w:t xml:space="preserve"> </w:t>
      </w:r>
      <w:r w:rsidR="00D74E15" w:rsidRPr="00A929CD">
        <w:rPr>
          <w:rFonts w:ascii="Arial" w:hAnsi="Arial" w:cs="Arial"/>
          <w:b/>
        </w:rPr>
        <w:t>FINANCE</w:t>
      </w:r>
      <w:r w:rsidR="009172CC" w:rsidRPr="00A929CD">
        <w:rPr>
          <w:rFonts w:ascii="Arial" w:hAnsi="Arial" w:cs="Arial"/>
          <w:b/>
        </w:rPr>
        <w:t xml:space="preserve"> </w:t>
      </w:r>
      <w:r w:rsidR="00B37803" w:rsidRPr="00A929CD">
        <w:rPr>
          <w:rFonts w:ascii="Arial" w:hAnsi="Arial" w:cs="Arial"/>
          <w:b/>
        </w:rPr>
        <w:t>COMMITTEE</w:t>
      </w:r>
      <w:r w:rsidR="000F01C6" w:rsidRPr="00A929CD">
        <w:rPr>
          <w:rFonts w:ascii="Arial" w:hAnsi="Arial" w:cs="Arial"/>
          <w:b/>
        </w:rPr>
        <w:t xml:space="preserve"> (FC) MEETING</w:t>
      </w:r>
    </w:p>
    <w:p w14:paraId="696A9BCC" w14:textId="77777777" w:rsidR="00626CFA" w:rsidRPr="00A929CD" w:rsidRDefault="00626CFA" w:rsidP="00B37803">
      <w:pPr>
        <w:jc w:val="center"/>
        <w:outlineLvl w:val="0"/>
        <w:rPr>
          <w:rFonts w:ascii="Arial" w:hAnsi="Arial" w:cs="Arial"/>
          <w:b/>
        </w:rPr>
      </w:pPr>
    </w:p>
    <w:p w14:paraId="39E7C49D" w14:textId="3F821044" w:rsidR="00B37803" w:rsidRPr="00A929CD" w:rsidRDefault="001A100A" w:rsidP="00B3780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 June</w:t>
      </w:r>
      <w:r w:rsidR="00DF7B17">
        <w:rPr>
          <w:rFonts w:ascii="Arial" w:hAnsi="Arial" w:cs="Arial"/>
          <w:b/>
        </w:rPr>
        <w:t xml:space="preserve"> </w:t>
      </w:r>
      <w:r w:rsidR="00974A53">
        <w:rPr>
          <w:rFonts w:ascii="Arial" w:hAnsi="Arial" w:cs="Arial"/>
          <w:b/>
        </w:rPr>
        <w:t>2022</w:t>
      </w:r>
      <w:r w:rsidR="00B37803" w:rsidRPr="00A929CD">
        <w:rPr>
          <w:rFonts w:ascii="Arial" w:hAnsi="Arial" w:cs="Arial"/>
          <w:b/>
        </w:rPr>
        <w:t xml:space="preserve"> @ </w:t>
      </w:r>
      <w:r w:rsidR="00C7479D" w:rsidRPr="00A929CD">
        <w:rPr>
          <w:rFonts w:ascii="Arial" w:hAnsi="Arial" w:cs="Arial"/>
          <w:b/>
        </w:rPr>
        <w:t>14</w:t>
      </w:r>
      <w:r w:rsidR="007F6279" w:rsidRPr="00A929CD">
        <w:rPr>
          <w:rFonts w:ascii="Arial" w:hAnsi="Arial" w:cs="Arial"/>
          <w:b/>
        </w:rPr>
        <w:t>.</w:t>
      </w:r>
      <w:r w:rsidR="002B2DCD" w:rsidRPr="00A929CD">
        <w:rPr>
          <w:rFonts w:ascii="Arial" w:hAnsi="Arial" w:cs="Arial"/>
          <w:b/>
        </w:rPr>
        <w:t>00</w:t>
      </w:r>
      <w:r w:rsidR="00C7479D" w:rsidRPr="00A929CD">
        <w:rPr>
          <w:rFonts w:ascii="Arial" w:hAnsi="Arial" w:cs="Arial"/>
          <w:b/>
        </w:rPr>
        <w:t>-15</w:t>
      </w:r>
      <w:r w:rsidR="00AF6D3E" w:rsidRPr="00A929CD">
        <w:rPr>
          <w:rFonts w:ascii="Arial" w:hAnsi="Arial" w:cs="Arial"/>
          <w:b/>
        </w:rPr>
        <w:t>.</w:t>
      </w:r>
      <w:r w:rsidR="00DF7B17">
        <w:rPr>
          <w:rFonts w:ascii="Arial" w:hAnsi="Arial" w:cs="Arial"/>
          <w:b/>
        </w:rPr>
        <w:t>3</w:t>
      </w:r>
      <w:r w:rsidR="00105DA6">
        <w:rPr>
          <w:rFonts w:ascii="Arial" w:hAnsi="Arial" w:cs="Arial"/>
          <w:b/>
        </w:rPr>
        <w:t>0</w:t>
      </w:r>
    </w:p>
    <w:p w14:paraId="0B6E9D45" w14:textId="77777777" w:rsidR="00626CFA" w:rsidRPr="00A929CD" w:rsidRDefault="00626CFA" w:rsidP="00B37803">
      <w:pPr>
        <w:jc w:val="center"/>
        <w:outlineLvl w:val="0"/>
        <w:rPr>
          <w:rFonts w:ascii="Arial" w:hAnsi="Arial" w:cs="Arial"/>
          <w:b/>
        </w:rPr>
      </w:pPr>
    </w:p>
    <w:p w14:paraId="2D941890" w14:textId="77777777" w:rsidR="00626CFA" w:rsidRPr="00A929CD" w:rsidRDefault="00E70C0A" w:rsidP="00B3780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</w:t>
      </w:r>
      <w:r w:rsidR="00731C81" w:rsidRPr="00A929CD">
        <w:rPr>
          <w:rFonts w:ascii="Arial" w:hAnsi="Arial" w:cs="Arial"/>
          <w:b/>
        </w:rPr>
        <w:t xml:space="preserve">Webex </w:t>
      </w:r>
    </w:p>
    <w:p w14:paraId="257F2481" w14:textId="77777777" w:rsidR="00D86902" w:rsidRPr="00A929CD" w:rsidRDefault="00D86902" w:rsidP="00B37803">
      <w:pPr>
        <w:jc w:val="center"/>
        <w:outlineLvl w:val="0"/>
        <w:rPr>
          <w:rFonts w:ascii="Arial" w:hAnsi="Arial" w:cs="Arial"/>
          <w:b/>
        </w:rPr>
      </w:pPr>
    </w:p>
    <w:p w14:paraId="19A83AB0" w14:textId="77777777" w:rsidR="000F01C6" w:rsidRPr="00A929CD" w:rsidRDefault="000F01C6" w:rsidP="00C82BAD">
      <w:pPr>
        <w:jc w:val="center"/>
        <w:outlineLvl w:val="0"/>
        <w:rPr>
          <w:rFonts w:ascii="Arial" w:hAnsi="Arial" w:cs="Arial"/>
          <w:b/>
          <w:u w:val="single"/>
        </w:rPr>
      </w:pPr>
      <w:r w:rsidRPr="00A929CD">
        <w:rPr>
          <w:rFonts w:ascii="Arial" w:hAnsi="Arial" w:cs="Arial"/>
          <w:b/>
          <w:u w:val="single"/>
        </w:rPr>
        <w:t>Minutes</w:t>
      </w:r>
    </w:p>
    <w:p w14:paraId="65E032E6" w14:textId="77777777" w:rsidR="000F01C6" w:rsidRPr="00A929CD" w:rsidRDefault="000F01C6" w:rsidP="000F01C6">
      <w:pPr>
        <w:outlineLvl w:val="0"/>
        <w:rPr>
          <w:rFonts w:ascii="Arial" w:hAnsi="Arial" w:cs="Arial"/>
          <w:b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09"/>
        <w:gridCol w:w="222"/>
      </w:tblGrid>
      <w:tr w:rsidR="000F01C6" w:rsidRPr="00A929CD" w14:paraId="7F9D9865" w14:textId="77777777" w:rsidTr="005A5B87">
        <w:tc>
          <w:tcPr>
            <w:tcW w:w="12109" w:type="dxa"/>
          </w:tcPr>
          <w:tbl>
            <w:tblPr>
              <w:tblW w:w="9674" w:type="dxa"/>
              <w:tblLook w:val="00A0" w:firstRow="1" w:lastRow="0" w:firstColumn="1" w:lastColumn="0" w:noHBand="0" w:noVBand="0"/>
            </w:tblPr>
            <w:tblGrid>
              <w:gridCol w:w="1457"/>
              <w:gridCol w:w="8217"/>
            </w:tblGrid>
            <w:tr w:rsidR="000F01C6" w:rsidRPr="00A929CD" w14:paraId="51578BC5" w14:textId="77777777" w:rsidTr="00933B69">
              <w:trPr>
                <w:tblHeader/>
              </w:trPr>
              <w:tc>
                <w:tcPr>
                  <w:tcW w:w="1457" w:type="dxa"/>
                </w:tcPr>
                <w:p w14:paraId="650D8DE6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Attendees</w:t>
                  </w:r>
                  <w:r w:rsidR="00D13396" w:rsidRPr="00A929C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A929C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409A36B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CF2B2C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6B7EEA7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94B7B4D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FC5EB8D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6EA4B00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54C237A" w14:textId="77777777" w:rsidR="000F01C6" w:rsidRPr="00A929CD" w:rsidRDefault="000F01C6" w:rsidP="000F01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17" w:type="dxa"/>
                </w:tcPr>
                <w:p w14:paraId="04F9EF6B" w14:textId="77777777" w:rsidR="00970861" w:rsidRDefault="00970861" w:rsidP="0097086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Brian Doherty (Chair)</w:t>
                  </w:r>
                </w:p>
                <w:p w14:paraId="5D0A8D9F" w14:textId="77777777" w:rsidR="007E46A0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Robert Huey</w:t>
                  </w:r>
                </w:p>
                <w:p w14:paraId="78E7F4D5" w14:textId="77777777" w:rsidR="00974A53" w:rsidRDefault="00974A53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Tracey Teague</w:t>
                  </w:r>
                </w:p>
                <w:p w14:paraId="75A89B0B" w14:textId="600A67CD" w:rsidR="00246B26" w:rsidRDefault="00970861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Seamus McErlean </w:t>
                  </w:r>
                  <w:r w:rsidR="00110C6F">
                    <w:rPr>
                      <w:rFonts w:ascii="Arial" w:hAnsi="Arial" w:cs="Arial"/>
                      <w:b/>
                      <w:bCs/>
                    </w:rPr>
                    <w:t>(Deputising for Norman Fulton)</w:t>
                  </w:r>
                </w:p>
                <w:p w14:paraId="6050E503" w14:textId="630C4C58" w:rsidR="008747D7" w:rsidRDefault="00974A53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Paul Donnelly</w:t>
                  </w:r>
                </w:p>
                <w:p w14:paraId="5F2372FF" w14:textId="6F83C2B2" w:rsidR="00FB1B6F" w:rsidRDefault="001A100A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Mark Livingstone </w:t>
                  </w:r>
                  <w:r w:rsidR="00FB1B6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FB1B6F" w:rsidRPr="00FB1B6F">
                    <w:rPr>
                      <w:rFonts w:ascii="Arial" w:hAnsi="Arial" w:cs="Arial"/>
                      <w:b/>
                      <w:bCs/>
                    </w:rPr>
                    <w:t>(Deputising for</w:t>
                  </w:r>
                  <w:r w:rsidR="00FB1B6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FB1B6F" w:rsidRPr="00FB1B6F">
                    <w:rPr>
                      <w:rFonts w:ascii="Arial" w:hAnsi="Arial" w:cs="Arial"/>
                      <w:b/>
                      <w:bCs/>
                    </w:rPr>
                    <w:t>Fiona McCandless</w:t>
                  </w:r>
                  <w:r w:rsidR="00FB1B6F"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  <w:p w14:paraId="1A6E9336" w14:textId="4D55F415" w:rsidR="00970861" w:rsidRDefault="00FB1B6F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Roger Downey</w:t>
                  </w:r>
                  <w:r w:rsidR="00974A5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1F124068" w14:textId="77777777" w:rsidR="00974A53" w:rsidRDefault="00974A53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Briege Lafferty</w:t>
                  </w:r>
                </w:p>
                <w:p w14:paraId="1A3D9BB1" w14:textId="77777777" w:rsidR="00974A53" w:rsidRDefault="00974A53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William Peel</w:t>
                  </w:r>
                </w:p>
                <w:p w14:paraId="488A9AD6" w14:textId="0AC35F6D" w:rsidR="00970861" w:rsidRDefault="00974A53" w:rsidP="0040156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Lynda Lowe</w:t>
                  </w:r>
                </w:p>
                <w:p w14:paraId="49A5231C" w14:textId="77777777" w:rsidR="00933B69" w:rsidRDefault="00974A53" w:rsidP="00974A5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Nuala Hennessy</w:t>
                  </w:r>
                  <w:r w:rsidR="00406ACE" w:rsidRPr="00A929C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FEC401B" w14:textId="08C245C1" w:rsidR="000F01C6" w:rsidRDefault="001A100A" w:rsidP="00974A5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Claire Holterman</w:t>
                  </w:r>
                  <w:r w:rsidR="00933B6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F01C6" w:rsidRPr="00A929CD">
                    <w:rPr>
                      <w:rFonts w:ascii="Arial" w:hAnsi="Arial" w:cs="Arial"/>
                      <w:b/>
                      <w:bCs/>
                    </w:rPr>
                    <w:t>(Secretariat)</w:t>
                  </w:r>
                </w:p>
                <w:p w14:paraId="7896E696" w14:textId="430DAFE7" w:rsidR="00FE66FE" w:rsidRDefault="00FE66FE" w:rsidP="00974A5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Helen Mullan (observer)</w:t>
                  </w:r>
                </w:p>
                <w:p w14:paraId="0862CCCD" w14:textId="1C2510DB" w:rsidR="00AD4EF8" w:rsidRPr="00A929CD" w:rsidRDefault="00AD4EF8" w:rsidP="00962E0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F01C6" w:rsidRPr="00A929CD" w14:paraId="6895B5AF" w14:textId="77777777" w:rsidTr="00933B69">
              <w:tc>
                <w:tcPr>
                  <w:tcW w:w="1457" w:type="dxa"/>
                </w:tcPr>
                <w:p w14:paraId="2699E05B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17" w:type="dxa"/>
                </w:tcPr>
                <w:p w14:paraId="7840CA16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F01C6" w:rsidRPr="00A929CD" w14:paraId="026CCB42" w14:textId="77777777" w:rsidTr="00933B69">
              <w:tc>
                <w:tcPr>
                  <w:tcW w:w="1457" w:type="dxa"/>
                </w:tcPr>
                <w:p w14:paraId="5267F8FA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Apologies</w:t>
                  </w:r>
                  <w:r w:rsidR="00D13396" w:rsidRPr="00A929CD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8217" w:type="dxa"/>
                </w:tcPr>
                <w:p w14:paraId="1FD82FE7" w14:textId="77777777" w:rsidR="00FB1B6F" w:rsidRDefault="00FB1B6F" w:rsidP="00FB1B6F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Fiona McCandless</w:t>
                  </w:r>
                </w:p>
                <w:p w14:paraId="36BD9F90" w14:textId="66FF4CEF" w:rsidR="009C0D4C" w:rsidRDefault="009C0D4C" w:rsidP="00FB1B6F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Norman Fulton</w:t>
                  </w:r>
                </w:p>
                <w:p w14:paraId="64FE14B2" w14:textId="7964665D" w:rsidR="00105DA6" w:rsidRPr="00A929CD" w:rsidRDefault="00105DA6" w:rsidP="00105DA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EFA6B13" w14:textId="77777777" w:rsidR="000F01C6" w:rsidRPr="00A929CD" w:rsidRDefault="000F01C6" w:rsidP="005A5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77EAA3DF" w14:textId="77777777" w:rsidR="000F01C6" w:rsidRPr="00A929CD" w:rsidRDefault="000F01C6" w:rsidP="005A5B87">
            <w:pPr>
              <w:rPr>
                <w:rFonts w:ascii="Arial" w:hAnsi="Arial" w:cs="Arial"/>
                <w:bCs/>
              </w:rPr>
            </w:pPr>
          </w:p>
        </w:tc>
      </w:tr>
      <w:tr w:rsidR="000F01C6" w:rsidRPr="00A929CD" w14:paraId="16032B41" w14:textId="77777777" w:rsidTr="005A5B87">
        <w:tc>
          <w:tcPr>
            <w:tcW w:w="12109" w:type="dxa"/>
          </w:tcPr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97"/>
              <w:gridCol w:w="6762"/>
              <w:gridCol w:w="1701"/>
            </w:tblGrid>
            <w:tr w:rsidR="000F01C6" w:rsidRPr="00A929CD" w14:paraId="50A21327" w14:textId="77777777" w:rsidTr="00962E0E">
              <w:trPr>
                <w:cantSplit/>
                <w:tblHeader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5A98" w14:textId="77777777" w:rsidR="000F01C6" w:rsidRPr="00A929CD" w:rsidRDefault="003D46B7" w:rsidP="005A5B87">
                  <w:pPr>
                    <w:ind w:right="-108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Agenda Item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5575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733FC" w14:textId="77777777" w:rsidR="000F01C6" w:rsidRPr="00A929CD" w:rsidRDefault="000F01C6" w:rsidP="00DB6DD3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Paper Reference / Action Owner</w:t>
                  </w:r>
                </w:p>
              </w:tc>
            </w:tr>
            <w:tr w:rsidR="000F01C6" w:rsidRPr="00A929CD" w14:paraId="42B93986" w14:textId="77777777" w:rsidTr="00962E0E">
              <w:trPr>
                <w:trHeight w:val="200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9961" w14:textId="77777777" w:rsidR="000F01C6" w:rsidRPr="00A929CD" w:rsidRDefault="004461E0" w:rsidP="004461E0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A12C0" w14:textId="1D23C954" w:rsidR="000F01C6" w:rsidRPr="00A929CD" w:rsidRDefault="003929BD" w:rsidP="001A10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Apologies and Minutes of Previous Meeting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E9EA7" w14:textId="2423AB1B" w:rsidR="00461193" w:rsidRPr="00461193" w:rsidRDefault="00461193" w:rsidP="004611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61193">
                    <w:rPr>
                      <w:rFonts w:ascii="Arial" w:hAnsi="Arial" w:cs="Arial"/>
                      <w:b/>
                    </w:rPr>
                    <w:t>F</w:t>
                  </w:r>
                  <w:r w:rsidR="001A100A">
                    <w:rPr>
                      <w:rFonts w:ascii="Arial" w:hAnsi="Arial" w:cs="Arial"/>
                      <w:b/>
                    </w:rPr>
                    <w:t>C 19/22</w:t>
                  </w:r>
                </w:p>
                <w:p w14:paraId="40CE3AF9" w14:textId="65343FB3" w:rsidR="000F01C6" w:rsidRPr="00A929CD" w:rsidRDefault="000F01C6" w:rsidP="004611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F01C6" w:rsidRPr="00A929CD" w14:paraId="3CAFCABF" w14:textId="77777777" w:rsidTr="00962E0E">
              <w:trPr>
                <w:trHeight w:val="1300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0A611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33196" w14:textId="2BCC1F7B" w:rsidR="000F01C6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A929CD">
                    <w:rPr>
                      <w:rFonts w:ascii="Arial" w:hAnsi="Arial" w:cs="Arial"/>
                      <w:bCs/>
                    </w:rPr>
                    <w:t>The Chair</w:t>
                  </w:r>
                  <w:r w:rsidR="00611864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929CD">
                    <w:rPr>
                      <w:rFonts w:ascii="Arial" w:hAnsi="Arial" w:cs="Arial"/>
                      <w:bCs/>
                    </w:rPr>
                    <w:t>welcomed members to the meeting</w:t>
                  </w:r>
                  <w:r w:rsidR="00AC53BB" w:rsidRPr="00A929CD">
                    <w:rPr>
                      <w:rFonts w:ascii="Arial" w:hAnsi="Arial" w:cs="Arial"/>
                      <w:bCs/>
                    </w:rPr>
                    <w:t xml:space="preserve"> and</w:t>
                  </w:r>
                  <w:r w:rsidR="00611864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35628" w:rsidRPr="00A929CD">
                    <w:rPr>
                      <w:rFonts w:ascii="Arial" w:hAnsi="Arial" w:cs="Arial"/>
                      <w:bCs/>
                    </w:rPr>
                    <w:t xml:space="preserve">noted </w:t>
                  </w:r>
                  <w:r w:rsidR="00974A53">
                    <w:rPr>
                      <w:rFonts w:ascii="Arial" w:hAnsi="Arial" w:cs="Arial"/>
                      <w:bCs/>
                    </w:rPr>
                    <w:t>the</w:t>
                  </w:r>
                  <w:r w:rsidR="00B603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C53BB" w:rsidRPr="00A929CD">
                    <w:rPr>
                      <w:rFonts w:ascii="Arial" w:hAnsi="Arial" w:cs="Arial"/>
                      <w:bCs/>
                    </w:rPr>
                    <w:t>a</w:t>
                  </w:r>
                  <w:r w:rsidRPr="00A929CD">
                    <w:rPr>
                      <w:rFonts w:ascii="Arial" w:hAnsi="Arial" w:cs="Arial"/>
                      <w:bCs/>
                    </w:rPr>
                    <w:t>polog</w:t>
                  </w:r>
                  <w:r w:rsidR="009C0D4C">
                    <w:rPr>
                      <w:rFonts w:ascii="Arial" w:hAnsi="Arial" w:cs="Arial"/>
                      <w:bCs/>
                    </w:rPr>
                    <w:t>ies</w:t>
                  </w:r>
                  <w:r w:rsidR="003929BD" w:rsidRPr="00A929CD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7B11FC17" w14:textId="77777777" w:rsidR="00E44E14" w:rsidRDefault="00E44E14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C0102D3" w14:textId="4F591829" w:rsidR="000F01C6" w:rsidRPr="00A929CD" w:rsidRDefault="00E70C0A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Members agreed</w:t>
                  </w:r>
                  <w:r w:rsidR="001A100A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 xml:space="preserve">the Minutes </w:t>
                  </w:r>
                  <w:r w:rsidR="00B6035F">
                    <w:rPr>
                      <w:rFonts w:ascii="Arial" w:hAnsi="Arial" w:cs="Arial"/>
                      <w:bCs/>
                    </w:rPr>
                    <w:t>of</w:t>
                  </w:r>
                  <w:r w:rsidR="000F01C6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1A100A">
                    <w:rPr>
                      <w:rFonts w:ascii="Arial" w:hAnsi="Arial" w:cs="Arial"/>
                      <w:bCs/>
                    </w:rPr>
                    <w:t>10 May</w:t>
                  </w:r>
                  <w:r w:rsidR="00933B6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D2B9F" w:rsidRPr="00A929CD">
                    <w:rPr>
                      <w:rFonts w:ascii="Arial" w:hAnsi="Arial" w:cs="Arial"/>
                    </w:rPr>
                    <w:t>202</w:t>
                  </w:r>
                  <w:r w:rsidR="00933B69">
                    <w:rPr>
                      <w:rFonts w:ascii="Arial" w:hAnsi="Arial" w:cs="Arial"/>
                    </w:rPr>
                    <w:t>2</w:t>
                  </w:r>
                  <w:r w:rsidR="005D2B9F" w:rsidRPr="00A929CD">
                    <w:rPr>
                      <w:rFonts w:ascii="Arial" w:hAnsi="Arial" w:cs="Arial"/>
                    </w:rPr>
                    <w:t xml:space="preserve"> </w:t>
                  </w:r>
                  <w:r w:rsidR="000F01C6" w:rsidRPr="00A929CD">
                    <w:rPr>
                      <w:rFonts w:ascii="Arial" w:hAnsi="Arial" w:cs="Arial"/>
                      <w:bCs/>
                    </w:rPr>
                    <w:t>meeting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="00BE13D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F697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33DE8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4DD65E40" w14:textId="77777777" w:rsidR="00A50E91" w:rsidRDefault="00A50E91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505A0F9" w14:textId="518F1BF3" w:rsidR="001A100A" w:rsidRDefault="001A100A" w:rsidP="001A100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There were no actions arising</w:t>
                  </w:r>
                  <w:r w:rsidRPr="00A929CD">
                    <w:rPr>
                      <w:rFonts w:ascii="Arial" w:hAnsi="Arial" w:cs="Arial"/>
                      <w:bCs/>
                    </w:rPr>
                    <w:t xml:space="preserve"> from the meeting on </w:t>
                  </w:r>
                  <w:r w:rsidR="00281CE2">
                    <w:rPr>
                      <w:rFonts w:ascii="Arial" w:hAnsi="Arial" w:cs="Arial"/>
                      <w:bCs/>
                    </w:rPr>
                    <w:t>10 May</w:t>
                  </w:r>
                  <w:r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81CE2">
                    <w:rPr>
                      <w:rFonts w:ascii="Arial" w:hAnsi="Arial" w:cs="Arial"/>
                    </w:rPr>
                    <w:t>2022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48EFA7D2" w14:textId="77777777" w:rsidR="00B97B52" w:rsidRPr="00A929CD" w:rsidRDefault="00B97B52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085E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B7BD943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94AB462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1F6F3AA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9EE6EFC" w14:textId="77777777" w:rsidR="008C3621" w:rsidRPr="00A929CD" w:rsidRDefault="008C3621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B24BC86" w14:textId="77777777" w:rsidR="008C3621" w:rsidRPr="00A929CD" w:rsidRDefault="008C3621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B613EB7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61193" w:rsidRPr="00A929CD" w14:paraId="7A225B5D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5FDD" w14:textId="5C0C8A1D" w:rsidR="00461193" w:rsidRPr="00A9031B" w:rsidRDefault="00461193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C6E89" w14:textId="2B6B6CF7" w:rsidR="00461193" w:rsidRDefault="00A669B3" w:rsidP="00EA1D18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First Monitoring Round 2022-23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6207" w14:textId="6D8DD75C" w:rsidR="00461193" w:rsidRPr="00A929CD" w:rsidRDefault="00A669B3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FC 20</w:t>
                  </w:r>
                  <w:r w:rsidR="00461193" w:rsidRPr="00461193">
                    <w:rPr>
                      <w:rFonts w:ascii="Arial" w:hAnsi="Arial" w:cs="Arial"/>
                      <w:b/>
                    </w:rPr>
                    <w:t>/22</w:t>
                  </w:r>
                </w:p>
              </w:tc>
            </w:tr>
            <w:tr w:rsidR="00461193" w:rsidRPr="00A929CD" w14:paraId="3F7E2F3C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FA014" w14:textId="77777777" w:rsidR="00461193" w:rsidRPr="00A9031B" w:rsidRDefault="00461193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06274" w14:textId="1F2DEB92" w:rsidR="00DD0B74" w:rsidRDefault="00461193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61193">
                    <w:rPr>
                      <w:rFonts w:ascii="Arial" w:hAnsi="Arial" w:cs="Arial"/>
                      <w:bCs/>
                      <w:iCs/>
                    </w:rPr>
                    <w:t xml:space="preserve">Nuala Hennessy </w:t>
                  </w:r>
                  <w:r w:rsidR="00A669B3">
                    <w:rPr>
                      <w:rFonts w:ascii="Arial" w:hAnsi="Arial" w:cs="Arial"/>
                      <w:bCs/>
                    </w:rPr>
                    <w:t>presented the paper highlighting the Department’s Resource</w:t>
                  </w:r>
                  <w:r w:rsidR="00FE66FE">
                    <w:rPr>
                      <w:rFonts w:ascii="Arial" w:hAnsi="Arial" w:cs="Arial"/>
                      <w:bCs/>
                    </w:rPr>
                    <w:t xml:space="preserve"> DEL</w:t>
                  </w:r>
                  <w:r w:rsidR="00A669B3">
                    <w:rPr>
                      <w:rFonts w:ascii="Arial" w:hAnsi="Arial" w:cs="Arial"/>
                      <w:bCs/>
                    </w:rPr>
                    <w:t xml:space="preserve"> and Capital</w:t>
                  </w:r>
                  <w:r w:rsidR="00FE66FE">
                    <w:rPr>
                      <w:rFonts w:ascii="Arial" w:hAnsi="Arial" w:cs="Arial"/>
                      <w:bCs/>
                    </w:rPr>
                    <w:t xml:space="preserve"> DEL</w:t>
                  </w:r>
                  <w:r w:rsidR="00A669B3">
                    <w:rPr>
                      <w:rFonts w:ascii="Arial" w:hAnsi="Arial" w:cs="Arial"/>
                      <w:bCs/>
                    </w:rPr>
                    <w:t xml:space="preserve"> proposals in this exercise</w:t>
                  </w:r>
                  <w:r w:rsidR="008F69E7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01FD93AE" w14:textId="26F27432" w:rsidR="00651806" w:rsidRDefault="00A669B3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18D70C1B" w14:textId="648CBBFD" w:rsidR="008F69E7" w:rsidRDefault="008F69E7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The Contingency Planning Envelope of £688.9m was discussed, along with the significant level of funding still </w:t>
                  </w:r>
                  <w:r w:rsidR="00FE66FE">
                    <w:rPr>
                      <w:rFonts w:ascii="Arial" w:hAnsi="Arial" w:cs="Arial"/>
                      <w:bCs/>
                    </w:rPr>
                    <w:t xml:space="preserve">unallocated to Department’s by DoF, </w:t>
                  </w:r>
                  <w:r>
                    <w:rPr>
                      <w:rFonts w:ascii="Arial" w:hAnsi="Arial" w:cs="Arial"/>
                      <w:bCs/>
                    </w:rPr>
                    <w:t>which has not been included in this initial allocation.</w:t>
                  </w:r>
                  <w:r w:rsidR="00FE66FE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The uncertainty due to the</w:t>
                  </w:r>
                  <w:r w:rsidR="005C1520">
                    <w:rPr>
                      <w:rFonts w:ascii="Arial" w:hAnsi="Arial" w:cs="Arial"/>
                      <w:bCs/>
                    </w:rPr>
                    <w:t xml:space="preserve"> lack </w:t>
                  </w:r>
                  <w:r w:rsidR="005C1520">
                    <w:rPr>
                      <w:rFonts w:ascii="Arial" w:hAnsi="Arial" w:cs="Arial"/>
                    </w:rPr>
                    <w:t xml:space="preserve">of an Executive, an agreed Budget and formal In Year </w:t>
                  </w:r>
                  <w:r w:rsidR="005C1520">
                    <w:rPr>
                      <w:rFonts w:ascii="Arial" w:hAnsi="Arial" w:cs="Arial"/>
                    </w:rPr>
                    <w:lastRenderedPageBreak/>
                    <w:t>Monitoring process</w:t>
                  </w:r>
                  <w:r w:rsidR="005C1520">
                    <w:rPr>
                      <w:rFonts w:ascii="Arial" w:hAnsi="Arial" w:cs="Arial"/>
                      <w:bCs/>
                    </w:rPr>
                    <w:t xml:space="preserve"> and the impact</w:t>
                  </w:r>
                  <w:r w:rsidR="00FE66FE">
                    <w:rPr>
                      <w:rFonts w:ascii="Arial" w:hAnsi="Arial" w:cs="Arial"/>
                      <w:bCs/>
                    </w:rPr>
                    <w:t xml:space="preserve"> this is having on</w:t>
                  </w:r>
                  <w:r w:rsidR="005C1520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E66FE">
                    <w:rPr>
                      <w:rFonts w:ascii="Arial" w:hAnsi="Arial" w:cs="Arial"/>
                      <w:bCs/>
                    </w:rPr>
                    <w:t>f</w:t>
                  </w:r>
                  <w:r w:rsidR="005C1520">
                    <w:rPr>
                      <w:rFonts w:ascii="Arial" w:hAnsi="Arial" w:cs="Arial"/>
                      <w:bCs/>
                    </w:rPr>
                    <w:t xml:space="preserve">inancial </w:t>
                  </w:r>
                  <w:r w:rsidR="00FE66FE">
                    <w:rPr>
                      <w:rFonts w:ascii="Arial" w:hAnsi="Arial" w:cs="Arial"/>
                      <w:bCs/>
                    </w:rPr>
                    <w:t>p</w:t>
                  </w:r>
                  <w:r w:rsidR="005C1520">
                    <w:rPr>
                      <w:rFonts w:ascii="Arial" w:hAnsi="Arial" w:cs="Arial"/>
                      <w:bCs/>
                    </w:rPr>
                    <w:t xml:space="preserve">lanning </w:t>
                  </w:r>
                  <w:r w:rsidR="00FE66FE">
                    <w:rPr>
                      <w:rFonts w:ascii="Arial" w:hAnsi="Arial" w:cs="Arial"/>
                      <w:bCs/>
                    </w:rPr>
                    <w:t xml:space="preserve">within the Department, </w:t>
                  </w:r>
                  <w:r>
                    <w:rPr>
                      <w:rFonts w:ascii="Arial" w:hAnsi="Arial" w:cs="Arial"/>
                      <w:bCs/>
                    </w:rPr>
                    <w:t>was highlighted.</w:t>
                  </w:r>
                </w:p>
                <w:p w14:paraId="10671594" w14:textId="77777777" w:rsidR="00FE66FE" w:rsidRDefault="00FE66FE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94C8CD5" w14:textId="209B76B4" w:rsidR="00DD0B74" w:rsidRDefault="00FE66FE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It was noted that </w:t>
                  </w:r>
                  <w:r w:rsidR="00DD0B74">
                    <w:rPr>
                      <w:rFonts w:ascii="Arial" w:hAnsi="Arial" w:cs="Arial"/>
                      <w:bCs/>
                    </w:rPr>
                    <w:t>Points of Entry</w:t>
                  </w:r>
                  <w:r>
                    <w:rPr>
                      <w:rFonts w:ascii="Arial" w:hAnsi="Arial" w:cs="Arial"/>
                      <w:bCs/>
                    </w:rPr>
                    <w:t xml:space="preserve"> (PoE)</w:t>
                  </w:r>
                  <w:r w:rsidR="00DD0B74">
                    <w:rPr>
                      <w:rFonts w:ascii="Arial" w:hAnsi="Arial" w:cs="Arial"/>
                      <w:bCs/>
                    </w:rPr>
                    <w:t xml:space="preserve"> Costs and Costs of Living pressures are being taken forward in separate exercises with DoF and so are outside the scope of the First monitoring Round.</w:t>
                  </w:r>
                </w:p>
                <w:p w14:paraId="537FE93F" w14:textId="745E52CE" w:rsidR="00DD0B74" w:rsidRDefault="00DD0B74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19BAC55" w14:textId="0614C58F" w:rsidR="00DD0B74" w:rsidRDefault="00DD0B74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Ring fenced Budgets were </w:t>
                  </w:r>
                  <w:r w:rsidR="00281CE2">
                    <w:rPr>
                      <w:rFonts w:ascii="Arial" w:hAnsi="Arial" w:cs="Arial"/>
                      <w:bCs/>
                    </w:rPr>
                    <w:t xml:space="preserve">highlighted </w:t>
                  </w:r>
                  <w:r>
                    <w:rPr>
                      <w:rFonts w:ascii="Arial" w:hAnsi="Arial" w:cs="Arial"/>
                      <w:bCs/>
                    </w:rPr>
                    <w:t>and in particular EU Replacement funding</w:t>
                  </w:r>
                  <w:r w:rsidR="00FE66FE">
                    <w:rPr>
                      <w:rFonts w:ascii="Arial" w:hAnsi="Arial" w:cs="Arial"/>
                      <w:bCs/>
                    </w:rPr>
                    <w:t>,</w:t>
                  </w:r>
                  <w:r>
                    <w:rPr>
                      <w:rFonts w:ascii="Arial" w:hAnsi="Arial" w:cs="Arial"/>
                      <w:bCs/>
                    </w:rPr>
                    <w:t xml:space="preserve"> which </w:t>
                  </w:r>
                  <w:r w:rsidR="00FE66FE">
                    <w:rPr>
                      <w:rFonts w:ascii="Arial" w:hAnsi="Arial" w:cs="Arial"/>
                      <w:bCs/>
                    </w:rPr>
                    <w:t>has been</w:t>
                  </w:r>
                  <w:r>
                    <w:rPr>
                      <w:rFonts w:ascii="Arial" w:hAnsi="Arial" w:cs="Arial"/>
                      <w:bCs/>
                    </w:rPr>
                    <w:t xml:space="preserve"> based upon the all</w:t>
                  </w:r>
                  <w:r w:rsidR="00281CE2">
                    <w:rPr>
                      <w:rFonts w:ascii="Arial" w:hAnsi="Arial" w:cs="Arial"/>
                      <w:bCs/>
                    </w:rPr>
                    <w:t>ocations from the Agricultural P</w:t>
                  </w:r>
                  <w:r>
                    <w:rPr>
                      <w:rFonts w:ascii="Arial" w:hAnsi="Arial" w:cs="Arial"/>
                      <w:bCs/>
                    </w:rPr>
                    <w:t>rogramme Board. The management of Farm Payments, along with the funding and potential uptake of the Soil Nutrient Health Scheme</w:t>
                  </w:r>
                  <w:r w:rsidR="00FE66FE">
                    <w:rPr>
                      <w:rFonts w:ascii="Arial" w:hAnsi="Arial" w:cs="Arial"/>
                      <w:bCs/>
                    </w:rPr>
                    <w:t>,</w:t>
                  </w:r>
                  <w:r>
                    <w:rPr>
                      <w:rFonts w:ascii="Arial" w:hAnsi="Arial" w:cs="Arial"/>
                      <w:bCs/>
                    </w:rPr>
                    <w:t xml:space="preserve"> which is in its first year, were discussed.</w:t>
                  </w:r>
                </w:p>
                <w:p w14:paraId="6137741D" w14:textId="64C03A66" w:rsidR="00DD0B74" w:rsidRDefault="00DD0B74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D8D39C4" w14:textId="041EF848" w:rsidR="00DD0B74" w:rsidRDefault="00990C63" w:rsidP="0046119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Resource</w:t>
                  </w:r>
                  <w:r w:rsidR="00FE66FE">
                    <w:rPr>
                      <w:rFonts w:ascii="Arial" w:hAnsi="Arial" w:cs="Arial"/>
                      <w:bCs/>
                      <w:iCs/>
                    </w:rPr>
                    <w:t xml:space="preserve"> DEL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pressures</w:t>
                  </w:r>
                  <w:r w:rsidR="00662495">
                    <w:rPr>
                      <w:rFonts w:ascii="Arial" w:hAnsi="Arial" w:cs="Arial"/>
                      <w:bCs/>
                      <w:iCs/>
                    </w:rPr>
                    <w:t xml:space="preserve"> across the various funding streams, including staff costs, TB Compensation and the EU Fund for Disease Eradication were outlined and the projected pressures to be addressed at the Fi</w:t>
                  </w:r>
                  <w:r w:rsidR="00C61C73">
                    <w:rPr>
                      <w:rFonts w:ascii="Arial" w:hAnsi="Arial" w:cs="Arial"/>
                      <w:bCs/>
                      <w:iCs/>
                    </w:rPr>
                    <w:t>rst Monitoring Round identified</w:t>
                  </w:r>
                  <w:r w:rsidR="008046A0">
                    <w:rPr>
                      <w:rFonts w:ascii="Arial" w:hAnsi="Arial" w:cs="Arial"/>
                      <w:bCs/>
                      <w:iCs/>
                    </w:rPr>
                    <w:t>.</w:t>
                  </w:r>
                  <w:r w:rsidR="005C1520">
                    <w:rPr>
                      <w:rFonts w:ascii="Arial" w:hAnsi="Arial" w:cs="Arial"/>
                      <w:bCs/>
                      <w:iCs/>
                    </w:rPr>
                    <w:t xml:space="preserve"> As noted above</w:t>
                  </w:r>
                  <w:r w:rsidR="00FE66FE">
                    <w:rPr>
                      <w:rFonts w:ascii="Arial" w:hAnsi="Arial" w:cs="Arial"/>
                      <w:bCs/>
                      <w:iCs/>
                    </w:rPr>
                    <w:t>,</w:t>
                  </w:r>
                  <w:r w:rsidR="005C1520">
                    <w:rPr>
                      <w:rFonts w:ascii="Arial" w:hAnsi="Arial" w:cs="Arial"/>
                      <w:bCs/>
                      <w:iCs/>
                    </w:rPr>
                    <w:t xml:space="preserve"> DoF have indicated an additional sum is being held centrally and may become available to Departments later in the year.</w:t>
                  </w:r>
                </w:p>
                <w:p w14:paraId="480403E1" w14:textId="14EB4CF1" w:rsidR="00990C63" w:rsidRDefault="00990C63" w:rsidP="0046119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21F388FA" w14:textId="1BCC4854" w:rsidR="00990C63" w:rsidRDefault="00990C63" w:rsidP="0046119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In terms of Capital</w:t>
                  </w:r>
                  <w:r w:rsidR="00FE66FE">
                    <w:rPr>
                      <w:rFonts w:ascii="Arial" w:hAnsi="Arial" w:cs="Arial"/>
                      <w:bCs/>
                      <w:iCs/>
                    </w:rPr>
                    <w:t xml:space="preserve"> DEL</w:t>
                  </w:r>
                  <w:r>
                    <w:rPr>
                      <w:rFonts w:ascii="Arial" w:hAnsi="Arial" w:cs="Arial"/>
                      <w:bCs/>
                      <w:iCs/>
                    </w:rPr>
                    <w:t>, the pressures on the initial allocation along with Reduced requirements from business areas were noted. The key focus is on business areas spending their Capital</w:t>
                  </w:r>
                  <w:r w:rsidR="00FE66FE">
                    <w:rPr>
                      <w:rFonts w:ascii="Arial" w:hAnsi="Arial" w:cs="Arial"/>
                      <w:bCs/>
                      <w:iCs/>
                    </w:rPr>
                    <w:t xml:space="preserve"> DEL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allocations and having contingency plans in place to achieve this. The risk to Capital</w:t>
                  </w:r>
                  <w:r w:rsidR="00FE66FE">
                    <w:rPr>
                      <w:rFonts w:ascii="Arial" w:hAnsi="Arial" w:cs="Arial"/>
                      <w:bCs/>
                      <w:iCs/>
                    </w:rPr>
                    <w:t xml:space="preserve"> DEL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spend, the impact due to staff availability and the </w:t>
                  </w:r>
                  <w:r w:rsidR="008046A0">
                    <w:rPr>
                      <w:rFonts w:ascii="Arial" w:hAnsi="Arial" w:cs="Arial"/>
                      <w:bCs/>
                      <w:iCs/>
                    </w:rPr>
                    <w:t xml:space="preserve">previous 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pattern of reduced requirements </w:t>
                  </w:r>
                  <w:r w:rsidR="008046A0">
                    <w:rPr>
                      <w:rFonts w:ascii="Arial" w:hAnsi="Arial" w:cs="Arial"/>
                      <w:bCs/>
                      <w:iCs/>
                    </w:rPr>
                    <w:t>later in the financial year were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raised.</w:t>
                  </w:r>
                </w:p>
                <w:p w14:paraId="2A608036" w14:textId="77777777" w:rsidR="00651806" w:rsidRDefault="00651806" w:rsidP="0046119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1227D155" w14:textId="77777777" w:rsidR="00B23FEE" w:rsidRDefault="00B23FEE" w:rsidP="00B23FEE">
                  <w:pPr>
                    <w:jc w:val="both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8D5F59">
                    <w:rPr>
                      <w:rFonts w:ascii="Arial" w:hAnsi="Arial" w:cs="Arial"/>
                      <w:b/>
                      <w:bCs/>
                      <w:u w:val="single"/>
                    </w:rPr>
                    <w:t>Action Point</w:t>
                  </w:r>
                </w:p>
                <w:p w14:paraId="0C3F12B1" w14:textId="0793EB2C" w:rsidR="007E709D" w:rsidRPr="00820D0D" w:rsidRDefault="00B23FEE" w:rsidP="007E709D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820D0D">
                    <w:rPr>
                      <w:rFonts w:ascii="Arial" w:hAnsi="Arial" w:cs="Arial"/>
                      <w:b/>
                      <w:bCs/>
                      <w:iCs/>
                    </w:rPr>
                    <w:t xml:space="preserve">Business areas to review the Capital proposals in the paper (Table 18) and return next week with comments on their planned spend and </w:t>
                  </w:r>
                  <w:r w:rsidR="00C06351" w:rsidRPr="00820D0D">
                    <w:rPr>
                      <w:rFonts w:ascii="Arial" w:hAnsi="Arial" w:cs="Arial"/>
                      <w:b/>
                      <w:bCs/>
                      <w:iCs/>
                    </w:rPr>
                    <w:t xml:space="preserve">potential </w:t>
                  </w:r>
                  <w:r w:rsidRPr="00820D0D">
                    <w:rPr>
                      <w:rFonts w:ascii="Arial" w:hAnsi="Arial" w:cs="Arial"/>
                      <w:b/>
                      <w:bCs/>
                      <w:iCs/>
                    </w:rPr>
                    <w:t>Capital outcome.</w:t>
                  </w:r>
                </w:p>
                <w:p w14:paraId="50B19D46" w14:textId="0C1DA802" w:rsidR="00C06351" w:rsidRDefault="00C06351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68C2FF82" w14:textId="6CC0D010" w:rsidR="00C06351" w:rsidRDefault="00C06351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The Committee noted recommendations (a, b, c</w:t>
                  </w:r>
                  <w:r w:rsidR="00295AF1">
                    <w:rPr>
                      <w:rFonts w:ascii="Arial" w:hAnsi="Arial" w:cs="Arial"/>
                      <w:bCs/>
                      <w:iCs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e, g, h, o, p,</w:t>
                  </w:r>
                  <w:r w:rsidR="00295AF1">
                    <w:rPr>
                      <w:rFonts w:ascii="Arial" w:hAnsi="Arial" w:cs="Arial"/>
                      <w:bCs/>
                      <w:iCs/>
                    </w:rPr>
                    <w:t xml:space="preserve"> s, t, u).</w:t>
                  </w:r>
                </w:p>
                <w:p w14:paraId="5D277399" w14:textId="77777777" w:rsidR="00FE66FE" w:rsidRDefault="00FE66FE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52FC1386" w14:textId="05349796" w:rsidR="00295AF1" w:rsidRDefault="00295AF1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The Committee agreed all other recommendations in the paper.</w:t>
                  </w:r>
                </w:p>
                <w:p w14:paraId="675CE3BF" w14:textId="186D0D33" w:rsidR="007E709D" w:rsidRPr="00461193" w:rsidRDefault="007E709D" w:rsidP="00A669B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2CB3" w14:textId="77777777" w:rsidR="00461193" w:rsidRDefault="00461193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A5FF062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13749ED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F44F4A0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37D330C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4FC92A0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A24A5D5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0D6D7FF0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F796C48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506F06B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ECB65B1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405E155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20698BC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86B94D2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621296A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1DA4ABB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50AFAEE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D6A40B6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BB2DF25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A41DF0C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0FECAB1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369F735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015BCFF0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08FC41E7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212AC1D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10E401D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E5134FB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BEB42B8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1E35C24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9EDFFC7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CB79983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5B03832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852C813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F5FAE38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93A3BA8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4D84AD0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003A951" w14:textId="77777777" w:rsidR="00B23FEE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06FF8627" w14:textId="77777777" w:rsidR="00FE66FE" w:rsidRDefault="00FE66F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3CA2C29" w14:textId="77777777" w:rsidR="00FE66FE" w:rsidRDefault="00FE66F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E0CD7E4" w14:textId="77777777" w:rsidR="00FE66FE" w:rsidRDefault="00FE66F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DC32C1B" w14:textId="77777777" w:rsidR="00FE66FE" w:rsidRDefault="00FE66F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37FDF54" w14:textId="77777777" w:rsidR="00FE66FE" w:rsidRDefault="00FE66F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BA752FB" w14:textId="77777777" w:rsidR="00FE66FE" w:rsidRDefault="00FE66F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19A1756" w14:textId="220EA465" w:rsidR="00B23FEE" w:rsidRPr="00A929CD" w:rsidRDefault="00B23FEE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All Grade 3/ Business areas</w:t>
                  </w:r>
                </w:p>
              </w:tc>
            </w:tr>
            <w:tr w:rsidR="00A9031B" w:rsidRPr="00A929CD" w14:paraId="3F1D70E5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1DA2D" w14:textId="6A8A12C0" w:rsidR="00A9031B" w:rsidRDefault="00461193" w:rsidP="00461193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3</w:t>
                  </w:r>
                  <w:r w:rsidR="00A9031B" w:rsidRPr="00A9031B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BD38D" w14:textId="6D151ABC" w:rsidR="00A9031B" w:rsidRPr="002929FC" w:rsidRDefault="00461193" w:rsidP="00EA1D18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61193">
                    <w:rPr>
                      <w:rFonts w:ascii="Arial" w:hAnsi="Arial" w:cs="Arial"/>
                      <w:b/>
                      <w:bCs/>
                      <w:iCs/>
                    </w:rPr>
                    <w:t>Update on Budget 2022-2</w:t>
                  </w:r>
                  <w:r w:rsidR="00295AF1">
                    <w:rPr>
                      <w:rFonts w:ascii="Arial" w:hAnsi="Arial" w:cs="Arial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FB4F1" w14:textId="72D18C9F" w:rsidR="00A9031B" w:rsidRPr="002929FC" w:rsidRDefault="00295AF1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FC 21</w:t>
                  </w:r>
                  <w:r w:rsidR="00461193" w:rsidRPr="00461193">
                    <w:rPr>
                      <w:rFonts w:ascii="Arial" w:hAnsi="Arial" w:cs="Arial"/>
                      <w:b/>
                    </w:rPr>
                    <w:t>/22</w:t>
                  </w:r>
                </w:p>
              </w:tc>
            </w:tr>
            <w:tr w:rsidR="00A9031B" w:rsidRPr="00A929CD" w14:paraId="7E9BC696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D7E2" w14:textId="77777777" w:rsidR="00A9031B" w:rsidRDefault="00A9031B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2C97" w14:textId="65EBC0F6" w:rsidR="00295AF1" w:rsidRDefault="00295AF1" w:rsidP="00820D0D">
                  <w:pPr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William Peel </w:t>
                  </w:r>
                  <w:r w:rsidR="00813CA6">
                    <w:rPr>
                      <w:rFonts w:ascii="Arial" w:hAnsi="Arial" w:cs="Arial"/>
                      <w:bCs/>
                    </w:rPr>
                    <w:t>presented the paper on Budget 2022-2</w:t>
                  </w:r>
                  <w:r>
                    <w:rPr>
                      <w:rFonts w:ascii="Arial" w:hAnsi="Arial" w:cs="Arial"/>
                      <w:bCs/>
                    </w:rPr>
                    <w:t>5</w:t>
                  </w:r>
                  <w:r w:rsidR="00651806">
                    <w:rPr>
                      <w:rFonts w:ascii="Arial" w:hAnsi="Arial" w:cs="Arial"/>
                      <w:bCs/>
                    </w:rPr>
                    <w:t>.</w:t>
                  </w:r>
                  <w:r w:rsidR="00FE66FE"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This paper covered </w:t>
                  </w:r>
                  <w:r w:rsidRPr="00295AF1">
                    <w:rPr>
                      <w:rFonts w:ascii="Arial" w:eastAsiaTheme="minorHAnsi" w:hAnsi="Arial" w:cs="Arial"/>
                      <w:lang w:eastAsia="en-US"/>
                    </w:rPr>
                    <w:t>the current status of Budget 2022-23</w:t>
                  </w:r>
                  <w:r w:rsidR="008046A0">
                    <w:rPr>
                      <w:rFonts w:ascii="Arial" w:eastAsiaTheme="minorHAnsi" w:hAnsi="Arial" w:cs="Arial"/>
                      <w:lang w:eastAsia="en-US"/>
                    </w:rPr>
                    <w:t xml:space="preserve">, </w:t>
                  </w:r>
                  <w:r w:rsidRPr="00295AF1">
                    <w:rPr>
                      <w:rFonts w:ascii="Arial" w:eastAsiaTheme="minorHAnsi" w:hAnsi="Arial" w:cs="Arial"/>
                      <w:lang w:eastAsia="en-US"/>
                    </w:rPr>
                    <w:t>the DoF Budget Update exercise on the Cost of Living Crisis requirements and business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as usual pressures for 2022-23.</w:t>
                  </w:r>
                </w:p>
                <w:p w14:paraId="0B6C88FB" w14:textId="2764BC04" w:rsidR="00295AF1" w:rsidRPr="00295AF1" w:rsidRDefault="00AE39A5" w:rsidP="00AE39A5">
                  <w:pPr>
                    <w:spacing w:after="200" w:line="276" w:lineRule="auto"/>
                    <w:contextualSpacing/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The </w:t>
                  </w:r>
                  <w:r w:rsidR="00295AF1" w:rsidRPr="00295AF1">
                    <w:rPr>
                      <w:rFonts w:ascii="Arial" w:eastAsiaTheme="minorHAnsi" w:hAnsi="Arial" w:cs="Arial"/>
                      <w:lang w:eastAsia="en-US"/>
                    </w:rPr>
                    <w:t>business as usual pressures and revised ring-fenced capital profiles for 2023-24 and 2024-25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were outlined 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lastRenderedPageBreak/>
                    <w:t>although at present DoF are not seeking any additional Capital DEL Bids.</w:t>
                  </w:r>
                  <w:r w:rsidR="00295AF1" w:rsidRPr="00295AF1"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</w:p>
                <w:p w14:paraId="59D0FC86" w14:textId="77777777" w:rsidR="00FE66FE" w:rsidRDefault="00FE66FE" w:rsidP="00295AF1">
                  <w:pPr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  <w:p w14:paraId="61D855DB" w14:textId="5B70DE23" w:rsidR="00295AF1" w:rsidRDefault="00AE39A5" w:rsidP="00295AF1">
                  <w:pPr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On The </w:t>
                  </w:r>
                  <w:r w:rsidR="00295AF1" w:rsidRPr="00295AF1">
                    <w:rPr>
                      <w:rFonts w:ascii="Arial" w:eastAsiaTheme="minorHAnsi" w:hAnsi="Arial" w:cs="Arial"/>
                      <w:lang w:eastAsia="en-US"/>
                    </w:rPr>
                    <w:t>recent update from the Minister of Finance on the Chancellor’s Cost of Living Announcement and Budget Update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the following were </w:t>
                  </w:r>
                  <w:r w:rsidR="00ED4C2F">
                    <w:rPr>
                      <w:rFonts w:ascii="Arial" w:eastAsiaTheme="minorHAnsi" w:hAnsi="Arial" w:cs="Arial"/>
                      <w:lang w:eastAsia="en-US"/>
                    </w:rPr>
                    <w:t>highlighted -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benefit payments that will apply to Northern Ireland </w:t>
                  </w:r>
                  <w:r w:rsidR="00ED4C2F">
                    <w:rPr>
                      <w:rFonts w:ascii="Arial" w:eastAsiaTheme="minorHAnsi" w:hAnsi="Arial" w:cs="Arial"/>
                      <w:lang w:eastAsia="en-US"/>
                    </w:rPr>
                    <w:t>(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>energy is a devolved matter which does not automatically apply</w:t>
                  </w:r>
                  <w:r w:rsidR="00E82DAC">
                    <w:rPr>
                      <w:rFonts w:ascii="Arial" w:eastAsiaTheme="minorHAnsi" w:hAnsi="Arial" w:cs="Arial"/>
                      <w:lang w:eastAsia="en-US"/>
                    </w:rPr>
                    <w:t>)</w:t>
                  </w:r>
                  <w:r w:rsidR="008046A0">
                    <w:rPr>
                      <w:rFonts w:ascii="Arial" w:eastAsiaTheme="minorHAnsi" w:hAnsi="Arial" w:cs="Arial"/>
                      <w:lang w:eastAsia="en-US"/>
                    </w:rPr>
                    <w:t>,</w:t>
                  </w: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the available Barnett consequential for</w:t>
                  </w:r>
                  <w:r w:rsidR="00E82DAC">
                    <w:rPr>
                      <w:rFonts w:ascii="Arial" w:eastAsiaTheme="minorHAnsi" w:hAnsi="Arial" w:cs="Arial"/>
                      <w:lang w:eastAsia="en-US"/>
                    </w:rPr>
                    <w:t xml:space="preserve"> funding pressures including potential pay rises.</w:t>
                  </w:r>
                </w:p>
                <w:p w14:paraId="52F7BE34" w14:textId="6E9304FD" w:rsidR="00E82DAC" w:rsidRDefault="00E82DAC" w:rsidP="00295AF1">
                  <w:pPr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  <w:p w14:paraId="19336250" w14:textId="4CA67C25" w:rsidR="00E82DAC" w:rsidRDefault="00E82DAC" w:rsidP="00295AF1">
                  <w:pPr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There are no plans to commission future years Budget exercises at present due to the </w:t>
                  </w:r>
                  <w:r w:rsidR="001C2986">
                    <w:rPr>
                      <w:rFonts w:ascii="Arial" w:eastAsiaTheme="minorHAnsi" w:hAnsi="Arial" w:cs="Arial"/>
                      <w:lang w:eastAsia="en-US"/>
                    </w:rPr>
                    <w:t>current uncertainty with the Executive.</w:t>
                  </w:r>
                </w:p>
                <w:p w14:paraId="777799D9" w14:textId="77777777" w:rsidR="00295AF1" w:rsidRDefault="00295AF1" w:rsidP="00295AF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96BA826" w14:textId="77777777" w:rsidR="00A9031B" w:rsidRDefault="00116FAF" w:rsidP="00E82DA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Members </w:t>
                  </w:r>
                  <w:r w:rsidR="00746E90">
                    <w:rPr>
                      <w:rFonts w:ascii="Arial" w:hAnsi="Arial" w:cs="Arial"/>
                      <w:bCs/>
                    </w:rPr>
                    <w:t>noted the contents of the paper</w:t>
                  </w:r>
                  <w:r w:rsidR="00E82DAC">
                    <w:rPr>
                      <w:rFonts w:ascii="Arial" w:hAnsi="Arial" w:cs="Arial"/>
                      <w:bCs/>
                    </w:rPr>
                    <w:t>.</w:t>
                  </w:r>
                  <w:r w:rsidR="00D748B6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763CB957" w14:textId="2CFA4D13" w:rsidR="00FE66FE" w:rsidRPr="002929FC" w:rsidRDefault="00FE66FE" w:rsidP="00E82DA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F26AF" w14:textId="77777777" w:rsidR="00A9031B" w:rsidRPr="002929FC" w:rsidRDefault="00A9031B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7D3053A2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BCC3" w14:textId="5A21D0D4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698B" w14:textId="5B1FA3FB" w:rsidR="00746E90" w:rsidRPr="00407DBF" w:rsidRDefault="001C2986" w:rsidP="00407DBF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AFBI Finance Update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0D822" w14:textId="5DA753A0" w:rsidR="00746E90" w:rsidRPr="00A929CD" w:rsidRDefault="001C2986" w:rsidP="00FF30C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FC 22</w:t>
                  </w:r>
                  <w:r w:rsidR="00FF30C9" w:rsidRPr="00FF30C9">
                    <w:rPr>
                      <w:rFonts w:ascii="Arial" w:hAnsi="Arial" w:cs="Arial"/>
                      <w:b/>
                      <w:bCs/>
                    </w:rPr>
                    <w:t>/22</w:t>
                  </w:r>
                </w:p>
              </w:tc>
            </w:tr>
            <w:tr w:rsidR="00746E90" w:rsidRPr="00A929CD" w14:paraId="070A136E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57266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29954" w14:textId="77EF4DCE" w:rsidR="00746E90" w:rsidRDefault="001C2986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Lynda Lowe </w:t>
                  </w:r>
                  <w:r w:rsidR="00746E90">
                    <w:rPr>
                      <w:rFonts w:ascii="Arial" w:hAnsi="Arial" w:cs="Arial"/>
                    </w:rPr>
                    <w:t xml:space="preserve">presented the </w:t>
                  </w:r>
                  <w:r>
                    <w:rPr>
                      <w:rFonts w:ascii="Arial" w:hAnsi="Arial" w:cs="Arial"/>
                    </w:rPr>
                    <w:t>AFBI Finance Update paper.</w:t>
                  </w:r>
                </w:p>
                <w:p w14:paraId="0CC12966" w14:textId="77777777" w:rsidR="00746E90" w:rsidRDefault="00746E90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5287E5BB" w14:textId="0751F7AA" w:rsidR="00746E90" w:rsidRDefault="001C2986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Provisional Outturn result for AFBI was noted for 2021-22. </w:t>
                  </w:r>
                  <w:r w:rsidR="00A96FA5">
                    <w:rPr>
                      <w:rFonts w:ascii="Arial" w:hAnsi="Arial" w:cs="Arial"/>
                    </w:rPr>
                    <w:t>The outcome was a good result within their target budget tolerance.</w:t>
                  </w:r>
                </w:p>
                <w:p w14:paraId="69514A83" w14:textId="1E7F0E34" w:rsidR="00A96FA5" w:rsidRDefault="00A96FA5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0B509CC3" w14:textId="7F92DE44" w:rsidR="00A96FA5" w:rsidRDefault="00A96FA5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paper outlined AFBI’s Opening Budget position and First Monitoring Round requirements. </w:t>
                  </w:r>
                </w:p>
                <w:p w14:paraId="1EF3C13E" w14:textId="1E5E6183" w:rsidR="00A96FA5" w:rsidRDefault="00A96FA5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25CFA792" w14:textId="304D5C3F" w:rsidR="00A96FA5" w:rsidRDefault="00FE66FE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</w:t>
                  </w:r>
                  <w:r w:rsidR="00A96FA5">
                    <w:rPr>
                      <w:rFonts w:ascii="Arial" w:hAnsi="Arial" w:cs="Arial"/>
                    </w:rPr>
                    <w:t xml:space="preserve"> update</w:t>
                  </w:r>
                  <w:r>
                    <w:rPr>
                      <w:rFonts w:ascii="Arial" w:hAnsi="Arial" w:cs="Arial"/>
                    </w:rPr>
                    <w:t xml:space="preserve"> was provided</w:t>
                  </w:r>
                  <w:r w:rsidR="00A96FA5">
                    <w:rPr>
                      <w:rFonts w:ascii="Arial" w:hAnsi="Arial" w:cs="Arial"/>
                    </w:rPr>
                    <w:t xml:space="preserve"> on the AFBI </w:t>
                  </w:r>
                  <w:r>
                    <w:rPr>
                      <w:rFonts w:ascii="Arial" w:hAnsi="Arial" w:cs="Arial"/>
                    </w:rPr>
                    <w:t>R</w:t>
                  </w:r>
                  <w:r w:rsidR="00A96FA5">
                    <w:rPr>
                      <w:rFonts w:ascii="Arial" w:hAnsi="Arial" w:cs="Arial"/>
                    </w:rPr>
                    <w:t>oyalty</w:t>
                  </w:r>
                  <w:r>
                    <w:rPr>
                      <w:rFonts w:ascii="Arial" w:hAnsi="Arial" w:cs="Arial"/>
                    </w:rPr>
                    <w:t xml:space="preserve"> Income</w:t>
                  </w:r>
                  <w:r w:rsidR="00A96FA5">
                    <w:rPr>
                      <w:rFonts w:ascii="Arial" w:hAnsi="Arial" w:cs="Arial"/>
                    </w:rPr>
                    <w:t xml:space="preserve"> position</w:t>
                  </w:r>
                  <w:r w:rsidR="00FB754F">
                    <w:rPr>
                      <w:rFonts w:ascii="Arial" w:hAnsi="Arial" w:cs="Arial"/>
                    </w:rPr>
                    <w:t>.</w:t>
                  </w:r>
                  <w:r w:rsidR="004E4EFD">
                    <w:rPr>
                      <w:rFonts w:ascii="Arial" w:hAnsi="Arial" w:cs="Arial"/>
                    </w:rPr>
                    <w:t xml:space="preserve"> There is some urgency to resolve the position and AFBI have agreed a settlement in principle.</w:t>
                  </w:r>
                  <w:r w:rsidR="00FB754F">
                    <w:rPr>
                      <w:rFonts w:ascii="Arial" w:hAnsi="Arial" w:cs="Arial"/>
                    </w:rPr>
                    <w:t xml:space="preserve"> It</w:t>
                  </w:r>
                  <w:r w:rsidR="00A96FA5">
                    <w:rPr>
                      <w:rFonts w:ascii="Arial" w:hAnsi="Arial" w:cs="Arial"/>
                    </w:rPr>
                    <w:t xml:space="preserve"> has since been confirmed by AFBI </w:t>
                  </w:r>
                  <w:r w:rsidR="00FB754F">
                    <w:rPr>
                      <w:rFonts w:ascii="Arial" w:hAnsi="Arial" w:cs="Arial"/>
                    </w:rPr>
                    <w:t>that the AFBI Board is content that Queens University proceeds to settlement.</w:t>
                  </w:r>
                </w:p>
                <w:p w14:paraId="08DB3158" w14:textId="54CD3D56" w:rsidR="00FB754F" w:rsidRDefault="00FB754F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60B6DE83" w14:textId="04B3E669" w:rsidR="00FB754F" w:rsidRDefault="00FB754F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There was an update on AFBI’s new digital platform rolled out in April 2022 and the progress to date.</w:t>
                  </w:r>
                </w:p>
                <w:p w14:paraId="049AECB1" w14:textId="77777777" w:rsidR="004E4EFD" w:rsidRDefault="004E4EFD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56740CA2" w14:textId="7E1B06F4" w:rsidR="00FB754F" w:rsidRDefault="00FB754F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AFBI continue to refine their Strategic Cost Model following discussion and engagement with DAERA.</w:t>
                  </w:r>
                  <w:r w:rsidR="004E4EFD">
                    <w:rPr>
                      <w:rFonts w:ascii="Arial" w:hAnsi="Arial" w:cs="Arial"/>
                    </w:rPr>
                    <w:t xml:space="preserve"> Discussions around the delivery of the AFBI work programme took place.</w:t>
                  </w:r>
                </w:p>
                <w:p w14:paraId="1069497E" w14:textId="2C61948B" w:rsidR="00FB754F" w:rsidRDefault="00FB754F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368C733C" w14:textId="79D9B75A" w:rsidR="00FB754F" w:rsidRDefault="00FB754F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Members noted the contents of the paper.</w:t>
                  </w:r>
                </w:p>
                <w:p w14:paraId="47C4D747" w14:textId="3CE93C3E" w:rsidR="00746E90" w:rsidRPr="000012D8" w:rsidRDefault="00746E90" w:rsidP="00FB754F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3A97D" w14:textId="77777777" w:rsidR="00746E90" w:rsidRPr="00A929CD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7E4408ED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0F78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4462" w14:textId="6CE4FECB" w:rsidR="00746E90" w:rsidRPr="000012D8" w:rsidRDefault="004E4EFD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Contract Compliance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A62FA" w14:textId="478F7655" w:rsidR="00746E90" w:rsidRPr="00A929CD" w:rsidRDefault="00746E90" w:rsidP="005A12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4E4EFD">
                    <w:rPr>
                      <w:rFonts w:ascii="Arial" w:hAnsi="Arial" w:cs="Arial"/>
                      <w:b/>
                      <w:bCs/>
                    </w:rPr>
                    <w:t>23</w:t>
                  </w:r>
                  <w:r>
                    <w:rPr>
                      <w:rFonts w:ascii="Arial" w:hAnsi="Arial" w:cs="Arial"/>
                      <w:b/>
                      <w:bCs/>
                    </w:rPr>
                    <w:t>/22</w:t>
                  </w:r>
                </w:p>
              </w:tc>
            </w:tr>
            <w:tr w:rsidR="00746E90" w:rsidRPr="00A929CD" w14:paraId="1B3EE0E4" w14:textId="77777777" w:rsidTr="00374213">
              <w:trPr>
                <w:trHeight w:val="70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72D2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5AB0B" w14:textId="0B21C331" w:rsidR="000170C5" w:rsidRDefault="000170C5" w:rsidP="000170C5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Briege Lafferty presented the paper and noted that</w:t>
                  </w:r>
                  <w:r w:rsidRPr="009D4B40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962E33">
                    <w:rPr>
                      <w:rFonts w:ascii="Arial" w:hAnsi="Arial" w:cs="Arial"/>
                      <w:bCs/>
                    </w:rPr>
                    <w:t xml:space="preserve">ompliance in terms of </w:t>
                  </w:r>
                  <w:r w:rsidRPr="00BB36B5">
                    <w:rPr>
                      <w:rFonts w:ascii="Arial" w:hAnsi="Arial" w:cs="Arial"/>
                      <w:bCs/>
                    </w:rPr>
                    <w:t>value</w:t>
                  </w:r>
                  <w:r w:rsidRPr="009B79C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962E33">
                    <w:rPr>
                      <w:rFonts w:ascii="Arial" w:hAnsi="Arial" w:cs="Arial"/>
                      <w:bCs/>
                    </w:rPr>
                    <w:t xml:space="preserve">of POs was </w:t>
                  </w:r>
                  <w:r w:rsidR="00374213">
                    <w:rPr>
                      <w:rFonts w:ascii="Arial" w:hAnsi="Arial" w:cs="Arial"/>
                      <w:bCs/>
                    </w:rPr>
                    <w:t>98.8</w:t>
                  </w:r>
                  <w:r w:rsidRPr="00BB36B5">
                    <w:rPr>
                      <w:rFonts w:ascii="Arial" w:hAnsi="Arial" w:cs="Arial"/>
                      <w:bCs/>
                    </w:rPr>
                    <w:t>%</w:t>
                  </w:r>
                  <w:r w:rsidRPr="00962E33">
                    <w:rPr>
                      <w:rFonts w:ascii="Arial" w:hAnsi="Arial" w:cs="Arial"/>
                      <w:bCs/>
                    </w:rPr>
                    <w:t xml:space="preserve"> in </w:t>
                  </w:r>
                  <w:r w:rsidR="00374213">
                    <w:rPr>
                      <w:rFonts w:ascii="Arial" w:hAnsi="Arial" w:cs="Arial"/>
                      <w:bCs/>
                    </w:rPr>
                    <w:t>Quarter 4</w:t>
                  </w:r>
                  <w:r>
                    <w:rPr>
                      <w:rFonts w:ascii="Arial" w:hAnsi="Arial" w:cs="Arial"/>
                      <w:bCs/>
                    </w:rPr>
                    <w:t xml:space="preserve"> of 2021-22,</w:t>
                  </w:r>
                  <w:r w:rsidRPr="00962E33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 xml:space="preserve">which is above the </w:t>
                  </w:r>
                  <w:r w:rsidRPr="001F7660">
                    <w:rPr>
                      <w:rFonts w:ascii="Arial" w:hAnsi="Arial" w:cs="Arial"/>
                      <w:bCs/>
                    </w:rPr>
                    <w:t xml:space="preserve">Compliance target of 98% </w:t>
                  </w:r>
                  <w:r>
                    <w:rPr>
                      <w:rFonts w:ascii="Arial" w:hAnsi="Arial" w:cs="Arial"/>
                      <w:bCs/>
                    </w:rPr>
                    <w:t>published</w:t>
                  </w:r>
                  <w:r w:rsidRPr="001F7660">
                    <w:rPr>
                      <w:rFonts w:ascii="Arial" w:hAnsi="Arial" w:cs="Arial"/>
                      <w:bCs/>
                    </w:rPr>
                    <w:t xml:space="preserve"> by Account NI in the Monthly Operational Report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Pr="00557AB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74213">
                    <w:rPr>
                      <w:rFonts w:ascii="Arial" w:hAnsi="Arial" w:cs="Arial"/>
                      <w:bCs/>
                    </w:rPr>
                    <w:t>The overall compliance was over 98% in 2021-22.</w:t>
                  </w:r>
                </w:p>
                <w:p w14:paraId="385A89E3" w14:textId="4D9E4995" w:rsidR="000170C5" w:rsidRDefault="000170C5" w:rsidP="000170C5">
                  <w:pPr>
                    <w:keepNext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6094EDF4" w14:textId="737C5418" w:rsidR="00746E90" w:rsidRPr="00374213" w:rsidRDefault="000170C5" w:rsidP="00374213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</w:t>
                  </w:r>
                  <w:r w:rsidRPr="00A929CD">
                    <w:rPr>
                      <w:rFonts w:ascii="Arial" w:hAnsi="Arial" w:cs="Arial"/>
                      <w:bCs/>
                    </w:rPr>
                    <w:t>s noted the content</w:t>
                  </w:r>
                  <w:r w:rsidR="00FE66FE">
                    <w:rPr>
                      <w:rFonts w:ascii="Arial" w:hAnsi="Arial" w:cs="Arial"/>
                      <w:bCs/>
                    </w:rPr>
                    <w:t>s</w:t>
                  </w:r>
                  <w:r w:rsidRPr="00A929CD">
                    <w:rPr>
                      <w:rFonts w:ascii="Arial" w:hAnsi="Arial" w:cs="Arial"/>
                      <w:bCs/>
                    </w:rPr>
                    <w:t xml:space="preserve"> of the paper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995B0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F7057ED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3EA1AE1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6577537" w14:textId="7351265A" w:rsidR="00746E90" w:rsidRDefault="00746E90" w:rsidP="0037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386FAF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2168F5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0C47DC8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ED0CC6B" w14:textId="78CA00C8" w:rsidR="00746E90" w:rsidRPr="00A929CD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4E4EFD" w:rsidRPr="00A929CD" w14:paraId="30167AEA" w14:textId="77777777" w:rsidTr="00276F2A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AE3C1" w14:textId="46441091" w:rsidR="004E4EFD" w:rsidRDefault="00374213" w:rsidP="00276F2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6.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0522" w14:textId="526067FD" w:rsidR="004E4EFD" w:rsidRPr="00F74FB1" w:rsidRDefault="00374213" w:rsidP="00276F2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Direct Award Contracts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1AEA9" w14:textId="3FCA2A3A" w:rsidR="004E4EFD" w:rsidRPr="00A929CD" w:rsidRDefault="00374213" w:rsidP="00276F2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FC 24/22</w:t>
                  </w:r>
                </w:p>
              </w:tc>
            </w:tr>
            <w:tr w:rsidR="00374213" w:rsidRPr="00A929CD" w14:paraId="774C2EEF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36BF0" w14:textId="77777777" w:rsidR="00374213" w:rsidRDefault="00374213" w:rsidP="00F3751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F4CEA" w14:textId="14B1FC0A" w:rsidR="00374213" w:rsidRDefault="00374213" w:rsidP="00476D1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Briege Lafferty presented the paper covering the summary of the Direct Award Contracts over £5k for 2021-22, </w:t>
                  </w:r>
                  <w:r w:rsidR="008046A0">
                    <w:rPr>
                      <w:rFonts w:ascii="Arial" w:hAnsi="Arial" w:cs="Arial"/>
                      <w:bCs/>
                    </w:rPr>
                    <w:t xml:space="preserve">highlighting </w:t>
                  </w:r>
                  <w:r>
                    <w:rPr>
                      <w:rFonts w:ascii="Arial" w:hAnsi="Arial" w:cs="Arial"/>
                      <w:bCs/>
                    </w:rPr>
                    <w:t>new awards and DAC modifications.</w:t>
                  </w:r>
                  <w:r w:rsidR="001362A0">
                    <w:rPr>
                      <w:rFonts w:ascii="Arial" w:hAnsi="Arial" w:cs="Arial"/>
                      <w:bCs/>
                    </w:rPr>
                    <w:t xml:space="preserve"> The trends over the prior 4 years were also discussed and th</w:t>
                  </w:r>
                  <w:r w:rsidR="008046A0">
                    <w:rPr>
                      <w:rFonts w:ascii="Arial" w:hAnsi="Arial" w:cs="Arial"/>
                      <w:bCs/>
                    </w:rPr>
                    <w:t>e need to implement procurement, notably portal contracts.</w:t>
                  </w:r>
                </w:p>
                <w:p w14:paraId="56A2AE6B" w14:textId="77777777" w:rsidR="00374213" w:rsidRDefault="00374213" w:rsidP="00476D1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9CFA857" w14:textId="436C6D30" w:rsidR="00374213" w:rsidRDefault="001362A0" w:rsidP="00476D1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</w:t>
                  </w:r>
                  <w:r w:rsidRPr="00A929CD">
                    <w:rPr>
                      <w:rFonts w:ascii="Arial" w:hAnsi="Arial" w:cs="Arial"/>
                      <w:bCs/>
                    </w:rPr>
                    <w:t>s noted the content of the paper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61A0BF4F" w14:textId="6526BA8D" w:rsidR="00374213" w:rsidRPr="00746E90" w:rsidRDefault="00374213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833E8" w14:textId="77777777" w:rsidR="00374213" w:rsidRPr="00A929CD" w:rsidRDefault="00374213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74213" w:rsidRPr="00A929CD" w14:paraId="1F52B6DE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F0885" w14:textId="4FB31D12" w:rsidR="00374213" w:rsidRDefault="00374213" w:rsidP="00F3751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6BAB8" w14:textId="67075189" w:rsidR="00374213" w:rsidRPr="00746E90" w:rsidRDefault="00374213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Prompt Payment Statistics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60DF8" w14:textId="5AB101A7" w:rsidR="00374213" w:rsidRPr="00A929CD" w:rsidRDefault="00374213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FC 25/22</w:t>
                  </w:r>
                </w:p>
              </w:tc>
            </w:tr>
            <w:tr w:rsidR="00374213" w:rsidRPr="00A929CD" w14:paraId="05FCE556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89CC6" w14:textId="77777777" w:rsidR="00374213" w:rsidRDefault="00374213" w:rsidP="00F3751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823BD" w14:textId="35F36FE4" w:rsidR="00374213" w:rsidRDefault="001362A0" w:rsidP="00476D1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Briege Lafferty presented the paper on prompt payment statistics </w:t>
                  </w:r>
                  <w:r w:rsidR="008046A0">
                    <w:rPr>
                      <w:rFonts w:ascii="Arial" w:hAnsi="Arial" w:cs="Arial"/>
                      <w:bCs/>
                    </w:rPr>
                    <w:t xml:space="preserve">including the </w:t>
                  </w:r>
                  <w:r>
                    <w:rPr>
                      <w:rFonts w:ascii="Arial" w:hAnsi="Arial" w:cs="Arial"/>
                      <w:bCs/>
                    </w:rPr>
                    <w:t>10 and 30 day Prompt Payment figures</w:t>
                  </w:r>
                  <w:r w:rsidR="008046A0">
                    <w:rPr>
                      <w:rFonts w:ascii="Arial" w:hAnsi="Arial" w:cs="Arial"/>
                      <w:bCs/>
                    </w:rPr>
                    <w:t>. The target was</w:t>
                  </w:r>
                  <w:r>
                    <w:rPr>
                      <w:rFonts w:ascii="Arial" w:hAnsi="Arial" w:cs="Arial"/>
                      <w:bCs/>
                    </w:rPr>
                    <w:t xml:space="preserve"> 92% for 2021-22 which DAERA </w:t>
                  </w:r>
                  <w:r w:rsidR="008046A0">
                    <w:rPr>
                      <w:rFonts w:ascii="Arial" w:hAnsi="Arial" w:cs="Arial"/>
                      <w:bCs/>
                    </w:rPr>
                    <w:t>exceeded.</w:t>
                  </w:r>
                </w:p>
                <w:p w14:paraId="53F00698" w14:textId="02BFC9F4" w:rsidR="001362A0" w:rsidRDefault="001362A0" w:rsidP="00476D1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Discussion took place around the Group analysis of the p</w:t>
                  </w:r>
                  <w:r w:rsidR="008046A0">
                    <w:rPr>
                      <w:rFonts w:ascii="Arial" w:hAnsi="Arial" w:cs="Arial"/>
                      <w:bCs/>
                    </w:rPr>
                    <w:t>erformance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03B3241E" w14:textId="77777777" w:rsidR="00FE66FE" w:rsidRDefault="00FE66FE" w:rsidP="001362A0">
                  <w:pPr>
                    <w:jc w:val="both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14:paraId="72B4C6B4" w14:textId="77777777" w:rsidR="001362A0" w:rsidRDefault="001362A0" w:rsidP="001362A0">
                  <w:pPr>
                    <w:jc w:val="both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8D5F59">
                    <w:rPr>
                      <w:rFonts w:ascii="Arial" w:hAnsi="Arial" w:cs="Arial"/>
                      <w:b/>
                      <w:bCs/>
                      <w:u w:val="single"/>
                    </w:rPr>
                    <w:t>Action Point</w:t>
                  </w:r>
                </w:p>
                <w:p w14:paraId="7AD9B582" w14:textId="28B2B365" w:rsidR="001362A0" w:rsidRPr="00820D0D" w:rsidRDefault="001362A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820D0D">
                    <w:rPr>
                      <w:rFonts w:ascii="Arial" w:hAnsi="Arial" w:cs="Arial"/>
                      <w:b/>
                      <w:bCs/>
                    </w:rPr>
                    <w:t xml:space="preserve">Details to be forwarded to Finance </w:t>
                  </w:r>
                  <w:r w:rsidR="009E6725" w:rsidRPr="00820D0D">
                    <w:rPr>
                      <w:rFonts w:ascii="Arial" w:hAnsi="Arial" w:cs="Arial"/>
                      <w:b/>
                      <w:bCs/>
                    </w:rPr>
                    <w:t xml:space="preserve">on issue of Interreg </w:t>
                  </w:r>
                  <w:r w:rsidRPr="00820D0D">
                    <w:rPr>
                      <w:rFonts w:ascii="Arial" w:hAnsi="Arial" w:cs="Arial"/>
                      <w:b/>
                      <w:bCs/>
                    </w:rPr>
                    <w:t>payment</w:t>
                  </w:r>
                  <w:r w:rsidR="009E6725" w:rsidRPr="00820D0D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Pr="00820D0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9E6725" w:rsidRPr="00820D0D">
                    <w:rPr>
                      <w:rFonts w:ascii="Arial" w:hAnsi="Arial" w:cs="Arial"/>
                      <w:b/>
                      <w:bCs/>
                    </w:rPr>
                    <w:t xml:space="preserve">made </w:t>
                  </w:r>
                  <w:r w:rsidRPr="00820D0D">
                    <w:rPr>
                      <w:rFonts w:ascii="Arial" w:hAnsi="Arial" w:cs="Arial"/>
                      <w:b/>
                      <w:bCs/>
                    </w:rPr>
                    <w:t>by SEUPB</w:t>
                  </w:r>
                  <w:r w:rsidR="009E6725" w:rsidRPr="00820D0D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20D0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9E6725" w:rsidRPr="00820D0D">
                    <w:rPr>
                      <w:rFonts w:ascii="Arial" w:hAnsi="Arial" w:cs="Arial"/>
                      <w:b/>
                      <w:bCs/>
                    </w:rPr>
                    <w:t>to facilitate discussion with counterparts.</w:t>
                  </w:r>
                </w:p>
                <w:p w14:paraId="576331EB" w14:textId="3278DB0C" w:rsidR="001362A0" w:rsidRPr="00746E90" w:rsidRDefault="001362A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082C" w14:textId="77777777" w:rsidR="00374213" w:rsidRDefault="00374213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D5F611D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AAA33E6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24EA1EE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3956D6C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17229FD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B52426E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37EE3FC" w14:textId="4C8C265C" w:rsidR="009E6725" w:rsidRPr="00A929CD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Paul Donnelly</w:t>
                  </w:r>
                </w:p>
              </w:tc>
            </w:tr>
            <w:tr w:rsidR="00746E90" w:rsidRPr="00A929CD" w14:paraId="0D59D6D8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EEB3A" w14:textId="5A58C005" w:rsidR="00746E90" w:rsidRDefault="00F37510" w:rsidP="00F3751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746E90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FDC4" w14:textId="77777777" w:rsidR="00746E90" w:rsidRPr="00F74FB1" w:rsidRDefault="00746E9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46E90">
                    <w:rPr>
                      <w:rFonts w:ascii="Arial" w:hAnsi="Arial" w:cs="Arial"/>
                      <w:b/>
                      <w:bCs/>
                    </w:rPr>
                    <w:t>AOB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1F0C" w14:textId="77777777" w:rsidR="00746E90" w:rsidRPr="00A929CD" w:rsidRDefault="00746E90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46E90" w:rsidRPr="00A929CD" w14:paraId="1FC68D6E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3DAE2" w14:textId="77777777" w:rsidR="00746E90" w:rsidRPr="00A929CD" w:rsidRDefault="00746E9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250C5" w14:textId="77777777" w:rsidR="009E6725" w:rsidRDefault="009E6725" w:rsidP="00746E9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8B575C4" w14:textId="77777777" w:rsidR="009E6725" w:rsidRDefault="009E6725" w:rsidP="009E6725">
                  <w:pPr>
                    <w:jc w:val="both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8D5F59">
                    <w:rPr>
                      <w:rFonts w:ascii="Arial" w:hAnsi="Arial" w:cs="Arial"/>
                      <w:b/>
                      <w:bCs/>
                      <w:u w:val="single"/>
                    </w:rPr>
                    <w:t>Action Point</w:t>
                  </w:r>
                </w:p>
                <w:p w14:paraId="2DD8D769" w14:textId="477182CD" w:rsidR="009E6725" w:rsidRPr="00820D0D" w:rsidRDefault="009E6725" w:rsidP="00746E9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820D0D">
                    <w:rPr>
                      <w:rFonts w:ascii="Arial" w:hAnsi="Arial" w:cs="Arial"/>
                      <w:b/>
                      <w:bCs/>
                    </w:rPr>
                    <w:t xml:space="preserve">Terms of Reference of Finance committee to be reviewed to see if there any actions needed to report recommendations from </w:t>
                  </w:r>
                  <w:r w:rsidR="008046A0" w:rsidRPr="00820D0D">
                    <w:rPr>
                      <w:rFonts w:ascii="Arial" w:hAnsi="Arial" w:cs="Arial"/>
                      <w:b/>
                      <w:bCs/>
                    </w:rPr>
                    <w:t xml:space="preserve">the Finance </w:t>
                  </w:r>
                  <w:r w:rsidRPr="00820D0D">
                    <w:rPr>
                      <w:rFonts w:ascii="Arial" w:hAnsi="Arial" w:cs="Arial"/>
                      <w:b/>
                      <w:bCs/>
                    </w:rPr>
                    <w:t xml:space="preserve">Committee to </w:t>
                  </w:r>
                  <w:r w:rsidR="008046A0" w:rsidRPr="00820D0D">
                    <w:rPr>
                      <w:rFonts w:ascii="Arial" w:hAnsi="Arial" w:cs="Arial"/>
                      <w:b/>
                      <w:bCs/>
                    </w:rPr>
                    <w:t xml:space="preserve">the </w:t>
                  </w:r>
                  <w:r w:rsidRPr="00820D0D">
                    <w:rPr>
                      <w:rFonts w:ascii="Arial" w:hAnsi="Arial" w:cs="Arial"/>
                      <w:b/>
                      <w:bCs/>
                    </w:rPr>
                    <w:t>Departmental Board.</w:t>
                  </w:r>
                </w:p>
                <w:p w14:paraId="6E4E5EC5" w14:textId="2D754DC9" w:rsidR="009E6725" w:rsidRDefault="009E6725" w:rsidP="00746E9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540F5B5" w14:textId="6973841B" w:rsidR="00746E90" w:rsidRDefault="008046A0" w:rsidP="00746E9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746E90">
                    <w:rPr>
                      <w:rFonts w:ascii="Arial" w:hAnsi="Arial" w:cs="Arial"/>
                      <w:bCs/>
                    </w:rPr>
                    <w:t>Meeting finished at 15.</w:t>
                  </w:r>
                  <w:r w:rsidR="004E4EFD">
                    <w:rPr>
                      <w:rFonts w:ascii="Arial" w:hAnsi="Arial" w:cs="Arial"/>
                      <w:bCs/>
                    </w:rPr>
                    <w:t>0</w:t>
                  </w:r>
                  <w:r w:rsidR="00746E90">
                    <w:rPr>
                      <w:rFonts w:ascii="Arial" w:hAnsi="Arial" w:cs="Arial"/>
                      <w:bCs/>
                    </w:rPr>
                    <w:t>0.</w:t>
                  </w:r>
                </w:p>
                <w:p w14:paraId="481EDFEB" w14:textId="77777777" w:rsidR="00746E90" w:rsidRDefault="00746E90" w:rsidP="00746E90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38118EE" w14:textId="6B63D84F" w:rsidR="00746E90" w:rsidRDefault="00746E90" w:rsidP="00746E9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next meeting is scheduled for </w:t>
                  </w:r>
                  <w:r w:rsidR="004E4EFD">
                    <w:rPr>
                      <w:rFonts w:ascii="Arial" w:hAnsi="Arial" w:cs="Arial"/>
                    </w:rPr>
                    <w:t>7 September</w:t>
                  </w:r>
                  <w:r>
                    <w:rPr>
                      <w:rFonts w:ascii="Arial" w:hAnsi="Arial" w:cs="Arial"/>
                    </w:rPr>
                    <w:t xml:space="preserve"> 2022 and is already in Members’ diaries.</w:t>
                  </w:r>
                </w:p>
                <w:p w14:paraId="1BB9926C" w14:textId="77777777" w:rsidR="00B05EB1" w:rsidRDefault="00B05EB1" w:rsidP="00746E90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AA64524" w14:textId="77777777" w:rsidR="00746E90" w:rsidRPr="00F74FB1" w:rsidRDefault="00746E9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B3DDC" w14:textId="77777777" w:rsidR="00746E90" w:rsidRDefault="00746E90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A0D0872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0C704DD" w14:textId="77777777" w:rsidR="009E6725" w:rsidRDefault="009E6725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07B75863" w14:textId="00C29982" w:rsidR="009E6725" w:rsidRPr="00A929CD" w:rsidRDefault="00820D0D" w:rsidP="009E672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</w:t>
                  </w:r>
                  <w:r w:rsidR="009E6725">
                    <w:rPr>
                      <w:rFonts w:ascii="Arial" w:hAnsi="Arial" w:cs="Arial"/>
                      <w:b/>
                    </w:rPr>
                    <w:t>Finance</w:t>
                  </w:r>
                </w:p>
              </w:tc>
            </w:tr>
            <w:tr w:rsidR="00820D0D" w:rsidRPr="00A929CD" w14:paraId="60FF4FD8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7273" w14:textId="77777777" w:rsidR="00820D0D" w:rsidRPr="00A929CD" w:rsidRDefault="00820D0D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87772" w14:textId="77777777" w:rsidR="00820D0D" w:rsidRDefault="00820D0D" w:rsidP="00746E9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502B" w14:textId="77777777" w:rsidR="00820D0D" w:rsidRDefault="00820D0D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F2C8908" w14:textId="77777777" w:rsidR="000F01C6" w:rsidRPr="00A929CD" w:rsidRDefault="000F01C6" w:rsidP="005A5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0A91CA1B" w14:textId="77777777" w:rsidR="000F01C6" w:rsidRPr="00A929CD" w:rsidRDefault="000F01C6" w:rsidP="005A5B87">
            <w:pPr>
              <w:rPr>
                <w:rFonts w:ascii="Arial" w:hAnsi="Arial" w:cs="Arial"/>
                <w:bCs/>
              </w:rPr>
            </w:pPr>
          </w:p>
        </w:tc>
      </w:tr>
    </w:tbl>
    <w:p w14:paraId="129F0DFE" w14:textId="77777777" w:rsidR="00462346" w:rsidRPr="00A929CD" w:rsidRDefault="00462346" w:rsidP="0080455B">
      <w:pPr>
        <w:tabs>
          <w:tab w:val="left" w:pos="5580"/>
          <w:tab w:val="left" w:pos="5760"/>
        </w:tabs>
        <w:rPr>
          <w:rFonts w:ascii="Arial" w:hAnsi="Arial" w:cs="Arial"/>
          <w:b/>
        </w:rPr>
      </w:pPr>
    </w:p>
    <w:sectPr w:rsidR="00462346" w:rsidRPr="00A929CD" w:rsidSect="00547009">
      <w:headerReference w:type="default" r:id="rId8"/>
      <w:footerReference w:type="default" r:id="rId9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96B0" w14:textId="77777777" w:rsidR="00822556" w:rsidRDefault="00822556">
      <w:r>
        <w:separator/>
      </w:r>
    </w:p>
  </w:endnote>
  <w:endnote w:type="continuationSeparator" w:id="0">
    <w:p w14:paraId="276FF358" w14:textId="77777777" w:rsidR="00822556" w:rsidRDefault="0082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C574" w14:textId="689D04DB" w:rsidR="00803C16" w:rsidRPr="00B72C2C" w:rsidRDefault="00803C16">
    <w:pPr>
      <w:pStyle w:val="Footer"/>
      <w:jc w:val="center"/>
      <w:rPr>
        <w:rFonts w:ascii="Arial" w:hAnsi="Arial" w:cs="Arial"/>
      </w:rPr>
    </w:pPr>
    <w:r w:rsidRPr="00B72C2C">
      <w:rPr>
        <w:rFonts w:ascii="Arial" w:hAnsi="Arial" w:cs="Arial"/>
      </w:rPr>
      <w:fldChar w:fldCharType="begin"/>
    </w:r>
    <w:r w:rsidRPr="00B72C2C">
      <w:rPr>
        <w:rFonts w:ascii="Arial" w:hAnsi="Arial" w:cs="Arial"/>
      </w:rPr>
      <w:instrText xml:space="preserve"> PAGE   \* MERGEFORMAT </w:instrText>
    </w:r>
    <w:r w:rsidRPr="00B72C2C">
      <w:rPr>
        <w:rFonts w:ascii="Arial" w:hAnsi="Arial" w:cs="Arial"/>
      </w:rPr>
      <w:fldChar w:fldCharType="separate"/>
    </w:r>
    <w:r w:rsidR="00D1147F">
      <w:rPr>
        <w:rFonts w:ascii="Arial" w:hAnsi="Arial" w:cs="Arial"/>
        <w:noProof/>
      </w:rPr>
      <w:t>3</w:t>
    </w:r>
    <w:r w:rsidRPr="00B72C2C">
      <w:rPr>
        <w:rFonts w:ascii="Arial" w:hAnsi="Arial" w:cs="Arial"/>
        <w:noProof/>
      </w:rPr>
      <w:fldChar w:fldCharType="end"/>
    </w:r>
  </w:p>
  <w:p w14:paraId="18F1959C" w14:textId="77777777" w:rsidR="005A5B87" w:rsidRDefault="005A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678B" w14:textId="77777777" w:rsidR="00822556" w:rsidRDefault="00822556">
      <w:r>
        <w:separator/>
      </w:r>
    </w:p>
  </w:footnote>
  <w:footnote w:type="continuationSeparator" w:id="0">
    <w:p w14:paraId="512C3DD9" w14:textId="77777777" w:rsidR="00822556" w:rsidRDefault="0082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8447" w14:textId="7E8CC06D" w:rsidR="005223F1" w:rsidRDefault="002D6D01" w:rsidP="005E0D9C">
    <w:pPr>
      <w:pStyle w:val="Header"/>
      <w:jc w:val="right"/>
      <w:rPr>
        <w:rFonts w:ascii="Arial" w:hAnsi="Arial" w:cs="Arial"/>
        <w:b/>
      </w:rPr>
    </w:pPr>
    <w:r>
      <w:tab/>
    </w:r>
    <w:r w:rsidR="00880A64">
      <w:tab/>
    </w:r>
    <w:r w:rsidR="005E0D9C">
      <w:tab/>
    </w:r>
    <w:r w:rsidR="00880A64" w:rsidRPr="005E0D9C">
      <w:rPr>
        <w:rFonts w:ascii="Arial" w:hAnsi="Arial" w:cs="Arial"/>
        <w:b/>
      </w:rPr>
      <w:t xml:space="preserve">FC </w:t>
    </w:r>
    <w:r w:rsidR="00665457">
      <w:rPr>
        <w:rFonts w:ascii="Arial" w:hAnsi="Arial" w:cs="Arial"/>
        <w:b/>
      </w:rPr>
      <w:t>26</w:t>
    </w:r>
    <w:r w:rsidR="00974A53">
      <w:rPr>
        <w:rFonts w:ascii="Arial" w:hAnsi="Arial" w:cs="Arial"/>
        <w:b/>
      </w:rPr>
      <w:t>/22</w:t>
    </w:r>
    <w:r w:rsidR="00665457">
      <w:rPr>
        <w:rFonts w:ascii="Arial" w:hAnsi="Arial" w:cs="Arial"/>
        <w:b/>
      </w:rPr>
      <w:t>a</w:t>
    </w:r>
  </w:p>
  <w:p w14:paraId="3172783A" w14:textId="77777777" w:rsidR="0082627C" w:rsidRPr="005E0D9C" w:rsidRDefault="0082627C" w:rsidP="0082627C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395"/>
    <w:multiLevelType w:val="hybridMultilevel"/>
    <w:tmpl w:val="A4BA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2F73"/>
    <w:multiLevelType w:val="hybridMultilevel"/>
    <w:tmpl w:val="FA1C95A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146CFD"/>
    <w:multiLevelType w:val="hybridMultilevel"/>
    <w:tmpl w:val="F576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546"/>
    <w:multiLevelType w:val="hybridMultilevel"/>
    <w:tmpl w:val="A5901E06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0BC2755"/>
    <w:multiLevelType w:val="hybridMultilevel"/>
    <w:tmpl w:val="4A1A3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76884"/>
    <w:multiLevelType w:val="hybridMultilevel"/>
    <w:tmpl w:val="959A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1F2"/>
    <w:multiLevelType w:val="hybridMultilevel"/>
    <w:tmpl w:val="60B8D93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6772"/>
    <w:multiLevelType w:val="hybridMultilevel"/>
    <w:tmpl w:val="5F883744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B84C30"/>
    <w:multiLevelType w:val="hybridMultilevel"/>
    <w:tmpl w:val="38C2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4475"/>
    <w:multiLevelType w:val="hybridMultilevel"/>
    <w:tmpl w:val="1F16F4E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49F7B4E"/>
    <w:multiLevelType w:val="hybridMultilevel"/>
    <w:tmpl w:val="44B4152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910239"/>
    <w:multiLevelType w:val="hybridMultilevel"/>
    <w:tmpl w:val="4760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68B0"/>
    <w:multiLevelType w:val="hybridMultilevel"/>
    <w:tmpl w:val="0F40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02285"/>
    <w:multiLevelType w:val="hybridMultilevel"/>
    <w:tmpl w:val="B4B4D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82217"/>
    <w:multiLevelType w:val="hybridMultilevel"/>
    <w:tmpl w:val="41282A08"/>
    <w:lvl w:ilvl="0" w:tplc="DD4E7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E5E4097A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ECCFDB2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82193"/>
    <w:multiLevelType w:val="hybridMultilevel"/>
    <w:tmpl w:val="2792878C"/>
    <w:lvl w:ilvl="0" w:tplc="AD3452A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1AE7"/>
    <w:multiLevelType w:val="hybridMultilevel"/>
    <w:tmpl w:val="7AA4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A3350"/>
    <w:multiLevelType w:val="hybridMultilevel"/>
    <w:tmpl w:val="9558C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DD3"/>
    <w:multiLevelType w:val="hybridMultilevel"/>
    <w:tmpl w:val="782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41FAB"/>
    <w:multiLevelType w:val="hybridMultilevel"/>
    <w:tmpl w:val="2C4C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41C85"/>
    <w:multiLevelType w:val="hybridMultilevel"/>
    <w:tmpl w:val="4EFED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E057E"/>
    <w:multiLevelType w:val="hybridMultilevel"/>
    <w:tmpl w:val="B326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3704B"/>
    <w:multiLevelType w:val="hybridMultilevel"/>
    <w:tmpl w:val="9730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AB4"/>
    <w:multiLevelType w:val="hybridMultilevel"/>
    <w:tmpl w:val="3730A2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2497E"/>
    <w:multiLevelType w:val="hybridMultilevel"/>
    <w:tmpl w:val="3F669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E0679"/>
    <w:multiLevelType w:val="hybridMultilevel"/>
    <w:tmpl w:val="5BBA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905F5"/>
    <w:multiLevelType w:val="hybridMultilevel"/>
    <w:tmpl w:val="D9CE4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36F9F"/>
    <w:multiLevelType w:val="hybridMultilevel"/>
    <w:tmpl w:val="6DCED5E2"/>
    <w:lvl w:ilvl="0" w:tplc="84B8E6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425677">
    <w:abstractNumId w:val="2"/>
  </w:num>
  <w:num w:numId="2" w16cid:durableId="24334512">
    <w:abstractNumId w:val="2"/>
  </w:num>
  <w:num w:numId="3" w16cid:durableId="570238792">
    <w:abstractNumId w:val="18"/>
  </w:num>
  <w:num w:numId="4" w16cid:durableId="695615062">
    <w:abstractNumId w:val="13"/>
  </w:num>
  <w:num w:numId="5" w16cid:durableId="874074618">
    <w:abstractNumId w:val="7"/>
  </w:num>
  <w:num w:numId="6" w16cid:durableId="1030229112">
    <w:abstractNumId w:val="11"/>
  </w:num>
  <w:num w:numId="7" w16cid:durableId="1105341493">
    <w:abstractNumId w:val="24"/>
  </w:num>
  <w:num w:numId="8" w16cid:durableId="1123886953">
    <w:abstractNumId w:val="8"/>
  </w:num>
  <w:num w:numId="9" w16cid:durableId="1510220088">
    <w:abstractNumId w:val="6"/>
  </w:num>
  <w:num w:numId="10" w16cid:durableId="1604722587">
    <w:abstractNumId w:val="25"/>
  </w:num>
  <w:num w:numId="11" w16cid:durableId="1935547157">
    <w:abstractNumId w:val="27"/>
  </w:num>
  <w:num w:numId="12" w16cid:durableId="147475640">
    <w:abstractNumId w:val="9"/>
  </w:num>
  <w:num w:numId="13" w16cid:durableId="1657295036">
    <w:abstractNumId w:val="23"/>
  </w:num>
  <w:num w:numId="14" w16cid:durableId="136722631">
    <w:abstractNumId w:val="19"/>
  </w:num>
  <w:num w:numId="15" w16cid:durableId="1347948372">
    <w:abstractNumId w:val="15"/>
  </w:num>
  <w:num w:numId="16" w16cid:durableId="767847403">
    <w:abstractNumId w:val="3"/>
  </w:num>
  <w:num w:numId="17" w16cid:durableId="2048216481">
    <w:abstractNumId w:val="22"/>
  </w:num>
  <w:num w:numId="18" w16cid:durableId="161892747">
    <w:abstractNumId w:val="5"/>
  </w:num>
  <w:num w:numId="19" w16cid:durableId="1262181145">
    <w:abstractNumId w:val="14"/>
  </w:num>
  <w:num w:numId="20" w16cid:durableId="962685698">
    <w:abstractNumId w:val="1"/>
  </w:num>
  <w:num w:numId="21" w16cid:durableId="1047802498">
    <w:abstractNumId w:val="20"/>
  </w:num>
  <w:num w:numId="22" w16cid:durableId="2096052171">
    <w:abstractNumId w:val="17"/>
  </w:num>
  <w:num w:numId="23" w16cid:durableId="1919169430">
    <w:abstractNumId w:val="4"/>
  </w:num>
  <w:num w:numId="24" w16cid:durableId="1784574247">
    <w:abstractNumId w:val="26"/>
  </w:num>
  <w:num w:numId="25" w16cid:durableId="341322549">
    <w:abstractNumId w:val="21"/>
  </w:num>
  <w:num w:numId="26" w16cid:durableId="1773161526">
    <w:abstractNumId w:val="0"/>
  </w:num>
  <w:num w:numId="27" w16cid:durableId="1105155116">
    <w:abstractNumId w:val="16"/>
  </w:num>
  <w:num w:numId="28" w16cid:durableId="694691349">
    <w:abstractNumId w:val="12"/>
  </w:num>
  <w:num w:numId="29" w16cid:durableId="1981618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03"/>
    <w:rsid w:val="000012D8"/>
    <w:rsid w:val="000017B3"/>
    <w:rsid w:val="00011D4C"/>
    <w:rsid w:val="000137F6"/>
    <w:rsid w:val="000170C5"/>
    <w:rsid w:val="00025168"/>
    <w:rsid w:val="00030769"/>
    <w:rsid w:val="00030AA3"/>
    <w:rsid w:val="00031111"/>
    <w:rsid w:val="000356F6"/>
    <w:rsid w:val="00037C5B"/>
    <w:rsid w:val="000457BA"/>
    <w:rsid w:val="00046200"/>
    <w:rsid w:val="00057917"/>
    <w:rsid w:val="00057F81"/>
    <w:rsid w:val="000607C2"/>
    <w:rsid w:val="00060BE0"/>
    <w:rsid w:val="000673FD"/>
    <w:rsid w:val="0007219B"/>
    <w:rsid w:val="00075AA0"/>
    <w:rsid w:val="000819F5"/>
    <w:rsid w:val="00082128"/>
    <w:rsid w:val="00083569"/>
    <w:rsid w:val="00083A04"/>
    <w:rsid w:val="00091A71"/>
    <w:rsid w:val="0009215A"/>
    <w:rsid w:val="000921D9"/>
    <w:rsid w:val="000936F4"/>
    <w:rsid w:val="000942F1"/>
    <w:rsid w:val="000A02C6"/>
    <w:rsid w:val="000A0B90"/>
    <w:rsid w:val="000A3794"/>
    <w:rsid w:val="000A7745"/>
    <w:rsid w:val="000B3107"/>
    <w:rsid w:val="000B5A0C"/>
    <w:rsid w:val="000C4B21"/>
    <w:rsid w:val="000C605D"/>
    <w:rsid w:val="000C6313"/>
    <w:rsid w:val="000D11C2"/>
    <w:rsid w:val="000D3D8D"/>
    <w:rsid w:val="000D45C8"/>
    <w:rsid w:val="000D49D9"/>
    <w:rsid w:val="000D5EF5"/>
    <w:rsid w:val="000D6065"/>
    <w:rsid w:val="000D79B0"/>
    <w:rsid w:val="000E093B"/>
    <w:rsid w:val="000E0A04"/>
    <w:rsid w:val="000E2374"/>
    <w:rsid w:val="000E2898"/>
    <w:rsid w:val="000E5D81"/>
    <w:rsid w:val="000F01C6"/>
    <w:rsid w:val="000F2ADF"/>
    <w:rsid w:val="000F2B6B"/>
    <w:rsid w:val="000F500B"/>
    <w:rsid w:val="000F6C1A"/>
    <w:rsid w:val="00100416"/>
    <w:rsid w:val="00103719"/>
    <w:rsid w:val="00105DA6"/>
    <w:rsid w:val="00110C6F"/>
    <w:rsid w:val="00114EB7"/>
    <w:rsid w:val="00115FF3"/>
    <w:rsid w:val="001162B5"/>
    <w:rsid w:val="00116FAF"/>
    <w:rsid w:val="0012203E"/>
    <w:rsid w:val="001251AA"/>
    <w:rsid w:val="00133EB7"/>
    <w:rsid w:val="001362A0"/>
    <w:rsid w:val="00136B9B"/>
    <w:rsid w:val="00142BA2"/>
    <w:rsid w:val="00153201"/>
    <w:rsid w:val="001545BA"/>
    <w:rsid w:val="0016066C"/>
    <w:rsid w:val="001607E7"/>
    <w:rsid w:val="00161F78"/>
    <w:rsid w:val="00162802"/>
    <w:rsid w:val="001652A7"/>
    <w:rsid w:val="00173254"/>
    <w:rsid w:val="00173D84"/>
    <w:rsid w:val="001774F8"/>
    <w:rsid w:val="001837D5"/>
    <w:rsid w:val="001961AE"/>
    <w:rsid w:val="001A04E3"/>
    <w:rsid w:val="001A0586"/>
    <w:rsid w:val="001A100A"/>
    <w:rsid w:val="001A49A6"/>
    <w:rsid w:val="001A4EC9"/>
    <w:rsid w:val="001A6EEC"/>
    <w:rsid w:val="001B09A9"/>
    <w:rsid w:val="001B27BA"/>
    <w:rsid w:val="001B372F"/>
    <w:rsid w:val="001C196E"/>
    <w:rsid w:val="001C2516"/>
    <w:rsid w:val="001C2986"/>
    <w:rsid w:val="001C3FA5"/>
    <w:rsid w:val="001C6860"/>
    <w:rsid w:val="001C7072"/>
    <w:rsid w:val="001C7531"/>
    <w:rsid w:val="001D098A"/>
    <w:rsid w:val="001D15F3"/>
    <w:rsid w:val="001D40A0"/>
    <w:rsid w:val="001E6416"/>
    <w:rsid w:val="001F7DD5"/>
    <w:rsid w:val="00200D3C"/>
    <w:rsid w:val="00200F34"/>
    <w:rsid w:val="002021DB"/>
    <w:rsid w:val="00205FF3"/>
    <w:rsid w:val="00206D4D"/>
    <w:rsid w:val="00213212"/>
    <w:rsid w:val="00215EDF"/>
    <w:rsid w:val="00217D5E"/>
    <w:rsid w:val="0022010F"/>
    <w:rsid w:val="00220921"/>
    <w:rsid w:val="002209C5"/>
    <w:rsid w:val="00220B52"/>
    <w:rsid w:val="00223E04"/>
    <w:rsid w:val="00223EE4"/>
    <w:rsid w:val="002301E3"/>
    <w:rsid w:val="002312D8"/>
    <w:rsid w:val="002322FA"/>
    <w:rsid w:val="00233D9B"/>
    <w:rsid w:val="00234018"/>
    <w:rsid w:val="00234B6A"/>
    <w:rsid w:val="00236197"/>
    <w:rsid w:val="0023641D"/>
    <w:rsid w:val="002432D1"/>
    <w:rsid w:val="0024429A"/>
    <w:rsid w:val="00246B26"/>
    <w:rsid w:val="00255C99"/>
    <w:rsid w:val="0026380A"/>
    <w:rsid w:val="00263FA3"/>
    <w:rsid w:val="00265DD8"/>
    <w:rsid w:val="00266851"/>
    <w:rsid w:val="00267EFA"/>
    <w:rsid w:val="0027168F"/>
    <w:rsid w:val="002717A9"/>
    <w:rsid w:val="00272660"/>
    <w:rsid w:val="00273FF7"/>
    <w:rsid w:val="00275220"/>
    <w:rsid w:val="00276C97"/>
    <w:rsid w:val="002776B1"/>
    <w:rsid w:val="002815B5"/>
    <w:rsid w:val="00281CE2"/>
    <w:rsid w:val="00282FF2"/>
    <w:rsid w:val="0028570F"/>
    <w:rsid w:val="00285F8A"/>
    <w:rsid w:val="00287CBB"/>
    <w:rsid w:val="00290147"/>
    <w:rsid w:val="002906FA"/>
    <w:rsid w:val="00290A70"/>
    <w:rsid w:val="0029134F"/>
    <w:rsid w:val="002929FC"/>
    <w:rsid w:val="002934C6"/>
    <w:rsid w:val="00295AF1"/>
    <w:rsid w:val="00296391"/>
    <w:rsid w:val="00297103"/>
    <w:rsid w:val="00297E3E"/>
    <w:rsid w:val="00297F03"/>
    <w:rsid w:val="002A283D"/>
    <w:rsid w:val="002A5ADD"/>
    <w:rsid w:val="002B17B6"/>
    <w:rsid w:val="002B2DCD"/>
    <w:rsid w:val="002B3623"/>
    <w:rsid w:val="002B79F9"/>
    <w:rsid w:val="002C2F55"/>
    <w:rsid w:val="002C40ED"/>
    <w:rsid w:val="002C463F"/>
    <w:rsid w:val="002C59F7"/>
    <w:rsid w:val="002D0F10"/>
    <w:rsid w:val="002D3751"/>
    <w:rsid w:val="002D6D01"/>
    <w:rsid w:val="002E671E"/>
    <w:rsid w:val="002F0503"/>
    <w:rsid w:val="002F27B0"/>
    <w:rsid w:val="002F5A1B"/>
    <w:rsid w:val="0030437B"/>
    <w:rsid w:val="0030462D"/>
    <w:rsid w:val="0030663B"/>
    <w:rsid w:val="00311AFC"/>
    <w:rsid w:val="00320093"/>
    <w:rsid w:val="00321CCE"/>
    <w:rsid w:val="003243FC"/>
    <w:rsid w:val="00330635"/>
    <w:rsid w:val="00335B19"/>
    <w:rsid w:val="0034374E"/>
    <w:rsid w:val="00343E58"/>
    <w:rsid w:val="003503E2"/>
    <w:rsid w:val="003527AF"/>
    <w:rsid w:val="00354607"/>
    <w:rsid w:val="00355A56"/>
    <w:rsid w:val="003610AA"/>
    <w:rsid w:val="0036163F"/>
    <w:rsid w:val="003639D4"/>
    <w:rsid w:val="003644C4"/>
    <w:rsid w:val="00366626"/>
    <w:rsid w:val="00367A7D"/>
    <w:rsid w:val="00374213"/>
    <w:rsid w:val="00376470"/>
    <w:rsid w:val="003801C5"/>
    <w:rsid w:val="00381E6E"/>
    <w:rsid w:val="0038317E"/>
    <w:rsid w:val="00383EC2"/>
    <w:rsid w:val="003929BD"/>
    <w:rsid w:val="00392DA9"/>
    <w:rsid w:val="00395453"/>
    <w:rsid w:val="00395D34"/>
    <w:rsid w:val="00397C00"/>
    <w:rsid w:val="003A5388"/>
    <w:rsid w:val="003A56EE"/>
    <w:rsid w:val="003C2FB0"/>
    <w:rsid w:val="003C35DA"/>
    <w:rsid w:val="003C44E0"/>
    <w:rsid w:val="003C6088"/>
    <w:rsid w:val="003C630C"/>
    <w:rsid w:val="003C66BD"/>
    <w:rsid w:val="003C7595"/>
    <w:rsid w:val="003D46B7"/>
    <w:rsid w:val="003D482B"/>
    <w:rsid w:val="003F0D20"/>
    <w:rsid w:val="003F1D29"/>
    <w:rsid w:val="003F211B"/>
    <w:rsid w:val="003F5DC4"/>
    <w:rsid w:val="0040156D"/>
    <w:rsid w:val="0040263D"/>
    <w:rsid w:val="00406ACE"/>
    <w:rsid w:val="004077A3"/>
    <w:rsid w:val="00407DBF"/>
    <w:rsid w:val="004147DA"/>
    <w:rsid w:val="0041680A"/>
    <w:rsid w:val="00422710"/>
    <w:rsid w:val="00425AA2"/>
    <w:rsid w:val="00426708"/>
    <w:rsid w:val="004317BE"/>
    <w:rsid w:val="00433BAA"/>
    <w:rsid w:val="00433C41"/>
    <w:rsid w:val="00434574"/>
    <w:rsid w:val="0043764A"/>
    <w:rsid w:val="004461E0"/>
    <w:rsid w:val="0045463F"/>
    <w:rsid w:val="00454734"/>
    <w:rsid w:val="00454864"/>
    <w:rsid w:val="0045656B"/>
    <w:rsid w:val="00456E38"/>
    <w:rsid w:val="00460C57"/>
    <w:rsid w:val="00461193"/>
    <w:rsid w:val="00462162"/>
    <w:rsid w:val="00462346"/>
    <w:rsid w:val="00473BC9"/>
    <w:rsid w:val="00475EFA"/>
    <w:rsid w:val="00475F66"/>
    <w:rsid w:val="00476D1B"/>
    <w:rsid w:val="004904EC"/>
    <w:rsid w:val="0049052A"/>
    <w:rsid w:val="00492617"/>
    <w:rsid w:val="0049681D"/>
    <w:rsid w:val="00496C30"/>
    <w:rsid w:val="00497920"/>
    <w:rsid w:val="004A083A"/>
    <w:rsid w:val="004A261D"/>
    <w:rsid w:val="004A3FD3"/>
    <w:rsid w:val="004A449F"/>
    <w:rsid w:val="004A482E"/>
    <w:rsid w:val="004A5A01"/>
    <w:rsid w:val="004A5FB2"/>
    <w:rsid w:val="004A6E8D"/>
    <w:rsid w:val="004B1940"/>
    <w:rsid w:val="004B2557"/>
    <w:rsid w:val="004B7E82"/>
    <w:rsid w:val="004C08AD"/>
    <w:rsid w:val="004C22FE"/>
    <w:rsid w:val="004C31F8"/>
    <w:rsid w:val="004C5DDC"/>
    <w:rsid w:val="004C6494"/>
    <w:rsid w:val="004D0560"/>
    <w:rsid w:val="004D38EB"/>
    <w:rsid w:val="004D72F0"/>
    <w:rsid w:val="004E330D"/>
    <w:rsid w:val="004E4EFD"/>
    <w:rsid w:val="004E51EA"/>
    <w:rsid w:val="004E5564"/>
    <w:rsid w:val="004E6033"/>
    <w:rsid w:val="004E6D70"/>
    <w:rsid w:val="004F73BD"/>
    <w:rsid w:val="00514618"/>
    <w:rsid w:val="005201FA"/>
    <w:rsid w:val="00520974"/>
    <w:rsid w:val="005223F1"/>
    <w:rsid w:val="00533DE8"/>
    <w:rsid w:val="00535628"/>
    <w:rsid w:val="0053645A"/>
    <w:rsid w:val="00536F6F"/>
    <w:rsid w:val="00541190"/>
    <w:rsid w:val="0054193E"/>
    <w:rsid w:val="005425E2"/>
    <w:rsid w:val="00544CB6"/>
    <w:rsid w:val="00547009"/>
    <w:rsid w:val="0054716D"/>
    <w:rsid w:val="00547415"/>
    <w:rsid w:val="00553232"/>
    <w:rsid w:val="00555DC4"/>
    <w:rsid w:val="00557ABD"/>
    <w:rsid w:val="005605B2"/>
    <w:rsid w:val="0056134D"/>
    <w:rsid w:val="005614E7"/>
    <w:rsid w:val="005648F6"/>
    <w:rsid w:val="00564C52"/>
    <w:rsid w:val="00565033"/>
    <w:rsid w:val="005720CC"/>
    <w:rsid w:val="00572BAC"/>
    <w:rsid w:val="00576B9B"/>
    <w:rsid w:val="005817F9"/>
    <w:rsid w:val="00583B44"/>
    <w:rsid w:val="00584D4E"/>
    <w:rsid w:val="00587AD0"/>
    <w:rsid w:val="00587CBF"/>
    <w:rsid w:val="00593931"/>
    <w:rsid w:val="00595581"/>
    <w:rsid w:val="005A12B1"/>
    <w:rsid w:val="005A3EC9"/>
    <w:rsid w:val="005A5B87"/>
    <w:rsid w:val="005B2CC6"/>
    <w:rsid w:val="005B56F5"/>
    <w:rsid w:val="005B5EE4"/>
    <w:rsid w:val="005C1520"/>
    <w:rsid w:val="005C1D93"/>
    <w:rsid w:val="005C1E17"/>
    <w:rsid w:val="005C1F1B"/>
    <w:rsid w:val="005C65F2"/>
    <w:rsid w:val="005C7D4E"/>
    <w:rsid w:val="005D2B9F"/>
    <w:rsid w:val="005D2BCB"/>
    <w:rsid w:val="005D2CE7"/>
    <w:rsid w:val="005D32FE"/>
    <w:rsid w:val="005D43FF"/>
    <w:rsid w:val="005D5484"/>
    <w:rsid w:val="005D6F18"/>
    <w:rsid w:val="005E0D9C"/>
    <w:rsid w:val="005E61F4"/>
    <w:rsid w:val="005E764C"/>
    <w:rsid w:val="005F0737"/>
    <w:rsid w:val="005F090D"/>
    <w:rsid w:val="005F6069"/>
    <w:rsid w:val="005F697D"/>
    <w:rsid w:val="005F7353"/>
    <w:rsid w:val="005F7355"/>
    <w:rsid w:val="005F77F9"/>
    <w:rsid w:val="00600745"/>
    <w:rsid w:val="006035E3"/>
    <w:rsid w:val="0060729D"/>
    <w:rsid w:val="00610A83"/>
    <w:rsid w:val="00611864"/>
    <w:rsid w:val="00613156"/>
    <w:rsid w:val="00613195"/>
    <w:rsid w:val="00614E12"/>
    <w:rsid w:val="00616317"/>
    <w:rsid w:val="00620D4B"/>
    <w:rsid w:val="006224FD"/>
    <w:rsid w:val="00626CFA"/>
    <w:rsid w:val="006321ED"/>
    <w:rsid w:val="00634414"/>
    <w:rsid w:val="00637ABD"/>
    <w:rsid w:val="00641BAF"/>
    <w:rsid w:val="00642934"/>
    <w:rsid w:val="006478D2"/>
    <w:rsid w:val="00651806"/>
    <w:rsid w:val="00654A16"/>
    <w:rsid w:val="00660877"/>
    <w:rsid w:val="00662495"/>
    <w:rsid w:val="006645C7"/>
    <w:rsid w:val="00665457"/>
    <w:rsid w:val="0066629B"/>
    <w:rsid w:val="0066738F"/>
    <w:rsid w:val="00672006"/>
    <w:rsid w:val="006724A0"/>
    <w:rsid w:val="00673FFB"/>
    <w:rsid w:val="00674582"/>
    <w:rsid w:val="006745F3"/>
    <w:rsid w:val="006910BA"/>
    <w:rsid w:val="006912D1"/>
    <w:rsid w:val="00691601"/>
    <w:rsid w:val="00691797"/>
    <w:rsid w:val="00692F09"/>
    <w:rsid w:val="00692F1D"/>
    <w:rsid w:val="006940BD"/>
    <w:rsid w:val="00694103"/>
    <w:rsid w:val="006971E2"/>
    <w:rsid w:val="00697D7A"/>
    <w:rsid w:val="006A1B57"/>
    <w:rsid w:val="006B2595"/>
    <w:rsid w:val="006B342D"/>
    <w:rsid w:val="006B44E9"/>
    <w:rsid w:val="006B4701"/>
    <w:rsid w:val="006B517F"/>
    <w:rsid w:val="006B51FD"/>
    <w:rsid w:val="006B54EC"/>
    <w:rsid w:val="006C31F4"/>
    <w:rsid w:val="006C3C6E"/>
    <w:rsid w:val="006C63CF"/>
    <w:rsid w:val="006C6815"/>
    <w:rsid w:val="006C6AD3"/>
    <w:rsid w:val="006D07FD"/>
    <w:rsid w:val="006D1764"/>
    <w:rsid w:val="006D4084"/>
    <w:rsid w:val="006E4257"/>
    <w:rsid w:val="006E43D2"/>
    <w:rsid w:val="006F02B3"/>
    <w:rsid w:val="006F73CE"/>
    <w:rsid w:val="00702E07"/>
    <w:rsid w:val="00704BC7"/>
    <w:rsid w:val="00705D2C"/>
    <w:rsid w:val="00706384"/>
    <w:rsid w:val="007065A4"/>
    <w:rsid w:val="00707972"/>
    <w:rsid w:val="0071606A"/>
    <w:rsid w:val="007209D5"/>
    <w:rsid w:val="00721EBC"/>
    <w:rsid w:val="0072577E"/>
    <w:rsid w:val="00731C81"/>
    <w:rsid w:val="00736061"/>
    <w:rsid w:val="00737319"/>
    <w:rsid w:val="00746AF4"/>
    <w:rsid w:val="00746E90"/>
    <w:rsid w:val="00751F1F"/>
    <w:rsid w:val="00751F57"/>
    <w:rsid w:val="00754339"/>
    <w:rsid w:val="007572BC"/>
    <w:rsid w:val="00761495"/>
    <w:rsid w:val="00765CFE"/>
    <w:rsid w:val="007664DB"/>
    <w:rsid w:val="00766A78"/>
    <w:rsid w:val="00774494"/>
    <w:rsid w:val="0077516C"/>
    <w:rsid w:val="00777654"/>
    <w:rsid w:val="007776CF"/>
    <w:rsid w:val="00781E27"/>
    <w:rsid w:val="00783FCC"/>
    <w:rsid w:val="00785AC6"/>
    <w:rsid w:val="00790947"/>
    <w:rsid w:val="00791734"/>
    <w:rsid w:val="00793F42"/>
    <w:rsid w:val="007B32D2"/>
    <w:rsid w:val="007B4069"/>
    <w:rsid w:val="007B425E"/>
    <w:rsid w:val="007B4651"/>
    <w:rsid w:val="007B6762"/>
    <w:rsid w:val="007B6A4E"/>
    <w:rsid w:val="007C045F"/>
    <w:rsid w:val="007C130B"/>
    <w:rsid w:val="007C6CF4"/>
    <w:rsid w:val="007D43F1"/>
    <w:rsid w:val="007D48DE"/>
    <w:rsid w:val="007D508A"/>
    <w:rsid w:val="007D5141"/>
    <w:rsid w:val="007D5BED"/>
    <w:rsid w:val="007D63A7"/>
    <w:rsid w:val="007E0BFC"/>
    <w:rsid w:val="007E2ED9"/>
    <w:rsid w:val="007E46A0"/>
    <w:rsid w:val="007E709D"/>
    <w:rsid w:val="007F08F2"/>
    <w:rsid w:val="007F15C1"/>
    <w:rsid w:val="007F204B"/>
    <w:rsid w:val="007F2F84"/>
    <w:rsid w:val="007F4704"/>
    <w:rsid w:val="007F6279"/>
    <w:rsid w:val="0080306F"/>
    <w:rsid w:val="0080319F"/>
    <w:rsid w:val="00803C16"/>
    <w:rsid w:val="0080455B"/>
    <w:rsid w:val="008046A0"/>
    <w:rsid w:val="00804945"/>
    <w:rsid w:val="008063FF"/>
    <w:rsid w:val="00806AD9"/>
    <w:rsid w:val="00811D8F"/>
    <w:rsid w:val="00813CA6"/>
    <w:rsid w:val="00820D0D"/>
    <w:rsid w:val="00822556"/>
    <w:rsid w:val="008239E2"/>
    <w:rsid w:val="0082627C"/>
    <w:rsid w:val="00827851"/>
    <w:rsid w:val="00827FE4"/>
    <w:rsid w:val="00832AB0"/>
    <w:rsid w:val="008340D7"/>
    <w:rsid w:val="00834D6D"/>
    <w:rsid w:val="00837AAC"/>
    <w:rsid w:val="00837F77"/>
    <w:rsid w:val="00842FFE"/>
    <w:rsid w:val="00843120"/>
    <w:rsid w:val="008464EF"/>
    <w:rsid w:val="00847E73"/>
    <w:rsid w:val="0085275E"/>
    <w:rsid w:val="00855370"/>
    <w:rsid w:val="008558B6"/>
    <w:rsid w:val="00855E11"/>
    <w:rsid w:val="008602E0"/>
    <w:rsid w:val="008619B0"/>
    <w:rsid w:val="008702C1"/>
    <w:rsid w:val="00874304"/>
    <w:rsid w:val="008747D7"/>
    <w:rsid w:val="00880A64"/>
    <w:rsid w:val="00880BEA"/>
    <w:rsid w:val="00882132"/>
    <w:rsid w:val="00885DD2"/>
    <w:rsid w:val="008863E5"/>
    <w:rsid w:val="008876A2"/>
    <w:rsid w:val="00891DA7"/>
    <w:rsid w:val="0089402A"/>
    <w:rsid w:val="008A0CB7"/>
    <w:rsid w:val="008A788C"/>
    <w:rsid w:val="008A7AD7"/>
    <w:rsid w:val="008B3E5B"/>
    <w:rsid w:val="008B4DF5"/>
    <w:rsid w:val="008B7BB4"/>
    <w:rsid w:val="008C142A"/>
    <w:rsid w:val="008C3621"/>
    <w:rsid w:val="008C43E5"/>
    <w:rsid w:val="008C4F32"/>
    <w:rsid w:val="008C5268"/>
    <w:rsid w:val="008C5689"/>
    <w:rsid w:val="008C5F39"/>
    <w:rsid w:val="008C6A71"/>
    <w:rsid w:val="008D5E88"/>
    <w:rsid w:val="008D5F59"/>
    <w:rsid w:val="008E70E4"/>
    <w:rsid w:val="008E78AC"/>
    <w:rsid w:val="008F05A7"/>
    <w:rsid w:val="008F255C"/>
    <w:rsid w:val="008F288B"/>
    <w:rsid w:val="008F3B86"/>
    <w:rsid w:val="008F410B"/>
    <w:rsid w:val="008F43F8"/>
    <w:rsid w:val="008F69E7"/>
    <w:rsid w:val="008F79F6"/>
    <w:rsid w:val="008F7AA2"/>
    <w:rsid w:val="008F7B8A"/>
    <w:rsid w:val="00903F5D"/>
    <w:rsid w:val="00906888"/>
    <w:rsid w:val="00907C65"/>
    <w:rsid w:val="009172CC"/>
    <w:rsid w:val="00922365"/>
    <w:rsid w:val="00922C21"/>
    <w:rsid w:val="00933B69"/>
    <w:rsid w:val="00935430"/>
    <w:rsid w:val="00935C37"/>
    <w:rsid w:val="00936F4E"/>
    <w:rsid w:val="00937102"/>
    <w:rsid w:val="00950E2C"/>
    <w:rsid w:val="00953C93"/>
    <w:rsid w:val="00961064"/>
    <w:rsid w:val="00962E0E"/>
    <w:rsid w:val="00966DC0"/>
    <w:rsid w:val="00967D19"/>
    <w:rsid w:val="00967F01"/>
    <w:rsid w:val="00970861"/>
    <w:rsid w:val="009716A6"/>
    <w:rsid w:val="00974A53"/>
    <w:rsid w:val="00976A38"/>
    <w:rsid w:val="0098141B"/>
    <w:rsid w:val="009818AD"/>
    <w:rsid w:val="00982265"/>
    <w:rsid w:val="009825C9"/>
    <w:rsid w:val="0098652C"/>
    <w:rsid w:val="00986841"/>
    <w:rsid w:val="00990C63"/>
    <w:rsid w:val="00996055"/>
    <w:rsid w:val="009A0009"/>
    <w:rsid w:val="009A3E98"/>
    <w:rsid w:val="009B12A2"/>
    <w:rsid w:val="009B4242"/>
    <w:rsid w:val="009B4304"/>
    <w:rsid w:val="009B4958"/>
    <w:rsid w:val="009B7A69"/>
    <w:rsid w:val="009B7FB7"/>
    <w:rsid w:val="009C0D4C"/>
    <w:rsid w:val="009C20E4"/>
    <w:rsid w:val="009C30D4"/>
    <w:rsid w:val="009C67DA"/>
    <w:rsid w:val="009C7EAD"/>
    <w:rsid w:val="009D0382"/>
    <w:rsid w:val="009D0D4E"/>
    <w:rsid w:val="009D1308"/>
    <w:rsid w:val="009E5B3E"/>
    <w:rsid w:val="009E5CEB"/>
    <w:rsid w:val="009E6725"/>
    <w:rsid w:val="009F0C79"/>
    <w:rsid w:val="009F17FF"/>
    <w:rsid w:val="009F642F"/>
    <w:rsid w:val="00A01C84"/>
    <w:rsid w:val="00A05426"/>
    <w:rsid w:val="00A07D9B"/>
    <w:rsid w:val="00A10370"/>
    <w:rsid w:val="00A1075A"/>
    <w:rsid w:val="00A130B7"/>
    <w:rsid w:val="00A1598C"/>
    <w:rsid w:val="00A15D95"/>
    <w:rsid w:val="00A16320"/>
    <w:rsid w:val="00A177FF"/>
    <w:rsid w:val="00A21699"/>
    <w:rsid w:val="00A23CE1"/>
    <w:rsid w:val="00A261D9"/>
    <w:rsid w:val="00A34917"/>
    <w:rsid w:val="00A3491D"/>
    <w:rsid w:val="00A40027"/>
    <w:rsid w:val="00A50E91"/>
    <w:rsid w:val="00A60F99"/>
    <w:rsid w:val="00A6118B"/>
    <w:rsid w:val="00A61D56"/>
    <w:rsid w:val="00A6599B"/>
    <w:rsid w:val="00A669B3"/>
    <w:rsid w:val="00A672D8"/>
    <w:rsid w:val="00A71288"/>
    <w:rsid w:val="00A73901"/>
    <w:rsid w:val="00A73B38"/>
    <w:rsid w:val="00A74F8F"/>
    <w:rsid w:val="00A764FB"/>
    <w:rsid w:val="00A767B7"/>
    <w:rsid w:val="00A819AF"/>
    <w:rsid w:val="00A847DE"/>
    <w:rsid w:val="00A853B9"/>
    <w:rsid w:val="00A9031B"/>
    <w:rsid w:val="00A90F50"/>
    <w:rsid w:val="00A929CD"/>
    <w:rsid w:val="00A93596"/>
    <w:rsid w:val="00A94DE7"/>
    <w:rsid w:val="00A95051"/>
    <w:rsid w:val="00A96FA5"/>
    <w:rsid w:val="00AA55F9"/>
    <w:rsid w:val="00AA567C"/>
    <w:rsid w:val="00AA6A39"/>
    <w:rsid w:val="00AA70D6"/>
    <w:rsid w:val="00AB3E28"/>
    <w:rsid w:val="00AB5760"/>
    <w:rsid w:val="00AB7357"/>
    <w:rsid w:val="00AC39B6"/>
    <w:rsid w:val="00AC53BB"/>
    <w:rsid w:val="00AD1344"/>
    <w:rsid w:val="00AD1CA2"/>
    <w:rsid w:val="00AD4EF8"/>
    <w:rsid w:val="00AD7B36"/>
    <w:rsid w:val="00AE0FAC"/>
    <w:rsid w:val="00AE39A5"/>
    <w:rsid w:val="00AE6DC7"/>
    <w:rsid w:val="00AF6D3E"/>
    <w:rsid w:val="00B05EB1"/>
    <w:rsid w:val="00B07815"/>
    <w:rsid w:val="00B10CD2"/>
    <w:rsid w:val="00B13579"/>
    <w:rsid w:val="00B14A94"/>
    <w:rsid w:val="00B14D90"/>
    <w:rsid w:val="00B15B5B"/>
    <w:rsid w:val="00B2146A"/>
    <w:rsid w:val="00B23FEE"/>
    <w:rsid w:val="00B243FF"/>
    <w:rsid w:val="00B340A5"/>
    <w:rsid w:val="00B34EBB"/>
    <w:rsid w:val="00B37803"/>
    <w:rsid w:val="00B410A5"/>
    <w:rsid w:val="00B42765"/>
    <w:rsid w:val="00B4729D"/>
    <w:rsid w:val="00B51D32"/>
    <w:rsid w:val="00B53585"/>
    <w:rsid w:val="00B546AB"/>
    <w:rsid w:val="00B6035F"/>
    <w:rsid w:val="00B61928"/>
    <w:rsid w:val="00B66B08"/>
    <w:rsid w:val="00B72C2C"/>
    <w:rsid w:val="00B8105E"/>
    <w:rsid w:val="00B836FD"/>
    <w:rsid w:val="00B93C96"/>
    <w:rsid w:val="00B93F49"/>
    <w:rsid w:val="00B953E2"/>
    <w:rsid w:val="00B9654A"/>
    <w:rsid w:val="00B967F8"/>
    <w:rsid w:val="00B97B52"/>
    <w:rsid w:val="00BA0011"/>
    <w:rsid w:val="00BA28D1"/>
    <w:rsid w:val="00BA3424"/>
    <w:rsid w:val="00BA3E60"/>
    <w:rsid w:val="00BB0645"/>
    <w:rsid w:val="00BB0963"/>
    <w:rsid w:val="00BB36B5"/>
    <w:rsid w:val="00BB3BAB"/>
    <w:rsid w:val="00BB59A4"/>
    <w:rsid w:val="00BB64F0"/>
    <w:rsid w:val="00BB7643"/>
    <w:rsid w:val="00BC3981"/>
    <w:rsid w:val="00BC4896"/>
    <w:rsid w:val="00BC6A75"/>
    <w:rsid w:val="00BC6A92"/>
    <w:rsid w:val="00BC70A6"/>
    <w:rsid w:val="00BD0359"/>
    <w:rsid w:val="00BD1FDE"/>
    <w:rsid w:val="00BD710A"/>
    <w:rsid w:val="00BD7542"/>
    <w:rsid w:val="00BE13D3"/>
    <w:rsid w:val="00BE3622"/>
    <w:rsid w:val="00BE6958"/>
    <w:rsid w:val="00BE7DF2"/>
    <w:rsid w:val="00BF2BCD"/>
    <w:rsid w:val="00BF3720"/>
    <w:rsid w:val="00BF6333"/>
    <w:rsid w:val="00C00B83"/>
    <w:rsid w:val="00C059F5"/>
    <w:rsid w:val="00C06351"/>
    <w:rsid w:val="00C06E44"/>
    <w:rsid w:val="00C07130"/>
    <w:rsid w:val="00C14299"/>
    <w:rsid w:val="00C171C6"/>
    <w:rsid w:val="00C2243A"/>
    <w:rsid w:val="00C2399B"/>
    <w:rsid w:val="00C33146"/>
    <w:rsid w:val="00C3407F"/>
    <w:rsid w:val="00C36E20"/>
    <w:rsid w:val="00C42C19"/>
    <w:rsid w:val="00C46508"/>
    <w:rsid w:val="00C50600"/>
    <w:rsid w:val="00C50968"/>
    <w:rsid w:val="00C5153A"/>
    <w:rsid w:val="00C51DA5"/>
    <w:rsid w:val="00C53552"/>
    <w:rsid w:val="00C563BD"/>
    <w:rsid w:val="00C56718"/>
    <w:rsid w:val="00C56ACA"/>
    <w:rsid w:val="00C56B3D"/>
    <w:rsid w:val="00C5737F"/>
    <w:rsid w:val="00C61C73"/>
    <w:rsid w:val="00C63316"/>
    <w:rsid w:val="00C67101"/>
    <w:rsid w:val="00C70BF6"/>
    <w:rsid w:val="00C7479D"/>
    <w:rsid w:val="00C7683E"/>
    <w:rsid w:val="00C76EC0"/>
    <w:rsid w:val="00C82BAD"/>
    <w:rsid w:val="00C83A0B"/>
    <w:rsid w:val="00C83AF7"/>
    <w:rsid w:val="00C8440C"/>
    <w:rsid w:val="00C8643F"/>
    <w:rsid w:val="00C9145D"/>
    <w:rsid w:val="00C9363E"/>
    <w:rsid w:val="00C9400F"/>
    <w:rsid w:val="00C9487E"/>
    <w:rsid w:val="00CA336C"/>
    <w:rsid w:val="00CA62DC"/>
    <w:rsid w:val="00CA644D"/>
    <w:rsid w:val="00CA7723"/>
    <w:rsid w:val="00CA7A3B"/>
    <w:rsid w:val="00CA7B19"/>
    <w:rsid w:val="00CC3DD8"/>
    <w:rsid w:val="00CC5E40"/>
    <w:rsid w:val="00CD43C6"/>
    <w:rsid w:val="00CD43DF"/>
    <w:rsid w:val="00CE0342"/>
    <w:rsid w:val="00CE1D63"/>
    <w:rsid w:val="00CE56BE"/>
    <w:rsid w:val="00CE6B80"/>
    <w:rsid w:val="00CF0418"/>
    <w:rsid w:val="00CF0470"/>
    <w:rsid w:val="00CF3D99"/>
    <w:rsid w:val="00CF5665"/>
    <w:rsid w:val="00CF632A"/>
    <w:rsid w:val="00D016F1"/>
    <w:rsid w:val="00D02C4D"/>
    <w:rsid w:val="00D07F0D"/>
    <w:rsid w:val="00D10F9C"/>
    <w:rsid w:val="00D1147F"/>
    <w:rsid w:val="00D11696"/>
    <w:rsid w:val="00D13396"/>
    <w:rsid w:val="00D141B9"/>
    <w:rsid w:val="00D1458D"/>
    <w:rsid w:val="00D1568C"/>
    <w:rsid w:val="00D15C15"/>
    <w:rsid w:val="00D17017"/>
    <w:rsid w:val="00D20911"/>
    <w:rsid w:val="00D23670"/>
    <w:rsid w:val="00D23868"/>
    <w:rsid w:val="00D312A1"/>
    <w:rsid w:val="00D352CB"/>
    <w:rsid w:val="00D40F17"/>
    <w:rsid w:val="00D452CF"/>
    <w:rsid w:val="00D46A79"/>
    <w:rsid w:val="00D471B0"/>
    <w:rsid w:val="00D50787"/>
    <w:rsid w:val="00D60088"/>
    <w:rsid w:val="00D73AE2"/>
    <w:rsid w:val="00D748B6"/>
    <w:rsid w:val="00D74E15"/>
    <w:rsid w:val="00D778B9"/>
    <w:rsid w:val="00D8098A"/>
    <w:rsid w:val="00D86902"/>
    <w:rsid w:val="00D91953"/>
    <w:rsid w:val="00D97B7A"/>
    <w:rsid w:val="00DA2C9F"/>
    <w:rsid w:val="00DA5538"/>
    <w:rsid w:val="00DB6DD3"/>
    <w:rsid w:val="00DB7322"/>
    <w:rsid w:val="00DB79F2"/>
    <w:rsid w:val="00DC000E"/>
    <w:rsid w:val="00DC006F"/>
    <w:rsid w:val="00DC14A6"/>
    <w:rsid w:val="00DC1E4D"/>
    <w:rsid w:val="00DC2C7D"/>
    <w:rsid w:val="00DC5C41"/>
    <w:rsid w:val="00DD0B74"/>
    <w:rsid w:val="00DD11C7"/>
    <w:rsid w:val="00DD4D39"/>
    <w:rsid w:val="00DE3D20"/>
    <w:rsid w:val="00DE664A"/>
    <w:rsid w:val="00DE6D5A"/>
    <w:rsid w:val="00DF1684"/>
    <w:rsid w:val="00DF3625"/>
    <w:rsid w:val="00DF3855"/>
    <w:rsid w:val="00DF4010"/>
    <w:rsid w:val="00DF4109"/>
    <w:rsid w:val="00DF7A2F"/>
    <w:rsid w:val="00DF7B17"/>
    <w:rsid w:val="00E03B93"/>
    <w:rsid w:val="00E03D70"/>
    <w:rsid w:val="00E03F06"/>
    <w:rsid w:val="00E06DFA"/>
    <w:rsid w:val="00E13659"/>
    <w:rsid w:val="00E22B2D"/>
    <w:rsid w:val="00E25DC7"/>
    <w:rsid w:val="00E26D73"/>
    <w:rsid w:val="00E319AB"/>
    <w:rsid w:val="00E34A39"/>
    <w:rsid w:val="00E3646A"/>
    <w:rsid w:val="00E37054"/>
    <w:rsid w:val="00E44E14"/>
    <w:rsid w:val="00E477D0"/>
    <w:rsid w:val="00E531D9"/>
    <w:rsid w:val="00E5367F"/>
    <w:rsid w:val="00E54C35"/>
    <w:rsid w:val="00E553FF"/>
    <w:rsid w:val="00E569DE"/>
    <w:rsid w:val="00E5708D"/>
    <w:rsid w:val="00E601D4"/>
    <w:rsid w:val="00E60AE8"/>
    <w:rsid w:val="00E60F74"/>
    <w:rsid w:val="00E64824"/>
    <w:rsid w:val="00E64D05"/>
    <w:rsid w:val="00E6519B"/>
    <w:rsid w:val="00E669EC"/>
    <w:rsid w:val="00E67F88"/>
    <w:rsid w:val="00E70C0A"/>
    <w:rsid w:val="00E712D5"/>
    <w:rsid w:val="00E73165"/>
    <w:rsid w:val="00E77229"/>
    <w:rsid w:val="00E8125D"/>
    <w:rsid w:val="00E82DAC"/>
    <w:rsid w:val="00E84158"/>
    <w:rsid w:val="00E876B0"/>
    <w:rsid w:val="00E9140E"/>
    <w:rsid w:val="00E9398F"/>
    <w:rsid w:val="00E952B4"/>
    <w:rsid w:val="00EA1D18"/>
    <w:rsid w:val="00EA42C8"/>
    <w:rsid w:val="00EB1B74"/>
    <w:rsid w:val="00EB630C"/>
    <w:rsid w:val="00EB63FC"/>
    <w:rsid w:val="00EB654F"/>
    <w:rsid w:val="00EB6BE7"/>
    <w:rsid w:val="00EB6C80"/>
    <w:rsid w:val="00EC7B35"/>
    <w:rsid w:val="00ED4250"/>
    <w:rsid w:val="00ED4C2F"/>
    <w:rsid w:val="00EF1CB2"/>
    <w:rsid w:val="00EF5DA7"/>
    <w:rsid w:val="00EF79AF"/>
    <w:rsid w:val="00F022D5"/>
    <w:rsid w:val="00F05303"/>
    <w:rsid w:val="00F0604A"/>
    <w:rsid w:val="00F1029D"/>
    <w:rsid w:val="00F12E5F"/>
    <w:rsid w:val="00F1362D"/>
    <w:rsid w:val="00F15B26"/>
    <w:rsid w:val="00F16C4B"/>
    <w:rsid w:val="00F21ECA"/>
    <w:rsid w:val="00F22B72"/>
    <w:rsid w:val="00F23025"/>
    <w:rsid w:val="00F239D0"/>
    <w:rsid w:val="00F2445C"/>
    <w:rsid w:val="00F27CF6"/>
    <w:rsid w:val="00F33C49"/>
    <w:rsid w:val="00F37510"/>
    <w:rsid w:val="00F37EDB"/>
    <w:rsid w:val="00F43E2D"/>
    <w:rsid w:val="00F52896"/>
    <w:rsid w:val="00F62864"/>
    <w:rsid w:val="00F63E43"/>
    <w:rsid w:val="00F65168"/>
    <w:rsid w:val="00F678A0"/>
    <w:rsid w:val="00F717E4"/>
    <w:rsid w:val="00F74FB1"/>
    <w:rsid w:val="00F84D4A"/>
    <w:rsid w:val="00F85329"/>
    <w:rsid w:val="00F85B5E"/>
    <w:rsid w:val="00F936F7"/>
    <w:rsid w:val="00F952BF"/>
    <w:rsid w:val="00F964C5"/>
    <w:rsid w:val="00F96D0D"/>
    <w:rsid w:val="00FA4BB1"/>
    <w:rsid w:val="00FA4E27"/>
    <w:rsid w:val="00FA74CD"/>
    <w:rsid w:val="00FB13CA"/>
    <w:rsid w:val="00FB1B6F"/>
    <w:rsid w:val="00FB6FA7"/>
    <w:rsid w:val="00FB754F"/>
    <w:rsid w:val="00FD743B"/>
    <w:rsid w:val="00FE005C"/>
    <w:rsid w:val="00FE4148"/>
    <w:rsid w:val="00FE66FE"/>
    <w:rsid w:val="00FF30C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9006D41"/>
  <w15:docId w15:val="{EA7212D9-ECBB-4CB2-86E2-CDA91C15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3E5"/>
    <w:rPr>
      <w:sz w:val="24"/>
      <w:szCs w:val="24"/>
    </w:rPr>
  </w:style>
  <w:style w:type="paragraph" w:styleId="Heading2">
    <w:name w:val="heading 2"/>
    <w:basedOn w:val="Normal"/>
    <w:next w:val="Normal"/>
    <w:qFormat/>
    <w:rsid w:val="00B37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7803"/>
    <w:pPr>
      <w:pBdr>
        <w:bottom w:val="single" w:sz="12" w:space="1" w:color="auto"/>
      </w:pBdr>
      <w:jc w:val="center"/>
    </w:pPr>
    <w:rPr>
      <w:rFonts w:ascii="Arial" w:hAnsi="Arial"/>
      <w:b/>
      <w:szCs w:val="20"/>
      <w:lang w:val="en-US"/>
    </w:rPr>
  </w:style>
  <w:style w:type="character" w:styleId="CommentReference">
    <w:name w:val="annotation reference"/>
    <w:semiHidden/>
    <w:rsid w:val="004548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48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4864"/>
    <w:rPr>
      <w:b/>
      <w:bCs/>
    </w:rPr>
  </w:style>
  <w:style w:type="paragraph" w:styleId="BalloonText">
    <w:name w:val="Balloon Text"/>
    <w:basedOn w:val="Normal"/>
    <w:semiHidden/>
    <w:rsid w:val="00454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72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7229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DC006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C006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0F01C6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0F01C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03C16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A9031B"/>
  </w:style>
  <w:style w:type="paragraph" w:styleId="Revision">
    <w:name w:val="Revision"/>
    <w:hidden/>
    <w:uiPriority w:val="99"/>
    <w:semiHidden/>
    <w:rsid w:val="00361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FF02-9027-4345-B349-E9FA2370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5392</Characters>
  <Application>Microsoft Office Word</Application>
  <DocSecurity>0</DocSecurity>
  <Lines>317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SUB-COMMITTEE</vt:lpstr>
    </vt:vector>
  </TitlesOfParts>
  <Company>NIO ISD Division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SUB-COMMITTEE</dc:title>
  <dc:subject/>
  <dc:creator>Mullan, Helen</dc:creator>
  <cp:keywords/>
  <dc:description/>
  <cp:lastModifiedBy>Holterman, Claire</cp:lastModifiedBy>
  <cp:revision>2</cp:revision>
  <cp:lastPrinted>2019-11-12T11:35:00Z</cp:lastPrinted>
  <dcterms:created xsi:type="dcterms:W3CDTF">2022-08-17T15:10:00Z</dcterms:created>
  <dcterms:modified xsi:type="dcterms:W3CDTF">2022-08-17T15:10:00Z</dcterms:modified>
</cp:coreProperties>
</file>