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E1EA7" w14:textId="77777777" w:rsidR="00B37803" w:rsidRPr="00A929CD" w:rsidRDefault="0071606A" w:rsidP="00811D8F">
      <w:pPr>
        <w:ind w:left="720" w:firstLine="720"/>
        <w:outlineLvl w:val="0"/>
        <w:rPr>
          <w:rFonts w:ascii="Arial" w:hAnsi="Arial" w:cs="Arial"/>
          <w:b/>
        </w:rPr>
      </w:pPr>
      <w:r w:rsidRPr="00A929CD">
        <w:rPr>
          <w:rFonts w:ascii="Arial" w:hAnsi="Arial" w:cs="Arial"/>
          <w:b/>
        </w:rPr>
        <w:t>DAERA</w:t>
      </w:r>
      <w:r w:rsidR="009172CC" w:rsidRPr="00A929CD">
        <w:rPr>
          <w:rFonts w:ascii="Arial" w:hAnsi="Arial" w:cs="Arial"/>
          <w:b/>
        </w:rPr>
        <w:t xml:space="preserve"> </w:t>
      </w:r>
      <w:r w:rsidR="00D74E15" w:rsidRPr="00A929CD">
        <w:rPr>
          <w:rFonts w:ascii="Arial" w:hAnsi="Arial" w:cs="Arial"/>
          <w:b/>
        </w:rPr>
        <w:t>FINANCE</w:t>
      </w:r>
      <w:r w:rsidR="009172CC" w:rsidRPr="00A929CD">
        <w:rPr>
          <w:rFonts w:ascii="Arial" w:hAnsi="Arial" w:cs="Arial"/>
          <w:b/>
        </w:rPr>
        <w:t xml:space="preserve"> </w:t>
      </w:r>
      <w:r w:rsidR="00B37803" w:rsidRPr="00A929CD">
        <w:rPr>
          <w:rFonts w:ascii="Arial" w:hAnsi="Arial" w:cs="Arial"/>
          <w:b/>
        </w:rPr>
        <w:t>COMMITTEE</w:t>
      </w:r>
      <w:r w:rsidR="000F01C6" w:rsidRPr="00A929CD">
        <w:rPr>
          <w:rFonts w:ascii="Arial" w:hAnsi="Arial" w:cs="Arial"/>
          <w:b/>
        </w:rPr>
        <w:t xml:space="preserve"> (FC) MEETING</w:t>
      </w:r>
      <w:bookmarkStart w:id="0" w:name="_GoBack"/>
      <w:bookmarkEnd w:id="0"/>
    </w:p>
    <w:p w14:paraId="696A9BCC" w14:textId="77777777" w:rsidR="00626CFA" w:rsidRPr="00A929CD" w:rsidRDefault="00626CFA" w:rsidP="00B37803">
      <w:pPr>
        <w:jc w:val="center"/>
        <w:outlineLvl w:val="0"/>
        <w:rPr>
          <w:rFonts w:ascii="Arial" w:hAnsi="Arial" w:cs="Arial"/>
          <w:b/>
        </w:rPr>
      </w:pPr>
    </w:p>
    <w:p w14:paraId="39E7C49D" w14:textId="7F0AD4B3" w:rsidR="00B37803" w:rsidRPr="00A929CD" w:rsidRDefault="00FB1B6F" w:rsidP="00B3780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May</w:t>
      </w:r>
      <w:r w:rsidR="00DF7B17">
        <w:rPr>
          <w:rFonts w:ascii="Arial" w:hAnsi="Arial" w:cs="Arial"/>
          <w:b/>
        </w:rPr>
        <w:t xml:space="preserve"> </w:t>
      </w:r>
      <w:r w:rsidR="00974A53">
        <w:rPr>
          <w:rFonts w:ascii="Arial" w:hAnsi="Arial" w:cs="Arial"/>
          <w:b/>
        </w:rPr>
        <w:t>2022</w:t>
      </w:r>
      <w:r w:rsidR="00B37803" w:rsidRPr="00A929CD">
        <w:rPr>
          <w:rFonts w:ascii="Arial" w:hAnsi="Arial" w:cs="Arial"/>
          <w:b/>
        </w:rPr>
        <w:t xml:space="preserve"> @ </w:t>
      </w:r>
      <w:r w:rsidR="00C7479D" w:rsidRPr="00A929CD">
        <w:rPr>
          <w:rFonts w:ascii="Arial" w:hAnsi="Arial" w:cs="Arial"/>
          <w:b/>
        </w:rPr>
        <w:t>14</w:t>
      </w:r>
      <w:r w:rsidR="007F6279" w:rsidRPr="00A929CD">
        <w:rPr>
          <w:rFonts w:ascii="Arial" w:hAnsi="Arial" w:cs="Arial"/>
          <w:b/>
        </w:rPr>
        <w:t>.</w:t>
      </w:r>
      <w:r w:rsidR="002B2DCD" w:rsidRPr="00A929CD">
        <w:rPr>
          <w:rFonts w:ascii="Arial" w:hAnsi="Arial" w:cs="Arial"/>
          <w:b/>
        </w:rPr>
        <w:t>00</w:t>
      </w:r>
      <w:r w:rsidR="00C7479D" w:rsidRPr="00A929CD">
        <w:rPr>
          <w:rFonts w:ascii="Arial" w:hAnsi="Arial" w:cs="Arial"/>
          <w:b/>
        </w:rPr>
        <w:t>-15</w:t>
      </w:r>
      <w:r w:rsidR="00AF6D3E" w:rsidRPr="00A929CD">
        <w:rPr>
          <w:rFonts w:ascii="Arial" w:hAnsi="Arial" w:cs="Arial"/>
          <w:b/>
        </w:rPr>
        <w:t>.</w:t>
      </w:r>
      <w:r w:rsidR="00DF7B17">
        <w:rPr>
          <w:rFonts w:ascii="Arial" w:hAnsi="Arial" w:cs="Arial"/>
          <w:b/>
        </w:rPr>
        <w:t>3</w:t>
      </w:r>
      <w:r w:rsidR="00105DA6">
        <w:rPr>
          <w:rFonts w:ascii="Arial" w:hAnsi="Arial" w:cs="Arial"/>
          <w:b/>
        </w:rPr>
        <w:t>0</w:t>
      </w:r>
    </w:p>
    <w:p w14:paraId="0B6E9D45" w14:textId="77777777" w:rsidR="00626CFA" w:rsidRPr="00A929CD" w:rsidRDefault="00626CFA" w:rsidP="00B37803">
      <w:pPr>
        <w:jc w:val="center"/>
        <w:outlineLvl w:val="0"/>
        <w:rPr>
          <w:rFonts w:ascii="Arial" w:hAnsi="Arial" w:cs="Arial"/>
          <w:b/>
        </w:rPr>
      </w:pPr>
    </w:p>
    <w:p w14:paraId="2D941890" w14:textId="77777777" w:rsidR="00626CFA" w:rsidRPr="00A929CD" w:rsidRDefault="00E70C0A" w:rsidP="00B37803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</w:t>
      </w:r>
      <w:r w:rsidR="00731C81" w:rsidRPr="00A929CD">
        <w:rPr>
          <w:rFonts w:ascii="Arial" w:hAnsi="Arial" w:cs="Arial"/>
          <w:b/>
        </w:rPr>
        <w:t xml:space="preserve">Webex </w:t>
      </w:r>
    </w:p>
    <w:p w14:paraId="257F2481" w14:textId="77777777" w:rsidR="00D86902" w:rsidRPr="00A929CD" w:rsidRDefault="00D86902" w:rsidP="00B37803">
      <w:pPr>
        <w:jc w:val="center"/>
        <w:outlineLvl w:val="0"/>
        <w:rPr>
          <w:rFonts w:ascii="Arial" w:hAnsi="Arial" w:cs="Arial"/>
          <w:b/>
        </w:rPr>
      </w:pPr>
    </w:p>
    <w:p w14:paraId="19A83AB0" w14:textId="77777777" w:rsidR="000F01C6" w:rsidRPr="00A929CD" w:rsidRDefault="000F01C6" w:rsidP="00C82BAD">
      <w:pPr>
        <w:jc w:val="center"/>
        <w:outlineLvl w:val="0"/>
        <w:rPr>
          <w:rFonts w:ascii="Arial" w:hAnsi="Arial" w:cs="Arial"/>
          <w:b/>
          <w:u w:val="single"/>
        </w:rPr>
      </w:pPr>
      <w:r w:rsidRPr="00A929CD">
        <w:rPr>
          <w:rFonts w:ascii="Arial" w:hAnsi="Arial" w:cs="Arial"/>
          <w:b/>
          <w:u w:val="single"/>
        </w:rPr>
        <w:t>Minutes</w:t>
      </w:r>
    </w:p>
    <w:p w14:paraId="65E032E6" w14:textId="77777777" w:rsidR="000F01C6" w:rsidRPr="00A929CD" w:rsidRDefault="000F01C6" w:rsidP="000F01C6">
      <w:pPr>
        <w:outlineLvl w:val="0"/>
        <w:rPr>
          <w:rFonts w:ascii="Arial" w:hAnsi="Arial" w:cs="Arial"/>
          <w:b/>
          <w:u w:val="single"/>
        </w:rPr>
      </w:pPr>
    </w:p>
    <w:tbl>
      <w:tblPr>
        <w:tblW w:w="12331" w:type="dxa"/>
        <w:tblInd w:w="-601" w:type="dxa"/>
        <w:tblLook w:val="00A0" w:firstRow="1" w:lastRow="0" w:firstColumn="1" w:lastColumn="0" w:noHBand="0" w:noVBand="0"/>
      </w:tblPr>
      <w:tblGrid>
        <w:gridCol w:w="12109"/>
        <w:gridCol w:w="222"/>
      </w:tblGrid>
      <w:tr w:rsidR="000F01C6" w:rsidRPr="00A929CD" w14:paraId="7F9D9865" w14:textId="77777777" w:rsidTr="005A5B87">
        <w:tc>
          <w:tcPr>
            <w:tcW w:w="12109" w:type="dxa"/>
          </w:tcPr>
          <w:tbl>
            <w:tblPr>
              <w:tblW w:w="9674" w:type="dxa"/>
              <w:tblLook w:val="00A0" w:firstRow="1" w:lastRow="0" w:firstColumn="1" w:lastColumn="0" w:noHBand="0" w:noVBand="0"/>
            </w:tblPr>
            <w:tblGrid>
              <w:gridCol w:w="1457"/>
              <w:gridCol w:w="8217"/>
            </w:tblGrid>
            <w:tr w:rsidR="000F01C6" w:rsidRPr="00A929CD" w14:paraId="51578BC5" w14:textId="77777777" w:rsidTr="00933B69">
              <w:trPr>
                <w:tblHeader/>
              </w:trPr>
              <w:tc>
                <w:tcPr>
                  <w:tcW w:w="1457" w:type="dxa"/>
                </w:tcPr>
                <w:p w14:paraId="650D8DE6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Attendees</w:t>
                  </w:r>
                  <w:r w:rsidR="00D13396" w:rsidRPr="00A929CD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A929C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409A36B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0CF2B2C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6B7EEA7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94B7B4D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FC5EB8D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6EA4B00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54C237A" w14:textId="77777777" w:rsidR="000F01C6" w:rsidRPr="00A929CD" w:rsidRDefault="000F01C6" w:rsidP="000F01C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17" w:type="dxa"/>
                </w:tcPr>
                <w:p w14:paraId="04F9EF6B" w14:textId="77777777" w:rsidR="00970861" w:rsidRDefault="00970861" w:rsidP="0097086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Brian Doherty (Chair)</w:t>
                  </w:r>
                </w:p>
                <w:p w14:paraId="5D0A8D9F" w14:textId="77777777" w:rsidR="007E46A0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Robert Huey</w:t>
                  </w:r>
                </w:p>
                <w:p w14:paraId="78E7F4D5" w14:textId="77777777" w:rsidR="00974A53" w:rsidRDefault="00974A53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Tracey Teague</w:t>
                  </w:r>
                </w:p>
                <w:p w14:paraId="75A89B0B" w14:textId="600A67CD" w:rsidR="00246B26" w:rsidRDefault="00970861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Seamus McErlean </w:t>
                  </w:r>
                  <w:r w:rsidR="00110C6F">
                    <w:rPr>
                      <w:rFonts w:ascii="Arial" w:hAnsi="Arial" w:cs="Arial"/>
                      <w:b/>
                      <w:bCs/>
                    </w:rPr>
                    <w:t>(Deputising for Norman Fulton)</w:t>
                  </w:r>
                </w:p>
                <w:p w14:paraId="6050E503" w14:textId="630C4C58" w:rsidR="008747D7" w:rsidRDefault="00974A53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Paul Donnelly</w:t>
                  </w:r>
                </w:p>
                <w:p w14:paraId="5F2372FF" w14:textId="2A08741B" w:rsidR="00FB1B6F" w:rsidRDefault="00FB1B6F" w:rsidP="008F7AA2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David Reid </w:t>
                  </w:r>
                  <w:r w:rsidRPr="00FB1B6F">
                    <w:rPr>
                      <w:rFonts w:ascii="Arial" w:hAnsi="Arial" w:cs="Arial"/>
                      <w:b/>
                      <w:bCs/>
                    </w:rPr>
                    <w:t>(Deputising for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FB1B6F">
                    <w:rPr>
                      <w:rFonts w:ascii="Arial" w:hAnsi="Arial" w:cs="Arial"/>
                      <w:b/>
                      <w:bCs/>
                    </w:rPr>
                    <w:t>Fiona McCandless</w:t>
                  </w:r>
                  <w:r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  <w:p w14:paraId="1A6E9336" w14:textId="4D55F415" w:rsidR="00970861" w:rsidRDefault="00FB1B6F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Roger Downey</w:t>
                  </w:r>
                  <w:r w:rsidR="00974A53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1F124068" w14:textId="77777777" w:rsidR="00974A53" w:rsidRDefault="00974A53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Briege Lafferty</w:t>
                  </w:r>
                </w:p>
                <w:p w14:paraId="1A3D9BB1" w14:textId="77777777" w:rsidR="00974A53" w:rsidRDefault="00974A53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William Peel</w:t>
                  </w:r>
                </w:p>
                <w:p w14:paraId="488A9AD6" w14:textId="0AC35F6D" w:rsidR="00970861" w:rsidRDefault="00974A53" w:rsidP="0040156D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Lynda Lowe</w:t>
                  </w:r>
                </w:p>
                <w:p w14:paraId="49A5231C" w14:textId="77777777" w:rsidR="00933B69" w:rsidRDefault="00974A53" w:rsidP="00974A5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Nuala Hennessy</w:t>
                  </w:r>
                  <w:r w:rsidR="00406ACE" w:rsidRPr="00A929CD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5FEC401B" w14:textId="77777777" w:rsidR="000F01C6" w:rsidRDefault="00933B69" w:rsidP="00974A53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Gary Humphries </w:t>
                  </w:r>
                  <w:r w:rsidR="000F01C6" w:rsidRPr="00A929CD">
                    <w:rPr>
                      <w:rFonts w:ascii="Arial" w:hAnsi="Arial" w:cs="Arial"/>
                      <w:b/>
                      <w:bCs/>
                    </w:rPr>
                    <w:t>(Secretariat)</w:t>
                  </w:r>
                </w:p>
                <w:p w14:paraId="056435FC" w14:textId="77777777" w:rsidR="00AD4EF8" w:rsidRDefault="00AD4EF8" w:rsidP="00974A53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862CCCD" w14:textId="17DE38F4" w:rsidR="00AD4EF8" w:rsidRPr="00A929CD" w:rsidRDefault="00AD4EF8" w:rsidP="00962E0E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Declan McCarney (For Presentation of Agenda Items 6 &amp; 7)</w:t>
                  </w:r>
                </w:p>
              </w:tc>
            </w:tr>
            <w:tr w:rsidR="000F01C6" w:rsidRPr="00A929CD" w14:paraId="6895B5AF" w14:textId="77777777" w:rsidTr="00933B69">
              <w:tc>
                <w:tcPr>
                  <w:tcW w:w="1457" w:type="dxa"/>
                </w:tcPr>
                <w:p w14:paraId="2699E05B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8217" w:type="dxa"/>
                </w:tcPr>
                <w:p w14:paraId="7840CA16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0F01C6" w:rsidRPr="00A929CD" w14:paraId="026CCB42" w14:textId="77777777" w:rsidTr="00933B69">
              <w:tc>
                <w:tcPr>
                  <w:tcW w:w="1457" w:type="dxa"/>
                </w:tcPr>
                <w:p w14:paraId="5267F8FA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Apologies</w:t>
                  </w:r>
                  <w:r w:rsidR="00D13396" w:rsidRPr="00A929CD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</w:tc>
              <w:tc>
                <w:tcPr>
                  <w:tcW w:w="8217" w:type="dxa"/>
                </w:tcPr>
                <w:p w14:paraId="1FD82FE7" w14:textId="77777777" w:rsidR="00FB1B6F" w:rsidRDefault="00FB1B6F" w:rsidP="00FB1B6F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Fiona McCandless</w:t>
                  </w:r>
                </w:p>
                <w:p w14:paraId="36BD9F90" w14:textId="66FF4CEF" w:rsidR="009C0D4C" w:rsidRDefault="009C0D4C" w:rsidP="00FB1B6F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Norman Fulton</w:t>
                  </w:r>
                </w:p>
                <w:p w14:paraId="64FE14B2" w14:textId="7964665D" w:rsidR="00105DA6" w:rsidRPr="00A929CD" w:rsidRDefault="00105DA6" w:rsidP="00105DA6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4EFA6B13" w14:textId="77777777" w:rsidR="000F01C6" w:rsidRPr="00A929CD" w:rsidRDefault="000F01C6" w:rsidP="005A5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77EAA3DF" w14:textId="77777777" w:rsidR="000F01C6" w:rsidRPr="00A929CD" w:rsidRDefault="000F01C6" w:rsidP="005A5B87">
            <w:pPr>
              <w:rPr>
                <w:rFonts w:ascii="Arial" w:hAnsi="Arial" w:cs="Arial"/>
                <w:bCs/>
              </w:rPr>
            </w:pPr>
          </w:p>
        </w:tc>
      </w:tr>
      <w:tr w:rsidR="000F01C6" w:rsidRPr="00A929CD" w14:paraId="16032B41" w14:textId="77777777" w:rsidTr="005A5B87">
        <w:tc>
          <w:tcPr>
            <w:tcW w:w="12109" w:type="dxa"/>
          </w:tcPr>
          <w:tbl>
            <w:tblPr>
              <w:tblW w:w="95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97"/>
              <w:gridCol w:w="6762"/>
              <w:gridCol w:w="1701"/>
            </w:tblGrid>
            <w:tr w:rsidR="000F01C6" w:rsidRPr="00A929CD" w14:paraId="50A21327" w14:textId="77777777" w:rsidTr="00962E0E">
              <w:trPr>
                <w:cantSplit/>
                <w:tblHeader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C5A98" w14:textId="77777777" w:rsidR="000F01C6" w:rsidRPr="00A929CD" w:rsidRDefault="003D46B7" w:rsidP="005A5B87">
                  <w:pPr>
                    <w:ind w:right="-108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Agenda Item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C5575" w14:textId="77777777" w:rsidR="000F01C6" w:rsidRPr="00A929CD" w:rsidRDefault="000F01C6" w:rsidP="005A5B87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Description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733FC" w14:textId="77777777" w:rsidR="000F01C6" w:rsidRPr="00A929CD" w:rsidRDefault="000F01C6" w:rsidP="00DB6DD3">
                  <w:pPr>
                    <w:tabs>
                      <w:tab w:val="center" w:pos="4513"/>
                      <w:tab w:val="right" w:pos="9026"/>
                    </w:tabs>
                    <w:ind w:right="-108"/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Paper Reference / Action Owner</w:t>
                  </w:r>
                </w:p>
              </w:tc>
            </w:tr>
            <w:tr w:rsidR="000F01C6" w:rsidRPr="00A929CD" w14:paraId="42B93986" w14:textId="77777777" w:rsidTr="00962E0E">
              <w:trPr>
                <w:trHeight w:val="200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59961" w14:textId="77777777" w:rsidR="000F01C6" w:rsidRPr="00A929CD" w:rsidRDefault="004461E0" w:rsidP="004461E0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1.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A12C0" w14:textId="77777777" w:rsidR="000F01C6" w:rsidRPr="00A929CD" w:rsidRDefault="003929BD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A929CD">
                    <w:rPr>
                      <w:rFonts w:ascii="Arial" w:hAnsi="Arial" w:cs="Arial"/>
                      <w:b/>
                      <w:bCs/>
                    </w:rPr>
                    <w:t>Apologies and Minutes and Action Points of Previous Meeting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E9EA7" w14:textId="77777777" w:rsidR="00461193" w:rsidRPr="00461193" w:rsidRDefault="00461193" w:rsidP="004611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61193">
                    <w:rPr>
                      <w:rFonts w:ascii="Arial" w:hAnsi="Arial" w:cs="Arial"/>
                      <w:b/>
                    </w:rPr>
                    <w:t>FC 10/22a</w:t>
                  </w:r>
                </w:p>
                <w:p w14:paraId="40CE3AF9" w14:textId="12592F35" w:rsidR="000F01C6" w:rsidRPr="00A929CD" w:rsidRDefault="00461193" w:rsidP="0046119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61193">
                    <w:rPr>
                      <w:rFonts w:ascii="Arial" w:hAnsi="Arial" w:cs="Arial"/>
                      <w:b/>
                    </w:rPr>
                    <w:t>FC 10/22b</w:t>
                  </w:r>
                </w:p>
              </w:tc>
            </w:tr>
            <w:tr w:rsidR="000F01C6" w:rsidRPr="00A929CD" w14:paraId="3CAFCABF" w14:textId="77777777" w:rsidTr="00962E0E">
              <w:trPr>
                <w:trHeight w:val="1300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0A611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33196" w14:textId="2BCC1F7B" w:rsidR="000F01C6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A929CD">
                    <w:rPr>
                      <w:rFonts w:ascii="Arial" w:hAnsi="Arial" w:cs="Arial"/>
                      <w:bCs/>
                    </w:rPr>
                    <w:t>The Chair</w:t>
                  </w:r>
                  <w:r w:rsidR="00611864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929CD">
                    <w:rPr>
                      <w:rFonts w:ascii="Arial" w:hAnsi="Arial" w:cs="Arial"/>
                      <w:bCs/>
                    </w:rPr>
                    <w:t>welcomed members to the meeting</w:t>
                  </w:r>
                  <w:r w:rsidR="00AC53BB" w:rsidRPr="00A929CD">
                    <w:rPr>
                      <w:rFonts w:ascii="Arial" w:hAnsi="Arial" w:cs="Arial"/>
                      <w:bCs/>
                    </w:rPr>
                    <w:t xml:space="preserve"> and</w:t>
                  </w:r>
                  <w:r w:rsidR="00611864" w:rsidRPr="00A929C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35628" w:rsidRPr="00A929CD">
                    <w:rPr>
                      <w:rFonts w:ascii="Arial" w:hAnsi="Arial" w:cs="Arial"/>
                      <w:bCs/>
                    </w:rPr>
                    <w:t xml:space="preserve">noted </w:t>
                  </w:r>
                  <w:r w:rsidR="00974A53">
                    <w:rPr>
                      <w:rFonts w:ascii="Arial" w:hAnsi="Arial" w:cs="Arial"/>
                      <w:bCs/>
                    </w:rPr>
                    <w:t>the</w:t>
                  </w:r>
                  <w:r w:rsidR="00B6035F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C53BB" w:rsidRPr="00A929CD">
                    <w:rPr>
                      <w:rFonts w:ascii="Arial" w:hAnsi="Arial" w:cs="Arial"/>
                      <w:bCs/>
                    </w:rPr>
                    <w:t>a</w:t>
                  </w:r>
                  <w:r w:rsidRPr="00A929CD">
                    <w:rPr>
                      <w:rFonts w:ascii="Arial" w:hAnsi="Arial" w:cs="Arial"/>
                      <w:bCs/>
                    </w:rPr>
                    <w:t>polog</w:t>
                  </w:r>
                  <w:r w:rsidR="009C0D4C">
                    <w:rPr>
                      <w:rFonts w:ascii="Arial" w:hAnsi="Arial" w:cs="Arial"/>
                      <w:bCs/>
                    </w:rPr>
                    <w:t>ies</w:t>
                  </w:r>
                  <w:r w:rsidR="003929BD" w:rsidRPr="00A929CD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7B11FC17" w14:textId="77777777" w:rsidR="00E44E14" w:rsidRDefault="00E44E14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C0102D3" w14:textId="7D8419B5" w:rsidR="000F01C6" w:rsidRPr="00A929CD" w:rsidRDefault="00E70C0A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Members agreed</w:t>
                  </w:r>
                  <w:r w:rsidR="009C0D4C">
                    <w:rPr>
                      <w:rFonts w:ascii="Arial" w:hAnsi="Arial" w:cs="Arial"/>
                      <w:bCs/>
                    </w:rPr>
                    <w:t>, subject to a minor amendment,</w:t>
                  </w:r>
                  <w:r>
                    <w:rPr>
                      <w:rFonts w:ascii="Arial" w:hAnsi="Arial" w:cs="Arial"/>
                      <w:bCs/>
                    </w:rPr>
                    <w:t xml:space="preserve"> the Minutes </w:t>
                  </w:r>
                  <w:r w:rsidR="00B6035F">
                    <w:rPr>
                      <w:rFonts w:ascii="Arial" w:hAnsi="Arial" w:cs="Arial"/>
                      <w:bCs/>
                    </w:rPr>
                    <w:t>of</w:t>
                  </w:r>
                  <w:r w:rsidR="000F01C6" w:rsidRPr="00A929CD">
                    <w:rPr>
                      <w:rFonts w:ascii="Arial" w:hAnsi="Arial" w:cs="Arial"/>
                      <w:bCs/>
                    </w:rPr>
                    <w:t xml:space="preserve"> the </w:t>
                  </w:r>
                  <w:r w:rsidR="00933B69">
                    <w:rPr>
                      <w:rFonts w:ascii="Arial" w:hAnsi="Arial" w:cs="Arial"/>
                      <w:bCs/>
                    </w:rPr>
                    <w:t xml:space="preserve">8 February </w:t>
                  </w:r>
                  <w:r w:rsidR="005D2B9F" w:rsidRPr="00A929CD">
                    <w:rPr>
                      <w:rFonts w:ascii="Arial" w:hAnsi="Arial" w:cs="Arial"/>
                    </w:rPr>
                    <w:t>202</w:t>
                  </w:r>
                  <w:r w:rsidR="00933B69">
                    <w:rPr>
                      <w:rFonts w:ascii="Arial" w:hAnsi="Arial" w:cs="Arial"/>
                    </w:rPr>
                    <w:t>2</w:t>
                  </w:r>
                  <w:r w:rsidR="005D2B9F" w:rsidRPr="00A929CD">
                    <w:rPr>
                      <w:rFonts w:ascii="Arial" w:hAnsi="Arial" w:cs="Arial"/>
                    </w:rPr>
                    <w:t xml:space="preserve"> </w:t>
                  </w:r>
                  <w:r w:rsidR="000F01C6" w:rsidRPr="00A929CD">
                    <w:rPr>
                      <w:rFonts w:ascii="Arial" w:hAnsi="Arial" w:cs="Arial"/>
                      <w:bCs/>
                    </w:rPr>
                    <w:t>meeting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  <w:r w:rsidR="00BE13D3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F697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533DE8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4DD65E40" w14:textId="77777777" w:rsidR="00A50E91" w:rsidRDefault="00A50E91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3EA91FF" w14:textId="6E56B9EA" w:rsidR="00E44E14" w:rsidRDefault="00933B69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In relation to </w:t>
                  </w:r>
                  <w:r w:rsidR="00974A53">
                    <w:rPr>
                      <w:rFonts w:ascii="Arial" w:hAnsi="Arial" w:cs="Arial"/>
                      <w:bCs/>
                    </w:rPr>
                    <w:t>action points</w:t>
                  </w:r>
                  <w:r>
                    <w:rPr>
                      <w:rFonts w:ascii="Arial" w:hAnsi="Arial" w:cs="Arial"/>
                      <w:bCs/>
                    </w:rPr>
                    <w:t>, it was confirmed that:</w:t>
                  </w:r>
                </w:p>
                <w:p w14:paraId="1E155E83" w14:textId="77777777" w:rsidR="00B953E2" w:rsidRDefault="00B953E2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288D7A62" w14:textId="6D556FEB" w:rsidR="00933B69" w:rsidRPr="00933B69" w:rsidRDefault="00933B69" w:rsidP="00DF7B17">
                  <w:pPr>
                    <w:jc w:val="both"/>
                    <w:rPr>
                      <w:rFonts w:ascii="Arial" w:hAnsi="Arial" w:cs="Arial"/>
                      <w:bCs/>
                      <w:u w:val="single"/>
                    </w:rPr>
                  </w:pPr>
                  <w:r w:rsidRPr="00933B69">
                    <w:rPr>
                      <w:rFonts w:ascii="Arial" w:hAnsi="Arial" w:cs="Arial"/>
                      <w:bCs/>
                      <w:u w:val="single"/>
                    </w:rPr>
                    <w:t>Staff Affordability</w:t>
                  </w:r>
                </w:p>
                <w:p w14:paraId="569CD752" w14:textId="6C53D7B0" w:rsidR="00933B69" w:rsidRDefault="00933B69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The r</w:t>
                  </w:r>
                  <w:r w:rsidRPr="00933B69">
                    <w:rPr>
                      <w:rFonts w:ascii="Arial" w:hAnsi="Arial" w:cs="Arial"/>
                      <w:bCs/>
                    </w:rPr>
                    <w:t xml:space="preserve">eview </w:t>
                  </w:r>
                  <w:r>
                    <w:rPr>
                      <w:rFonts w:ascii="Arial" w:hAnsi="Arial" w:cs="Arial"/>
                      <w:bCs/>
                    </w:rPr>
                    <w:t xml:space="preserve">of the </w:t>
                  </w:r>
                  <w:r w:rsidRPr="00933B69">
                    <w:rPr>
                      <w:rFonts w:ascii="Arial" w:hAnsi="Arial" w:cs="Arial"/>
                      <w:bCs/>
                    </w:rPr>
                    <w:t xml:space="preserve">current workforce planning model and options for a revised model </w:t>
                  </w:r>
                  <w:r>
                    <w:rPr>
                      <w:rFonts w:ascii="Arial" w:hAnsi="Arial" w:cs="Arial"/>
                      <w:bCs/>
                    </w:rPr>
                    <w:t>is ongoing with a t</w:t>
                  </w:r>
                  <w:r w:rsidRPr="00933B69">
                    <w:rPr>
                      <w:rFonts w:ascii="Arial" w:hAnsi="Arial" w:cs="Arial"/>
                      <w:bCs/>
                    </w:rPr>
                    <w:t xml:space="preserve">arget </w:t>
                  </w:r>
                  <w:r>
                    <w:rPr>
                      <w:rFonts w:ascii="Arial" w:hAnsi="Arial" w:cs="Arial"/>
                      <w:bCs/>
                    </w:rPr>
                    <w:t>c</w:t>
                  </w:r>
                  <w:r w:rsidRPr="00933B69">
                    <w:rPr>
                      <w:rFonts w:ascii="Arial" w:hAnsi="Arial" w:cs="Arial"/>
                      <w:bCs/>
                    </w:rPr>
                    <w:t xml:space="preserve">ompletion </w:t>
                  </w:r>
                  <w:r>
                    <w:rPr>
                      <w:rFonts w:ascii="Arial" w:hAnsi="Arial" w:cs="Arial"/>
                      <w:bCs/>
                    </w:rPr>
                    <w:t>d</w:t>
                  </w:r>
                  <w:r w:rsidRPr="00933B69">
                    <w:rPr>
                      <w:rFonts w:ascii="Arial" w:hAnsi="Arial" w:cs="Arial"/>
                      <w:bCs/>
                    </w:rPr>
                    <w:t>ate</w:t>
                  </w:r>
                  <w:r>
                    <w:rPr>
                      <w:rFonts w:ascii="Arial" w:hAnsi="Arial" w:cs="Arial"/>
                      <w:bCs/>
                    </w:rPr>
                    <w:t xml:space="preserve"> of September 2022.</w:t>
                  </w:r>
                </w:p>
                <w:p w14:paraId="6144E1CC" w14:textId="77777777" w:rsidR="00AD4EF8" w:rsidRDefault="00AD4EF8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67866901" w14:textId="54506609" w:rsidR="00933B69" w:rsidRPr="00933B69" w:rsidRDefault="00933B69" w:rsidP="00DF7B17">
                  <w:pPr>
                    <w:jc w:val="both"/>
                    <w:rPr>
                      <w:rFonts w:ascii="Arial" w:hAnsi="Arial" w:cs="Arial"/>
                      <w:bCs/>
                      <w:u w:val="single"/>
                    </w:rPr>
                  </w:pPr>
                  <w:r w:rsidRPr="00933B69">
                    <w:rPr>
                      <w:rFonts w:ascii="Arial" w:hAnsi="Arial" w:cs="Arial"/>
                      <w:bCs/>
                      <w:u w:val="single"/>
                    </w:rPr>
                    <w:t>Aged Debt Analysis</w:t>
                  </w:r>
                </w:p>
                <w:p w14:paraId="0CBE76D2" w14:textId="4E8773E6" w:rsidR="00205FF3" w:rsidRDefault="00933B69" w:rsidP="00DF7B1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Completed with paper presented at </w:t>
                  </w:r>
                  <w:r w:rsidR="00AD4EF8" w:rsidRPr="00962E0E">
                    <w:rPr>
                      <w:rFonts w:ascii="Arial" w:hAnsi="Arial" w:cs="Arial"/>
                      <w:b/>
                      <w:bCs/>
                    </w:rPr>
                    <w:t>A</w:t>
                  </w:r>
                  <w:r w:rsidR="009C0D4C" w:rsidRPr="00962E0E">
                    <w:rPr>
                      <w:rFonts w:ascii="Arial" w:hAnsi="Arial" w:cs="Arial"/>
                      <w:b/>
                      <w:bCs/>
                    </w:rPr>
                    <w:t xml:space="preserve">genda </w:t>
                  </w:r>
                  <w:r w:rsidR="00AD4EF8" w:rsidRPr="00962E0E">
                    <w:rPr>
                      <w:rFonts w:ascii="Arial" w:hAnsi="Arial" w:cs="Arial"/>
                      <w:b/>
                      <w:bCs/>
                    </w:rPr>
                    <w:t>I</w:t>
                  </w:r>
                  <w:r w:rsidR="009C0D4C" w:rsidRPr="00962E0E">
                    <w:rPr>
                      <w:rFonts w:ascii="Arial" w:hAnsi="Arial" w:cs="Arial"/>
                      <w:b/>
                      <w:bCs/>
                    </w:rPr>
                    <w:t xml:space="preserve">tem </w:t>
                  </w:r>
                  <w:r w:rsidR="00AD4EF8" w:rsidRPr="00962E0E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9C0D4C">
                    <w:rPr>
                      <w:rFonts w:ascii="Arial" w:hAnsi="Arial" w:cs="Arial"/>
                      <w:bCs/>
                    </w:rPr>
                    <w:t xml:space="preserve"> of the </w:t>
                  </w:r>
                  <w:r>
                    <w:rPr>
                      <w:rFonts w:ascii="Arial" w:hAnsi="Arial" w:cs="Arial"/>
                      <w:bCs/>
                    </w:rPr>
                    <w:t>meeting.</w:t>
                  </w:r>
                </w:p>
                <w:p w14:paraId="7E45C901" w14:textId="77777777" w:rsidR="00205FF3" w:rsidRDefault="00205FF3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63D19CE" w14:textId="77777777" w:rsidR="00B97B52" w:rsidRDefault="00B97B52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8EFA7D2" w14:textId="77777777" w:rsidR="00B97B52" w:rsidRPr="00A929CD" w:rsidRDefault="00B97B52" w:rsidP="00DF7B1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6085E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B7BD943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94AB462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01F6F3AA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79EE6EFC" w14:textId="77777777" w:rsidR="008C3621" w:rsidRPr="00A929CD" w:rsidRDefault="008C3621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4B24BC86" w14:textId="77777777" w:rsidR="008C3621" w:rsidRPr="00A929CD" w:rsidRDefault="008C3621" w:rsidP="005A5B87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5B613EB7" w14:textId="77777777" w:rsidR="000F01C6" w:rsidRPr="00A929CD" w:rsidRDefault="000F01C6" w:rsidP="005A5B8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461193" w:rsidRPr="00A929CD" w14:paraId="7A225B5D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A5FDD" w14:textId="5C0C8A1D" w:rsidR="00461193" w:rsidRPr="00A9031B" w:rsidRDefault="00461193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2.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C6E89" w14:textId="67B669FA" w:rsidR="00461193" w:rsidRDefault="00461193" w:rsidP="00EA1D18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461193">
                    <w:rPr>
                      <w:rFonts w:ascii="Arial" w:hAnsi="Arial" w:cs="Arial"/>
                      <w:b/>
                      <w:bCs/>
                      <w:iCs/>
                    </w:rPr>
                    <w:t>2021/22 Provisional Outturn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96207" w14:textId="06B7E7D0" w:rsidR="00461193" w:rsidRPr="00A929CD" w:rsidRDefault="00461193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  <w:r w:rsidRPr="00461193">
                    <w:rPr>
                      <w:rFonts w:ascii="Arial" w:hAnsi="Arial" w:cs="Arial"/>
                      <w:b/>
                    </w:rPr>
                    <w:t>FC 11/22</w:t>
                  </w:r>
                </w:p>
              </w:tc>
            </w:tr>
            <w:tr w:rsidR="00461193" w:rsidRPr="00A929CD" w14:paraId="3F7E2F3C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FA014" w14:textId="77777777" w:rsidR="00461193" w:rsidRPr="00A9031B" w:rsidRDefault="00461193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D93AE" w14:textId="029DB3BA" w:rsidR="00651806" w:rsidRDefault="00461193" w:rsidP="0046119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461193">
                    <w:rPr>
                      <w:rFonts w:ascii="Arial" w:hAnsi="Arial" w:cs="Arial"/>
                      <w:bCs/>
                      <w:iCs/>
                    </w:rPr>
                    <w:t>Nuala Hennessy presented the paper on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  <w:r w:rsidRPr="00461193">
                    <w:rPr>
                      <w:rFonts w:ascii="Arial" w:hAnsi="Arial" w:cs="Arial"/>
                      <w:bCs/>
                      <w:iCs/>
                    </w:rPr>
                    <w:t>2021/22 Provisional Outturn</w:t>
                  </w:r>
                  <w:r w:rsidR="00AD4EF8">
                    <w:rPr>
                      <w:rFonts w:ascii="Arial" w:hAnsi="Arial" w:cs="Arial"/>
                      <w:bCs/>
                      <w:iCs/>
                    </w:rPr>
                    <w:t xml:space="preserve"> (PO).</w:t>
                  </w:r>
                </w:p>
                <w:p w14:paraId="2A608036" w14:textId="77777777" w:rsidR="00651806" w:rsidRDefault="00651806" w:rsidP="00461193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16A38C1F" w14:textId="06189C3E" w:rsidR="008F79F6" w:rsidRDefault="008F79F6" w:rsidP="008F79F6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8F79F6">
                    <w:rPr>
                      <w:rFonts w:ascii="Arial" w:hAnsi="Arial" w:cs="Arial"/>
                      <w:bCs/>
                      <w:iCs/>
                    </w:rPr>
                    <w:t xml:space="preserve">The </w:t>
                  </w:r>
                  <w:r w:rsidR="007E2ED9">
                    <w:rPr>
                      <w:rFonts w:ascii="Arial" w:hAnsi="Arial" w:cs="Arial"/>
                      <w:bCs/>
                      <w:iCs/>
                    </w:rPr>
                    <w:t xml:space="preserve">paper confirmed that the 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 xml:space="preserve">PO figurework contained within </w:t>
                  </w:r>
                  <w:r w:rsidR="007E2ED9">
                    <w:rPr>
                      <w:rFonts w:ascii="Arial" w:hAnsi="Arial" w:cs="Arial"/>
                      <w:bCs/>
                      <w:iCs/>
                    </w:rPr>
                    <w:t xml:space="preserve">it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wa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>s correct as at 09 May 2022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and that t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 xml:space="preserve">he Department’s 2021-22 overall DEL Provisional Outturn (PO) </w:t>
                  </w:r>
                  <w:r>
                    <w:rPr>
                      <w:rFonts w:ascii="Arial" w:hAnsi="Arial" w:cs="Arial"/>
                      <w:bCs/>
                      <w:iCs/>
                    </w:rPr>
                    <w:t>wa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>s 99.9%</w:t>
                  </w:r>
                  <w:r w:rsidR="00223EE4">
                    <w:rPr>
                      <w:rFonts w:ascii="Arial" w:hAnsi="Arial" w:cs="Arial"/>
                      <w:bCs/>
                      <w:iCs/>
                    </w:rPr>
                    <w:t xml:space="preserve">, broken down as </w:t>
                  </w:r>
                  <w:r w:rsidR="00223EE4" w:rsidRPr="008F79F6">
                    <w:rPr>
                      <w:rFonts w:ascii="Arial" w:hAnsi="Arial" w:cs="Arial"/>
                      <w:bCs/>
                      <w:iCs/>
                    </w:rPr>
                    <w:t>Resource DEL 99.9%</w:t>
                  </w:r>
                  <w:r w:rsidR="00223EE4">
                    <w:rPr>
                      <w:rFonts w:ascii="Arial" w:hAnsi="Arial" w:cs="Arial"/>
                      <w:bCs/>
                      <w:iCs/>
                    </w:rPr>
                    <w:t xml:space="preserve">, </w:t>
                  </w:r>
                  <w:r w:rsidR="00223EE4" w:rsidRPr="008F79F6">
                    <w:rPr>
                      <w:rFonts w:ascii="Arial" w:hAnsi="Arial" w:cs="Arial"/>
                      <w:bCs/>
                      <w:iCs/>
                    </w:rPr>
                    <w:t>Ringfenced Resource D/I DEL 99.2% a</w:t>
                  </w:r>
                  <w:r w:rsidR="00223EE4">
                    <w:rPr>
                      <w:rFonts w:ascii="Arial" w:hAnsi="Arial" w:cs="Arial"/>
                      <w:bCs/>
                      <w:iCs/>
                    </w:rPr>
                    <w:t xml:space="preserve">nd </w:t>
                  </w:r>
                  <w:r w:rsidR="00223EE4" w:rsidRPr="008F79F6">
                    <w:rPr>
                      <w:rFonts w:ascii="Arial" w:hAnsi="Arial" w:cs="Arial"/>
                      <w:bCs/>
                      <w:iCs/>
                    </w:rPr>
                    <w:t>Capital DEL 99.8%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>This result is a</w:t>
                  </w:r>
                  <w:r w:rsidR="00205FF3">
                    <w:rPr>
                      <w:rFonts w:ascii="Arial" w:hAnsi="Arial" w:cs="Arial"/>
                      <w:bCs/>
                      <w:iCs/>
                    </w:rPr>
                    <w:t>n excellent</w:t>
                  </w:r>
                  <w:r w:rsidRPr="008F79F6">
                    <w:rPr>
                      <w:rFonts w:ascii="Arial" w:hAnsi="Arial" w:cs="Arial"/>
                      <w:bCs/>
                      <w:iCs/>
                    </w:rPr>
                    <w:t xml:space="preserve"> outcome for the Department as the level of unpredictability on finances this year has been extremely challenging, not least due to Avian Influenza, COVID-19, EU Exit and Protocol as well as a number of Ring-fenced budgets</w:t>
                  </w:r>
                  <w:r>
                    <w:rPr>
                      <w:rFonts w:ascii="Arial" w:hAnsi="Arial" w:cs="Arial"/>
                      <w:bCs/>
                      <w:iCs/>
                    </w:rPr>
                    <w:t>.</w:t>
                  </w:r>
                </w:p>
                <w:p w14:paraId="7D85CA2B" w14:textId="77777777" w:rsidR="008F79F6" w:rsidRDefault="008F79F6" w:rsidP="008F79F6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2AA02DDA" w14:textId="37DFFB82" w:rsidR="00461193" w:rsidRDefault="007E2ED9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  <w:iCs/>
                    </w:rPr>
                    <w:t xml:space="preserve">Members were also informed </w:t>
                  </w:r>
                  <w:r w:rsidR="007E709D">
                    <w:rPr>
                      <w:rFonts w:ascii="Arial" w:hAnsi="Arial" w:cs="Arial"/>
                      <w:bCs/>
                      <w:iCs/>
                    </w:rPr>
                    <w:t xml:space="preserve">that </w:t>
                  </w:r>
                  <w:r w:rsidR="008F79F6" w:rsidRPr="008F79F6">
                    <w:rPr>
                      <w:rFonts w:ascii="Arial" w:hAnsi="Arial" w:cs="Arial"/>
                      <w:bCs/>
                      <w:iCs/>
                    </w:rPr>
                    <w:t xml:space="preserve">the official PO return 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would </w:t>
                  </w:r>
                  <w:r w:rsidR="008F79F6" w:rsidRPr="008F79F6">
                    <w:rPr>
                      <w:rFonts w:ascii="Arial" w:hAnsi="Arial" w:cs="Arial"/>
                      <w:bCs/>
                      <w:iCs/>
                    </w:rPr>
                    <w:t>issue to DoF by 13 May.</w:t>
                  </w:r>
                </w:p>
                <w:p w14:paraId="0C3F12B1" w14:textId="77777777" w:rsidR="007E709D" w:rsidRDefault="007E709D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4A63F0E2" w14:textId="2FC0CD02" w:rsidR="007E709D" w:rsidRDefault="007E709D" w:rsidP="007E709D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Members noted the contents of the paper</w:t>
                  </w:r>
                  <w:r w:rsidR="009C0D4C">
                    <w:rPr>
                      <w:rFonts w:ascii="Arial" w:hAnsi="Arial" w:cs="Arial"/>
                      <w:bCs/>
                    </w:rPr>
                    <w:t>, agreed that it was an excellent result and acknowledged the work done by all staff involved in the exercise</w:t>
                  </w:r>
                  <w:r>
                    <w:rPr>
                      <w:rFonts w:ascii="Arial" w:hAnsi="Arial" w:cs="Arial"/>
                      <w:bCs/>
                    </w:rPr>
                    <w:t xml:space="preserve">.  </w:t>
                  </w:r>
                </w:p>
                <w:p w14:paraId="675CE3BF" w14:textId="186D0D33" w:rsidR="007E709D" w:rsidRPr="00461193" w:rsidRDefault="007E709D" w:rsidP="007E709D">
                  <w:pPr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A1756" w14:textId="77777777" w:rsidR="00461193" w:rsidRPr="00A929CD" w:rsidRDefault="00461193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A9031B" w:rsidRPr="00A929CD" w14:paraId="3F1D70E5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1DA2D" w14:textId="6A8A12C0" w:rsidR="00A9031B" w:rsidRDefault="00461193" w:rsidP="00461193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="00A9031B" w:rsidRPr="00A9031B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BD38D" w14:textId="63DF7FE5" w:rsidR="00A9031B" w:rsidRPr="002929FC" w:rsidRDefault="00461193" w:rsidP="00EA1D18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461193">
                    <w:rPr>
                      <w:rFonts w:ascii="Arial" w:hAnsi="Arial" w:cs="Arial"/>
                      <w:b/>
                      <w:bCs/>
                      <w:iCs/>
                    </w:rPr>
                    <w:t>Update on Budget 2022-23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FB4F1" w14:textId="5AF8C56E" w:rsidR="00A9031B" w:rsidRPr="002929FC" w:rsidRDefault="00461193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461193">
                    <w:rPr>
                      <w:rFonts w:ascii="Arial" w:hAnsi="Arial" w:cs="Arial"/>
                      <w:b/>
                    </w:rPr>
                    <w:t>FC 12/22</w:t>
                  </w:r>
                </w:p>
              </w:tc>
            </w:tr>
            <w:tr w:rsidR="00A9031B" w:rsidRPr="00A929CD" w14:paraId="7E9BC696" w14:textId="77777777" w:rsidTr="00962E0E">
              <w:trPr>
                <w:trHeight w:val="117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0D7E2" w14:textId="77777777" w:rsidR="00A9031B" w:rsidRDefault="00A9031B" w:rsidP="004461E0">
                  <w:pPr>
                    <w:ind w:left="62" w:right="-108" w:hanging="62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6E592" w14:textId="77777777" w:rsidR="00651806" w:rsidRDefault="00461193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61193">
                    <w:rPr>
                      <w:rFonts w:ascii="Arial" w:hAnsi="Arial" w:cs="Arial"/>
                      <w:bCs/>
                    </w:rPr>
                    <w:t xml:space="preserve">Nuala Hennessy </w:t>
                  </w:r>
                  <w:r w:rsidR="00813CA6">
                    <w:rPr>
                      <w:rFonts w:ascii="Arial" w:hAnsi="Arial" w:cs="Arial"/>
                      <w:bCs/>
                    </w:rPr>
                    <w:t>presented the paper on Budget 2022-2</w:t>
                  </w:r>
                  <w:r>
                    <w:rPr>
                      <w:rFonts w:ascii="Arial" w:hAnsi="Arial" w:cs="Arial"/>
                      <w:bCs/>
                    </w:rPr>
                    <w:t>3</w:t>
                  </w:r>
                  <w:r w:rsidR="00651806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5E553718" w14:textId="77777777" w:rsidR="00651806" w:rsidRDefault="00651806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311D8807" w14:textId="0C539676" w:rsidR="00461193" w:rsidRPr="00461193" w:rsidRDefault="007E2ED9" w:rsidP="00461193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The paper provided 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the current position in relation to the process around </w:t>
                  </w:r>
                  <w:r w:rsidR="00205FF3">
                    <w:rPr>
                      <w:rFonts w:ascii="Arial" w:hAnsi="Arial" w:cs="Arial"/>
                      <w:bCs/>
                    </w:rPr>
                    <w:t>C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ontingency </w:t>
                  </w:r>
                  <w:r w:rsidR="00205FF3">
                    <w:rPr>
                      <w:rFonts w:ascii="Arial" w:hAnsi="Arial" w:cs="Arial"/>
                      <w:bCs/>
                    </w:rPr>
                    <w:t>P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lanning </w:t>
                  </w:r>
                  <w:r w:rsidR="00205FF3">
                    <w:rPr>
                      <w:rFonts w:ascii="Arial" w:hAnsi="Arial" w:cs="Arial"/>
                      <w:bCs/>
                    </w:rPr>
                    <w:t>E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>nvelopes for departments</w:t>
                  </w:r>
                  <w:r w:rsidR="009A0009">
                    <w:rPr>
                      <w:rFonts w:ascii="Arial" w:hAnsi="Arial" w:cs="Arial"/>
                      <w:bCs/>
                    </w:rPr>
                    <w:t>, confirm</w:t>
                  </w:r>
                  <w:r>
                    <w:rPr>
                      <w:rFonts w:ascii="Arial" w:hAnsi="Arial" w:cs="Arial"/>
                      <w:bCs/>
                    </w:rPr>
                    <w:t xml:space="preserve">ed </w:t>
                  </w:r>
                  <w:r w:rsidR="009A0009">
                    <w:rPr>
                      <w:rFonts w:ascii="Arial" w:hAnsi="Arial" w:cs="Arial"/>
                      <w:bCs/>
                    </w:rPr>
                    <w:t xml:space="preserve">the 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Resource DEL and Capital DEL </w:t>
                  </w:r>
                  <w:r w:rsidR="00205FF3">
                    <w:rPr>
                      <w:rFonts w:ascii="Arial" w:hAnsi="Arial" w:cs="Arial"/>
                      <w:bCs/>
                    </w:rPr>
                    <w:t>C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ontingency </w:t>
                  </w:r>
                  <w:r w:rsidR="00205FF3">
                    <w:rPr>
                      <w:rFonts w:ascii="Arial" w:hAnsi="Arial" w:cs="Arial"/>
                      <w:bCs/>
                    </w:rPr>
                    <w:t>P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lanning </w:t>
                  </w:r>
                  <w:r w:rsidR="00205FF3">
                    <w:rPr>
                      <w:rFonts w:ascii="Arial" w:hAnsi="Arial" w:cs="Arial"/>
                      <w:bCs/>
                    </w:rPr>
                    <w:t>E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>nvelopes</w:t>
                  </w:r>
                  <w:r w:rsidR="00205FF3">
                    <w:rPr>
                      <w:rFonts w:ascii="Arial" w:hAnsi="Arial" w:cs="Arial"/>
                      <w:bCs/>
                    </w:rPr>
                    <w:t xml:space="preserve"> and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205FF3">
                    <w:rPr>
                      <w:rFonts w:ascii="Arial" w:hAnsi="Arial" w:cs="Arial"/>
                      <w:bCs/>
                    </w:rPr>
                    <w:t>advised</w:t>
                  </w:r>
                  <w:r w:rsidR="009A000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that HMT has separately confirmed additional NI Protocol </w:t>
                  </w:r>
                  <w:r w:rsidR="009A0009">
                    <w:rPr>
                      <w:rFonts w:ascii="Arial" w:hAnsi="Arial" w:cs="Arial"/>
                      <w:bCs/>
                    </w:rPr>
                    <w:t xml:space="preserve">Resource DEL 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>funding</w:t>
                  </w:r>
                  <w:r w:rsidR="00AD4EF8">
                    <w:rPr>
                      <w:rFonts w:ascii="Arial" w:hAnsi="Arial" w:cs="Arial"/>
                      <w:bCs/>
                    </w:rPr>
                    <w:t xml:space="preserve">. </w:t>
                  </w:r>
                  <w:r w:rsidR="00962E0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D4EF8">
                    <w:rPr>
                      <w:rFonts w:ascii="Arial" w:hAnsi="Arial" w:cs="Arial"/>
                      <w:bCs/>
                    </w:rPr>
                    <w:t xml:space="preserve">The proposed internal allocations were advised (subject to Ministerial approval). </w:t>
                  </w:r>
                  <w:r w:rsidR="00962E0E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AD4EF8">
                    <w:rPr>
                      <w:rFonts w:ascii="Arial" w:hAnsi="Arial" w:cs="Arial"/>
                      <w:bCs/>
                    </w:rPr>
                    <w:t xml:space="preserve">An update was </w:t>
                  </w:r>
                  <w:r w:rsidR="00205FF3">
                    <w:rPr>
                      <w:rFonts w:ascii="Arial" w:hAnsi="Arial" w:cs="Arial"/>
                      <w:bCs/>
                    </w:rPr>
                    <w:t xml:space="preserve">also </w:t>
                  </w:r>
                  <w:r w:rsidR="009A0009">
                    <w:rPr>
                      <w:rFonts w:ascii="Arial" w:hAnsi="Arial" w:cs="Arial"/>
                      <w:bCs/>
                    </w:rPr>
                    <w:t>provided</w:t>
                  </w:r>
                  <w:r w:rsidR="00AD4EF8">
                    <w:rPr>
                      <w:rFonts w:ascii="Arial" w:hAnsi="Arial" w:cs="Arial"/>
                      <w:bCs/>
                    </w:rPr>
                    <w:t xml:space="preserve"> on</w:t>
                  </w:r>
                  <w:r w:rsidR="009A0009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461193" w:rsidRPr="00461193">
                    <w:rPr>
                      <w:rFonts w:ascii="Arial" w:hAnsi="Arial" w:cs="Arial"/>
                      <w:bCs/>
                    </w:rPr>
                    <w:t xml:space="preserve">the current position in relation to the Cost of Living crisis. </w:t>
                  </w:r>
                </w:p>
                <w:p w14:paraId="3D7A5C96" w14:textId="77777777" w:rsidR="00E319AB" w:rsidRDefault="00E319AB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  <w:p w14:paraId="1A3ECC9F" w14:textId="70BFC029" w:rsidR="00116FAF" w:rsidRDefault="00116FAF" w:rsidP="00116FAF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Members </w:t>
                  </w:r>
                  <w:r w:rsidR="00746E90">
                    <w:rPr>
                      <w:rFonts w:ascii="Arial" w:hAnsi="Arial" w:cs="Arial"/>
                      <w:bCs/>
                    </w:rPr>
                    <w:t>noted the contents of the paper</w:t>
                  </w:r>
                  <w:r w:rsidR="00D748B6">
                    <w:rPr>
                      <w:rFonts w:ascii="Arial" w:hAnsi="Arial" w:cs="Arial"/>
                      <w:bCs/>
                    </w:rPr>
                    <w:t xml:space="preserve"> and it was agreed that, going forward, relevant tables would show EMFG and NIEA separately.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763CB957" w14:textId="77777777" w:rsidR="00A9031B" w:rsidRPr="002929FC" w:rsidRDefault="00A9031B" w:rsidP="00116FAF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9F26AF" w14:textId="77777777" w:rsidR="00A9031B" w:rsidRPr="002929FC" w:rsidRDefault="00A9031B" w:rsidP="00BB0645">
                  <w:pPr>
                    <w:ind w:right="-108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7D3053A2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BCC3" w14:textId="5A21D0D4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4.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F698B" w14:textId="77777777" w:rsidR="00746E90" w:rsidRPr="00407DBF" w:rsidRDefault="00746E90" w:rsidP="00407DBF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</w:rPr>
                  </w:pPr>
                  <w:r w:rsidRPr="000012D8">
                    <w:rPr>
                      <w:rFonts w:ascii="Arial" w:hAnsi="Arial" w:cs="Arial"/>
                      <w:b/>
                    </w:rPr>
                    <w:t>Staff Affordability – EU Exit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0D822" w14:textId="6F45834E" w:rsidR="00746E90" w:rsidRPr="00A929CD" w:rsidRDefault="00FF30C9" w:rsidP="00FF30C9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FF30C9">
                    <w:rPr>
                      <w:rFonts w:ascii="Arial" w:hAnsi="Arial" w:cs="Arial"/>
                      <w:b/>
                      <w:bCs/>
                    </w:rPr>
                    <w:t>FC 13/22</w:t>
                  </w:r>
                </w:p>
              </w:tc>
            </w:tr>
            <w:tr w:rsidR="00746E90" w:rsidRPr="00A929CD" w14:paraId="070A136E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57266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29954" w14:textId="77777777" w:rsidR="00746E90" w:rsidRDefault="00746E90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William Peel presented the paper on Staff Affordability for EU Exit.</w:t>
                  </w:r>
                </w:p>
                <w:p w14:paraId="0CC12966" w14:textId="77777777" w:rsidR="00746E90" w:rsidRDefault="00746E90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09CF0785" w14:textId="447EA81B" w:rsidR="00FF30C9" w:rsidRDefault="007E2ED9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paper confirmed </w:t>
                  </w:r>
                  <w:r w:rsidR="006971E2">
                    <w:rPr>
                      <w:rFonts w:ascii="Arial" w:hAnsi="Arial" w:cs="Arial"/>
                    </w:rPr>
                    <w:t>that, i</w:t>
                  </w:r>
                  <w:r w:rsidR="00FF30C9">
                    <w:rPr>
                      <w:rFonts w:ascii="Arial" w:hAnsi="Arial" w:cs="Arial"/>
                    </w:rPr>
                    <w:t xml:space="preserve">n relation to </w:t>
                  </w:r>
                  <w:r w:rsidR="00FF30C9" w:rsidRPr="00FF30C9">
                    <w:rPr>
                      <w:rFonts w:ascii="Arial" w:hAnsi="Arial" w:cs="Arial"/>
                    </w:rPr>
                    <w:t>2021-22 Provisional Outturn</w:t>
                  </w:r>
                  <w:r w:rsidR="00FF30C9">
                    <w:rPr>
                      <w:rFonts w:ascii="Arial" w:hAnsi="Arial" w:cs="Arial"/>
                    </w:rPr>
                    <w:t>,</w:t>
                  </w:r>
                  <w:r w:rsidR="00FF30C9" w:rsidRPr="00FF30C9">
                    <w:rPr>
                      <w:rFonts w:ascii="Arial" w:hAnsi="Arial" w:cs="Arial"/>
                    </w:rPr>
                    <w:t xml:space="preserve"> DAERA spent out 100% of the budget that was allocated for EU Exit staff costs</w:t>
                  </w:r>
                  <w:r w:rsidR="00953C93">
                    <w:rPr>
                      <w:rFonts w:ascii="Arial" w:hAnsi="Arial" w:cs="Arial"/>
                    </w:rPr>
                    <w:t xml:space="preserve"> and fully utilised</w:t>
                  </w:r>
                  <w:r w:rsidR="00110C6F">
                    <w:rPr>
                      <w:rFonts w:ascii="Arial" w:hAnsi="Arial" w:cs="Arial"/>
                    </w:rPr>
                    <w:t xml:space="preserve"> both</w:t>
                  </w:r>
                  <w:r w:rsidR="00953C93">
                    <w:rPr>
                      <w:rFonts w:ascii="Arial" w:hAnsi="Arial" w:cs="Arial"/>
                    </w:rPr>
                    <w:t xml:space="preserve"> the </w:t>
                  </w:r>
                  <w:r w:rsidR="00953C93" w:rsidRPr="00953C93">
                    <w:rPr>
                      <w:rFonts w:ascii="Arial" w:hAnsi="Arial" w:cs="Arial"/>
                    </w:rPr>
                    <w:t>NI Block</w:t>
                  </w:r>
                  <w:r w:rsidR="00110C6F">
                    <w:rPr>
                      <w:rFonts w:ascii="Arial" w:hAnsi="Arial" w:cs="Arial"/>
                    </w:rPr>
                    <w:t xml:space="preserve"> and HMT</w:t>
                  </w:r>
                  <w:r w:rsidR="00953C93" w:rsidRPr="00953C93">
                    <w:rPr>
                      <w:rFonts w:ascii="Arial" w:hAnsi="Arial" w:cs="Arial"/>
                    </w:rPr>
                    <w:t xml:space="preserve"> allocation</w:t>
                  </w:r>
                  <w:r w:rsidR="00110C6F">
                    <w:rPr>
                      <w:rFonts w:ascii="Arial" w:hAnsi="Arial" w:cs="Arial"/>
                    </w:rPr>
                    <w:t>s</w:t>
                  </w:r>
                  <w:r w:rsidR="00953C93" w:rsidRPr="00953C93">
                    <w:rPr>
                      <w:rFonts w:ascii="Arial" w:hAnsi="Arial" w:cs="Arial"/>
                    </w:rPr>
                    <w:t xml:space="preserve"> for EU Exit</w:t>
                  </w:r>
                  <w:r w:rsidR="00953C93">
                    <w:rPr>
                      <w:rFonts w:ascii="Arial" w:hAnsi="Arial" w:cs="Arial"/>
                    </w:rPr>
                    <w:t>.</w:t>
                  </w:r>
                </w:p>
                <w:p w14:paraId="5287E5BB" w14:textId="77777777" w:rsidR="00746E90" w:rsidRDefault="00746E90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3751F21D" w14:textId="51045839" w:rsidR="00953C93" w:rsidRDefault="006971E2" w:rsidP="0075433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paper further </w:t>
                  </w:r>
                  <w:r w:rsidR="00746E90">
                    <w:rPr>
                      <w:rFonts w:ascii="Arial" w:hAnsi="Arial" w:cs="Arial"/>
                    </w:rPr>
                    <w:t>advised that a</w:t>
                  </w:r>
                  <w:r w:rsidR="00746E90" w:rsidRPr="0021108D">
                    <w:rPr>
                      <w:rFonts w:ascii="Arial" w:hAnsi="Arial" w:cs="Arial"/>
                    </w:rPr>
                    <w:t xml:space="preserve">s </w:t>
                  </w:r>
                  <w:r w:rsidR="00746E90">
                    <w:rPr>
                      <w:rFonts w:ascii="Arial" w:hAnsi="Arial" w:cs="Arial"/>
                    </w:rPr>
                    <w:t>a</w:t>
                  </w:r>
                  <w:r w:rsidR="00746E90" w:rsidRPr="008F1313">
                    <w:rPr>
                      <w:rFonts w:ascii="Arial" w:hAnsi="Arial" w:cs="Arial"/>
                    </w:rPr>
                    <w:t xml:space="preserve">t </w:t>
                  </w:r>
                  <w:r w:rsidR="00953C93" w:rsidRPr="00953C93">
                    <w:rPr>
                      <w:rFonts w:ascii="Arial" w:hAnsi="Arial" w:cs="Arial"/>
                    </w:rPr>
                    <w:t xml:space="preserve">01 April 2022 the EU Exit SIP was 350.3 FTE </w:t>
                  </w:r>
                  <w:r w:rsidR="00953C93">
                    <w:rPr>
                      <w:rFonts w:ascii="Arial" w:hAnsi="Arial" w:cs="Arial"/>
                    </w:rPr>
                    <w:t xml:space="preserve">with </w:t>
                  </w:r>
                  <w:r w:rsidR="00953C93" w:rsidRPr="00953C93">
                    <w:rPr>
                      <w:rFonts w:ascii="Arial" w:hAnsi="Arial" w:cs="Arial"/>
                    </w:rPr>
                    <w:t xml:space="preserve">139.0 FTE vacancies registered with NICS HR.  These figures exclude the costs of the current 91.0 </w:t>
                  </w:r>
                  <w:r w:rsidR="00953C93" w:rsidRPr="00953C93">
                    <w:rPr>
                      <w:rFonts w:ascii="Arial" w:hAnsi="Arial" w:cs="Arial"/>
                    </w:rPr>
                    <w:lastRenderedPageBreak/>
                    <w:t>FTE in post in respect of the NI Protocol, including Brexit Operational Readiness and VSAHG staff.</w:t>
                  </w:r>
                </w:p>
                <w:p w14:paraId="5DC226A3" w14:textId="77777777" w:rsidR="00953C93" w:rsidRDefault="00953C93" w:rsidP="00754339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C512ED3" w14:textId="55BF834B" w:rsidR="00953C93" w:rsidRDefault="006971E2" w:rsidP="0075433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 </w:t>
                  </w:r>
                  <w:r w:rsidR="00953C93" w:rsidRPr="00953C93">
                    <w:rPr>
                      <w:rFonts w:ascii="Arial" w:hAnsi="Arial" w:cs="Arial"/>
                    </w:rPr>
                    <w:t xml:space="preserve">summary of the number of EU Exit posts returned and their costs for the next three financial years, as part of the Budget 2022-25 Information </w:t>
                  </w:r>
                  <w:r w:rsidR="00AD4EF8">
                    <w:rPr>
                      <w:rFonts w:ascii="Arial" w:hAnsi="Arial" w:cs="Arial"/>
                    </w:rPr>
                    <w:t>G</w:t>
                  </w:r>
                  <w:r w:rsidR="00953C93" w:rsidRPr="00953C93">
                    <w:rPr>
                      <w:rFonts w:ascii="Arial" w:hAnsi="Arial" w:cs="Arial"/>
                    </w:rPr>
                    <w:t xml:space="preserve">athering </w:t>
                  </w:r>
                  <w:r w:rsidR="00AD4EF8">
                    <w:rPr>
                      <w:rFonts w:ascii="Arial" w:hAnsi="Arial" w:cs="Arial"/>
                    </w:rPr>
                    <w:t>E</w:t>
                  </w:r>
                  <w:r w:rsidR="00953C93" w:rsidRPr="00953C93">
                    <w:rPr>
                      <w:rFonts w:ascii="Arial" w:hAnsi="Arial" w:cs="Arial"/>
                    </w:rPr>
                    <w:t>xercise</w:t>
                  </w:r>
                  <w:r>
                    <w:rPr>
                      <w:rFonts w:ascii="Arial" w:hAnsi="Arial" w:cs="Arial"/>
                    </w:rPr>
                    <w:t xml:space="preserve"> was provided</w:t>
                  </w:r>
                  <w:r w:rsidR="00953C93" w:rsidRPr="00953C93">
                    <w:rPr>
                      <w:rFonts w:ascii="Arial" w:hAnsi="Arial" w:cs="Arial"/>
                    </w:rPr>
                    <w:t xml:space="preserve">.  </w:t>
                  </w:r>
                  <w:r>
                    <w:rPr>
                      <w:rFonts w:ascii="Arial" w:hAnsi="Arial" w:cs="Arial"/>
                    </w:rPr>
                    <w:t xml:space="preserve">It was </w:t>
                  </w:r>
                  <w:r w:rsidR="00953C93">
                    <w:rPr>
                      <w:rFonts w:ascii="Arial" w:hAnsi="Arial" w:cs="Arial"/>
                    </w:rPr>
                    <w:t xml:space="preserve">confirmed that </w:t>
                  </w:r>
                  <w:r w:rsidR="00953C93" w:rsidRPr="00953C93">
                    <w:rPr>
                      <w:rFonts w:ascii="Arial" w:hAnsi="Arial" w:cs="Arial"/>
                    </w:rPr>
                    <w:t xml:space="preserve">NI Protocol Staffing requirements, as well as those for Green Growth are being reviewed separately and have therefore been excluded from the figures </w:t>
                  </w:r>
                  <w:r w:rsidR="00953C93">
                    <w:rPr>
                      <w:rFonts w:ascii="Arial" w:hAnsi="Arial" w:cs="Arial"/>
                    </w:rPr>
                    <w:t>presented</w:t>
                  </w:r>
                  <w:r w:rsidR="00953C93" w:rsidRPr="00953C93">
                    <w:rPr>
                      <w:rFonts w:ascii="Arial" w:hAnsi="Arial" w:cs="Arial"/>
                    </w:rPr>
                    <w:t>.</w:t>
                  </w:r>
                </w:p>
                <w:p w14:paraId="4CBE64A5" w14:textId="77777777" w:rsidR="00953C93" w:rsidRDefault="00953C93" w:rsidP="00754339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298E52A5" w14:textId="2C23DEE5" w:rsidR="00953C93" w:rsidRDefault="00953C93" w:rsidP="00754339">
                  <w:pPr>
                    <w:jc w:val="both"/>
                    <w:rPr>
                      <w:rFonts w:ascii="Arial" w:hAnsi="Arial" w:cs="Arial"/>
                    </w:rPr>
                  </w:pPr>
                  <w:r w:rsidRPr="00953C93">
                    <w:rPr>
                      <w:rFonts w:ascii="Arial" w:hAnsi="Arial" w:cs="Arial"/>
                    </w:rPr>
                    <w:t xml:space="preserve">In respect of the Contingency Planning Envelope that the Department of Finance has allocated to DAERA for 2022-23, </w:t>
                  </w:r>
                  <w:r w:rsidR="005A12B1">
                    <w:rPr>
                      <w:rFonts w:ascii="Arial" w:hAnsi="Arial" w:cs="Arial"/>
                    </w:rPr>
                    <w:t xml:space="preserve">it was confirmed that </w:t>
                  </w:r>
                  <w:r w:rsidRPr="00953C93">
                    <w:rPr>
                      <w:rFonts w:ascii="Arial" w:hAnsi="Arial" w:cs="Arial"/>
                    </w:rPr>
                    <w:t xml:space="preserve">the Resource DEL Baseline from 2021-22 </w:t>
                  </w:r>
                  <w:r w:rsidR="005A12B1">
                    <w:rPr>
                      <w:rFonts w:ascii="Arial" w:hAnsi="Arial" w:cs="Arial"/>
                    </w:rPr>
                    <w:t xml:space="preserve">would </w:t>
                  </w:r>
                  <w:r w:rsidRPr="00953C93">
                    <w:rPr>
                      <w:rFonts w:ascii="Arial" w:hAnsi="Arial" w:cs="Arial"/>
                    </w:rPr>
                    <w:t xml:space="preserve">roll forward into the 2022-23 financial year.  </w:t>
                  </w:r>
                  <w:r w:rsidR="00110C6F">
                    <w:rPr>
                      <w:rFonts w:ascii="Arial" w:hAnsi="Arial" w:cs="Arial"/>
                    </w:rPr>
                    <w:t>Confirmation has also been received in relation to HMT funding for 2022-23 of £7.2m in relation to staffing costs associated with the</w:t>
                  </w:r>
                  <w:r w:rsidR="00B953E2">
                    <w:rPr>
                      <w:rFonts w:ascii="Arial" w:hAnsi="Arial" w:cs="Arial"/>
                    </w:rPr>
                    <w:t xml:space="preserve"> NI</w:t>
                  </w:r>
                  <w:r w:rsidR="00110C6F">
                    <w:rPr>
                      <w:rFonts w:ascii="Arial" w:hAnsi="Arial" w:cs="Arial"/>
                    </w:rPr>
                    <w:t xml:space="preserve"> Protocol. </w:t>
                  </w:r>
                </w:p>
                <w:p w14:paraId="54055563" w14:textId="77777777" w:rsidR="00953C93" w:rsidRDefault="00953C93" w:rsidP="00754339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BA9A1CF" w14:textId="4D743A07" w:rsidR="00953C93" w:rsidRDefault="006971E2" w:rsidP="00953C93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Finally </w:t>
                  </w:r>
                  <w:r w:rsidR="00953C93" w:rsidRPr="00953C93">
                    <w:rPr>
                      <w:rFonts w:ascii="Arial" w:hAnsi="Arial" w:cs="Arial"/>
                    </w:rPr>
                    <w:t>the future EU Exit staffing requirement and associated cost</w:t>
                  </w:r>
                  <w:r w:rsidR="00B953E2">
                    <w:rPr>
                      <w:rFonts w:ascii="Arial" w:hAnsi="Arial" w:cs="Arial"/>
                    </w:rPr>
                    <w:t>s</w:t>
                  </w:r>
                  <w:r w:rsidR="00953C93" w:rsidRPr="00953C93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were confirmed</w:t>
                  </w:r>
                  <w:r w:rsidR="00205FF3">
                    <w:rPr>
                      <w:rFonts w:ascii="Arial" w:hAnsi="Arial" w:cs="Arial"/>
                    </w:rPr>
                    <w:t>.  I</w:t>
                  </w:r>
                  <w:r w:rsidR="00B953E2">
                    <w:rPr>
                      <w:rFonts w:ascii="Arial" w:hAnsi="Arial" w:cs="Arial"/>
                    </w:rPr>
                    <w:t xml:space="preserve">t was </w:t>
                  </w:r>
                  <w:r w:rsidR="00205FF3">
                    <w:rPr>
                      <w:rFonts w:ascii="Arial" w:hAnsi="Arial" w:cs="Arial"/>
                    </w:rPr>
                    <w:t xml:space="preserve">also advised </w:t>
                  </w:r>
                  <w:r w:rsidR="00953C93" w:rsidRPr="00953C93">
                    <w:rPr>
                      <w:rFonts w:ascii="Arial" w:hAnsi="Arial" w:cs="Arial"/>
                    </w:rPr>
                    <w:t xml:space="preserve">that it would be unaffordable if all existing EU Exit vacancies on HR Connect were filled for a full year and </w:t>
                  </w:r>
                  <w:r w:rsidR="005A12B1">
                    <w:rPr>
                      <w:rFonts w:ascii="Arial" w:hAnsi="Arial" w:cs="Arial"/>
                    </w:rPr>
                    <w:t xml:space="preserve">that </w:t>
                  </w:r>
                  <w:r w:rsidR="00205FF3">
                    <w:rPr>
                      <w:rFonts w:ascii="Arial" w:hAnsi="Arial" w:cs="Arial"/>
                    </w:rPr>
                    <w:t>affordability</w:t>
                  </w:r>
                  <w:r w:rsidR="00953C93" w:rsidRPr="00953C93">
                    <w:rPr>
                      <w:rFonts w:ascii="Arial" w:hAnsi="Arial" w:cs="Arial"/>
                    </w:rPr>
                    <w:t xml:space="preserve"> is currently being reviewed as part of the wider funding position of staff costs.</w:t>
                  </w:r>
                </w:p>
                <w:p w14:paraId="32661A31" w14:textId="77777777" w:rsidR="00746E90" w:rsidRPr="005605B2" w:rsidRDefault="00746E90" w:rsidP="00754339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14:paraId="120793FC" w14:textId="77777777" w:rsidR="00746E90" w:rsidRDefault="00746E90" w:rsidP="0075433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 w:rsidRPr="0034374E">
                    <w:rPr>
                      <w:rFonts w:ascii="Arial" w:hAnsi="Arial" w:cs="Arial"/>
                    </w:rPr>
                    <w:t xml:space="preserve">Members </w:t>
                  </w:r>
                  <w:r>
                    <w:rPr>
                      <w:rFonts w:ascii="Arial" w:hAnsi="Arial" w:cs="Arial"/>
                    </w:rPr>
                    <w:t>noted the contents</w:t>
                  </w:r>
                  <w:r w:rsidRPr="0034374E">
                    <w:rPr>
                      <w:rFonts w:ascii="Arial" w:hAnsi="Arial" w:cs="Arial"/>
                    </w:rPr>
                    <w:t xml:space="preserve"> of the paper.</w:t>
                  </w:r>
                </w:p>
                <w:p w14:paraId="47C4D747" w14:textId="77777777" w:rsidR="00746E90" w:rsidRPr="000012D8" w:rsidRDefault="00746E90" w:rsidP="000012D8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3A97D" w14:textId="77777777" w:rsidR="00746E90" w:rsidRPr="00A929CD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7E4408ED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0F78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4462" w14:textId="77777777" w:rsidR="00746E90" w:rsidRPr="000012D8" w:rsidRDefault="00746E90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D778B9">
                    <w:rPr>
                      <w:rFonts w:ascii="Arial" w:hAnsi="Arial" w:cs="Arial"/>
                      <w:b/>
                    </w:rPr>
                    <w:t>Staff Affordability – Non EU Exit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A62FA" w14:textId="29938846" w:rsidR="00746E90" w:rsidRPr="00A929CD" w:rsidRDefault="00746E90" w:rsidP="005A12B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5A12B1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4/22</w:t>
                  </w:r>
                </w:p>
              </w:tc>
            </w:tr>
            <w:tr w:rsidR="00746E90" w:rsidRPr="00A929CD" w14:paraId="1B3EE0E4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772D2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CAC8C" w14:textId="14FF7DB9" w:rsidR="00746E90" w:rsidRDefault="00746E90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Briege </w:t>
                  </w:r>
                  <w:r w:rsidR="00651806">
                    <w:rPr>
                      <w:rFonts w:ascii="Arial" w:hAnsi="Arial" w:cs="Arial"/>
                    </w:rPr>
                    <w:t xml:space="preserve">Lafferty </w:t>
                  </w:r>
                  <w:r>
                    <w:rPr>
                      <w:rFonts w:ascii="Arial" w:hAnsi="Arial" w:cs="Arial"/>
                    </w:rPr>
                    <w:t xml:space="preserve">presented the paper on Staff Affordability for </w:t>
                  </w:r>
                  <w:r w:rsidR="005A12B1">
                    <w:rPr>
                      <w:rFonts w:ascii="Arial" w:hAnsi="Arial" w:cs="Arial"/>
                    </w:rPr>
                    <w:t xml:space="preserve">Non </w:t>
                  </w:r>
                  <w:r>
                    <w:rPr>
                      <w:rFonts w:ascii="Arial" w:hAnsi="Arial" w:cs="Arial"/>
                    </w:rPr>
                    <w:t>EU Exit.</w:t>
                  </w:r>
                </w:p>
                <w:p w14:paraId="66942A8F" w14:textId="77777777" w:rsidR="00746E90" w:rsidRDefault="00746E90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5D319686" w14:textId="2D6571D4" w:rsidR="00746E90" w:rsidRDefault="006971E2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paper provided </w:t>
                  </w:r>
                  <w:r w:rsidR="00746E90">
                    <w:rPr>
                      <w:rFonts w:ascii="Arial" w:hAnsi="Arial" w:cs="Arial"/>
                    </w:rPr>
                    <w:t>the current SIP and vacancy position confirming 36</w:t>
                  </w:r>
                  <w:r w:rsidR="005A12B1">
                    <w:rPr>
                      <w:rFonts w:ascii="Arial" w:hAnsi="Arial" w:cs="Arial"/>
                    </w:rPr>
                    <w:t>5</w:t>
                  </w:r>
                  <w:r w:rsidR="00746E90">
                    <w:rPr>
                      <w:rFonts w:ascii="Arial" w:hAnsi="Arial" w:cs="Arial"/>
                    </w:rPr>
                    <w:t xml:space="preserve"> </w:t>
                  </w:r>
                  <w:r w:rsidR="00205FF3">
                    <w:rPr>
                      <w:rFonts w:ascii="Arial" w:hAnsi="Arial" w:cs="Arial"/>
                    </w:rPr>
                    <w:t>Business As Usual (</w:t>
                  </w:r>
                  <w:r w:rsidR="00746E90">
                    <w:rPr>
                      <w:rFonts w:ascii="Arial" w:hAnsi="Arial" w:cs="Arial"/>
                    </w:rPr>
                    <w:t>BAU</w:t>
                  </w:r>
                  <w:r w:rsidR="00205FF3">
                    <w:rPr>
                      <w:rFonts w:ascii="Arial" w:hAnsi="Arial" w:cs="Arial"/>
                    </w:rPr>
                    <w:t>)</w:t>
                  </w:r>
                  <w:r w:rsidR="00746E90">
                    <w:rPr>
                      <w:rFonts w:ascii="Arial" w:hAnsi="Arial" w:cs="Arial"/>
                    </w:rPr>
                    <w:t xml:space="preserve"> vacancies as at </w:t>
                  </w:r>
                  <w:r w:rsidR="005A12B1">
                    <w:rPr>
                      <w:rFonts w:ascii="Arial" w:hAnsi="Arial" w:cs="Arial"/>
                    </w:rPr>
                    <w:t>0</w:t>
                  </w:r>
                  <w:r w:rsidR="00746E90">
                    <w:rPr>
                      <w:rFonts w:ascii="Arial" w:hAnsi="Arial" w:cs="Arial"/>
                    </w:rPr>
                    <w:t xml:space="preserve">1 </w:t>
                  </w:r>
                  <w:r w:rsidR="005A12B1">
                    <w:rPr>
                      <w:rFonts w:ascii="Arial" w:hAnsi="Arial" w:cs="Arial"/>
                    </w:rPr>
                    <w:t>April</w:t>
                  </w:r>
                  <w:r w:rsidR="00746E90">
                    <w:rPr>
                      <w:rFonts w:ascii="Arial" w:hAnsi="Arial" w:cs="Arial"/>
                    </w:rPr>
                    <w:t xml:space="preserve"> 2022.</w:t>
                  </w:r>
                </w:p>
                <w:p w14:paraId="52688612" w14:textId="77777777" w:rsidR="00746E90" w:rsidRDefault="00746E90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0EEC2FE4" w14:textId="72513D92" w:rsidR="00746E90" w:rsidRPr="00F22B72" w:rsidRDefault="006971E2" w:rsidP="00F22B7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It was </w:t>
                  </w:r>
                  <w:r w:rsidR="00746E90">
                    <w:rPr>
                      <w:rFonts w:ascii="Arial" w:eastAsia="Calibri" w:hAnsi="Arial" w:cs="Arial"/>
                    </w:rPr>
                    <w:t>confirmed that w</w:t>
                  </w:r>
                  <w:r w:rsidR="00746E90" w:rsidRPr="00F22B72">
                    <w:rPr>
                      <w:rFonts w:ascii="Arial" w:eastAsia="Calibri" w:hAnsi="Arial" w:cs="Arial"/>
                    </w:rPr>
                    <w:t xml:space="preserve">hen current vacancies </w:t>
                  </w:r>
                  <w:r>
                    <w:rPr>
                      <w:rFonts w:ascii="Arial" w:eastAsia="Calibri" w:hAnsi="Arial" w:cs="Arial"/>
                    </w:rPr>
                    <w:t xml:space="preserve">were </w:t>
                  </w:r>
                  <w:r w:rsidR="00746E90" w:rsidRPr="00F22B72">
                    <w:rPr>
                      <w:rFonts w:ascii="Arial" w:eastAsia="Calibri" w:hAnsi="Arial" w:cs="Arial"/>
                    </w:rPr>
                    <w:t xml:space="preserve">added to the current SIP FTE and then compared against the </w:t>
                  </w:r>
                  <w:r w:rsidR="00205FF3">
                    <w:rPr>
                      <w:rFonts w:ascii="Arial" w:eastAsia="Calibri" w:hAnsi="Arial" w:cs="Arial"/>
                    </w:rPr>
                    <w:t>Approved Planning Ceiling (</w:t>
                  </w:r>
                  <w:r w:rsidR="00746E90" w:rsidRPr="00F22B72">
                    <w:rPr>
                      <w:rFonts w:ascii="Arial" w:eastAsia="Calibri" w:hAnsi="Arial" w:cs="Arial"/>
                    </w:rPr>
                    <w:t>APC</w:t>
                  </w:r>
                  <w:r w:rsidR="00205FF3">
                    <w:rPr>
                      <w:rFonts w:ascii="Arial" w:eastAsia="Calibri" w:hAnsi="Arial" w:cs="Arial"/>
                    </w:rPr>
                    <w:t>)</w:t>
                  </w:r>
                  <w:r w:rsidR="00746E90" w:rsidRPr="00F22B72">
                    <w:rPr>
                      <w:rFonts w:ascii="Arial" w:eastAsia="Calibri" w:hAnsi="Arial" w:cs="Arial"/>
                    </w:rPr>
                    <w:t>, FFG</w:t>
                  </w:r>
                  <w:r w:rsidR="005A12B1">
                    <w:rPr>
                      <w:rFonts w:ascii="Arial" w:eastAsia="Calibri" w:hAnsi="Arial" w:cs="Arial"/>
                    </w:rPr>
                    <w:t>, RAET</w:t>
                  </w:r>
                  <w:r w:rsidR="00746E90" w:rsidRPr="00F22B72">
                    <w:rPr>
                      <w:rFonts w:ascii="Arial" w:eastAsia="Calibri" w:hAnsi="Arial" w:cs="Arial"/>
                    </w:rPr>
                    <w:t xml:space="preserve"> and EMFG ha</w:t>
                  </w:r>
                  <w:r>
                    <w:rPr>
                      <w:rFonts w:ascii="Arial" w:eastAsia="Calibri" w:hAnsi="Arial" w:cs="Arial"/>
                    </w:rPr>
                    <w:t xml:space="preserve">d </w:t>
                  </w:r>
                  <w:r w:rsidR="00746E90" w:rsidRPr="00F22B72">
                    <w:rPr>
                      <w:rFonts w:ascii="Arial" w:eastAsia="Calibri" w:hAnsi="Arial" w:cs="Arial"/>
                    </w:rPr>
                    <w:t>a Red RAG status; NIEA and CSCPG ha</w:t>
                  </w:r>
                  <w:r>
                    <w:rPr>
                      <w:rFonts w:ascii="Arial" w:eastAsia="Calibri" w:hAnsi="Arial" w:cs="Arial"/>
                    </w:rPr>
                    <w:t>d</w:t>
                  </w:r>
                  <w:r w:rsidR="00746E90" w:rsidRPr="00F22B72">
                    <w:rPr>
                      <w:rFonts w:ascii="Arial" w:eastAsia="Calibri" w:hAnsi="Arial" w:cs="Arial"/>
                    </w:rPr>
                    <w:t xml:space="preserve"> an Amber RAG status; and </w:t>
                  </w:r>
                  <w:r w:rsidR="005A12B1">
                    <w:rPr>
                      <w:rFonts w:ascii="Arial" w:eastAsia="Calibri" w:hAnsi="Arial" w:cs="Arial"/>
                    </w:rPr>
                    <w:t xml:space="preserve">VSAHG and </w:t>
                  </w:r>
                  <w:r w:rsidR="00746E90" w:rsidRPr="00F22B72">
                    <w:rPr>
                      <w:rFonts w:ascii="Arial" w:eastAsia="Calibri" w:hAnsi="Arial" w:cs="Arial"/>
                    </w:rPr>
                    <w:t>Forest Service ha</w:t>
                  </w:r>
                  <w:r>
                    <w:rPr>
                      <w:rFonts w:ascii="Arial" w:eastAsia="Calibri" w:hAnsi="Arial" w:cs="Arial"/>
                    </w:rPr>
                    <w:t>d</w:t>
                  </w:r>
                  <w:r w:rsidR="00746E90" w:rsidRPr="00F22B72">
                    <w:rPr>
                      <w:rFonts w:ascii="Arial" w:eastAsia="Calibri" w:hAnsi="Arial" w:cs="Arial"/>
                    </w:rPr>
                    <w:t xml:space="preserve"> a Green RAG status.  As a result, Financial Planning Branch is unable to raise further vacancies with NICS HR for FFG</w:t>
                  </w:r>
                  <w:r w:rsidR="005A12B1">
                    <w:rPr>
                      <w:rFonts w:ascii="Arial" w:eastAsia="Calibri" w:hAnsi="Arial" w:cs="Arial"/>
                    </w:rPr>
                    <w:t>, RAET</w:t>
                  </w:r>
                  <w:r w:rsidR="00746E90" w:rsidRPr="00F22B72">
                    <w:rPr>
                      <w:rFonts w:ascii="Arial" w:eastAsia="Calibri" w:hAnsi="Arial" w:cs="Arial"/>
                    </w:rPr>
                    <w:t xml:space="preserve"> and EMFG at this time and will continue to review the situation in relation to NIEA and CSCPG</w:t>
                  </w:r>
                  <w:r w:rsidR="00746E90" w:rsidRPr="00F22B72">
                    <w:rPr>
                      <w:rFonts w:ascii="Arial" w:hAnsi="Arial" w:cs="Arial"/>
                    </w:rPr>
                    <w:t xml:space="preserve">.  </w:t>
                  </w:r>
                </w:p>
                <w:p w14:paraId="15F5FF05" w14:textId="77777777" w:rsidR="00746E90" w:rsidRDefault="00746E90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35E0E3CE" w14:textId="63122846" w:rsidR="005A12B1" w:rsidRDefault="006971E2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="005A12B1" w:rsidRPr="005A12B1">
                    <w:rPr>
                      <w:rFonts w:ascii="Arial" w:hAnsi="Arial" w:cs="Arial"/>
                    </w:rPr>
                    <w:t>he projected BAU Salary funding position for the current 2022-23 year and for three future years</w:t>
                  </w:r>
                  <w:r w:rsidR="00692F1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was presented and this </w:t>
                  </w:r>
                  <w:r w:rsidR="00692F1D">
                    <w:rPr>
                      <w:rFonts w:ascii="Arial" w:hAnsi="Arial" w:cs="Arial"/>
                    </w:rPr>
                    <w:t>cover</w:t>
                  </w:r>
                  <w:r>
                    <w:rPr>
                      <w:rFonts w:ascii="Arial" w:hAnsi="Arial" w:cs="Arial"/>
                    </w:rPr>
                    <w:t>ed</w:t>
                  </w:r>
                  <w:r w:rsidR="00692F1D">
                    <w:rPr>
                      <w:rFonts w:ascii="Arial" w:hAnsi="Arial" w:cs="Arial"/>
                    </w:rPr>
                    <w:t xml:space="preserve"> costs </w:t>
                  </w:r>
                  <w:r w:rsidR="00692F1D" w:rsidRPr="00692F1D">
                    <w:rPr>
                      <w:rFonts w:ascii="Arial" w:hAnsi="Arial" w:cs="Arial"/>
                    </w:rPr>
                    <w:t>based on current numbers</w:t>
                  </w:r>
                  <w:r w:rsidR="00692F1D">
                    <w:rPr>
                      <w:rFonts w:ascii="Arial" w:hAnsi="Arial" w:cs="Arial"/>
                    </w:rPr>
                    <w:t xml:space="preserve">, costs of the </w:t>
                  </w:r>
                  <w:r w:rsidR="00692F1D" w:rsidRPr="00692F1D">
                    <w:rPr>
                      <w:rFonts w:ascii="Arial" w:hAnsi="Arial" w:cs="Arial"/>
                    </w:rPr>
                    <w:t xml:space="preserve">projected staff numbers </w:t>
                  </w:r>
                  <w:r w:rsidR="00692F1D">
                    <w:rPr>
                      <w:rFonts w:ascii="Arial" w:hAnsi="Arial" w:cs="Arial"/>
                    </w:rPr>
                    <w:t xml:space="preserve">which included the current </w:t>
                  </w:r>
                  <w:r w:rsidR="00692F1D" w:rsidRPr="00692F1D">
                    <w:rPr>
                      <w:rFonts w:ascii="Arial" w:hAnsi="Arial" w:cs="Arial"/>
                    </w:rPr>
                    <w:t xml:space="preserve">SIP </w:t>
                  </w:r>
                  <w:r w:rsidR="00692F1D">
                    <w:rPr>
                      <w:rFonts w:ascii="Arial" w:hAnsi="Arial" w:cs="Arial"/>
                    </w:rPr>
                    <w:t xml:space="preserve">and </w:t>
                  </w:r>
                  <w:r w:rsidR="00692F1D" w:rsidRPr="00692F1D">
                    <w:rPr>
                      <w:rFonts w:ascii="Arial" w:hAnsi="Arial" w:cs="Arial"/>
                    </w:rPr>
                    <w:t>vacancies</w:t>
                  </w:r>
                  <w:r w:rsidR="00692F1D">
                    <w:rPr>
                      <w:rFonts w:ascii="Arial" w:hAnsi="Arial" w:cs="Arial"/>
                    </w:rPr>
                    <w:t xml:space="preserve">, costs of the </w:t>
                  </w:r>
                  <w:r w:rsidR="00692F1D" w:rsidRPr="00692F1D">
                    <w:rPr>
                      <w:rFonts w:ascii="Arial" w:hAnsi="Arial" w:cs="Arial"/>
                    </w:rPr>
                    <w:t xml:space="preserve">Headcount Limit (HL) and </w:t>
                  </w:r>
                  <w:r w:rsidR="00692F1D">
                    <w:rPr>
                      <w:rFonts w:ascii="Arial" w:hAnsi="Arial" w:cs="Arial"/>
                    </w:rPr>
                    <w:t xml:space="preserve">costs for the </w:t>
                  </w:r>
                  <w:r w:rsidR="00692F1D" w:rsidRPr="00692F1D">
                    <w:rPr>
                      <w:rFonts w:ascii="Arial" w:hAnsi="Arial" w:cs="Arial"/>
                    </w:rPr>
                    <w:t>APC</w:t>
                  </w:r>
                  <w:r w:rsidR="00692F1D">
                    <w:rPr>
                      <w:rFonts w:ascii="Arial" w:hAnsi="Arial" w:cs="Arial"/>
                    </w:rPr>
                    <w:t>.</w:t>
                  </w:r>
                </w:p>
                <w:p w14:paraId="0F90312D" w14:textId="77777777" w:rsidR="005A12B1" w:rsidRDefault="005A12B1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49E958E7" w14:textId="4A9FF0A7" w:rsidR="00692F1D" w:rsidRDefault="006971E2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Finally it was </w:t>
                  </w:r>
                  <w:r w:rsidR="00205FF3">
                    <w:rPr>
                      <w:rFonts w:ascii="Arial" w:hAnsi="Arial" w:cs="Arial"/>
                    </w:rPr>
                    <w:t>advised</w:t>
                  </w:r>
                  <w:r w:rsidR="00692F1D" w:rsidRPr="00692F1D">
                    <w:rPr>
                      <w:rFonts w:ascii="Arial" w:hAnsi="Arial" w:cs="Arial"/>
                    </w:rPr>
                    <w:t xml:space="preserve"> that the current Headcount Limit </w:t>
                  </w:r>
                  <w:r w:rsidR="00692F1D">
                    <w:rPr>
                      <w:rFonts w:ascii="Arial" w:hAnsi="Arial" w:cs="Arial"/>
                    </w:rPr>
                    <w:t>wa</w:t>
                  </w:r>
                  <w:r w:rsidR="00692F1D" w:rsidRPr="00692F1D">
                    <w:rPr>
                      <w:rFonts w:ascii="Arial" w:hAnsi="Arial" w:cs="Arial"/>
                    </w:rPr>
                    <w:t xml:space="preserve">s no longer affordable as it has been eroded by pay inflation and </w:t>
                  </w:r>
                  <w:r w:rsidR="00692F1D">
                    <w:rPr>
                      <w:rFonts w:ascii="Arial" w:hAnsi="Arial" w:cs="Arial"/>
                    </w:rPr>
                    <w:t xml:space="preserve">that </w:t>
                  </w:r>
                  <w:r w:rsidR="00692F1D" w:rsidRPr="00692F1D">
                    <w:rPr>
                      <w:rFonts w:ascii="Arial" w:hAnsi="Arial" w:cs="Arial"/>
                    </w:rPr>
                    <w:t>this is currently being reviewed as part of the wider funding position of staff costs</w:t>
                  </w:r>
                  <w:r w:rsidR="00692F1D">
                    <w:rPr>
                      <w:rFonts w:ascii="Arial" w:hAnsi="Arial" w:cs="Arial"/>
                    </w:rPr>
                    <w:t>.</w:t>
                  </w:r>
                </w:p>
                <w:p w14:paraId="3B43DB33" w14:textId="77777777" w:rsidR="00692F1D" w:rsidRDefault="00692F1D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6C116E48" w14:textId="78EDB621" w:rsidR="007F4704" w:rsidRDefault="007F4704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Pr="007F4704">
                    <w:rPr>
                      <w:rFonts w:ascii="Arial" w:hAnsi="Arial" w:cs="Arial"/>
                    </w:rPr>
                    <w:t>here was a discussion around the need for the senior team to look at the allocation of staff to priorities given the restrictions on staff resources in terms of affordability and also supply.</w:t>
                  </w:r>
                </w:p>
                <w:p w14:paraId="73C0B45E" w14:textId="77777777" w:rsidR="007F4704" w:rsidRDefault="007F4704" w:rsidP="00D778B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615F7618" w14:textId="77777777" w:rsidR="00746E90" w:rsidRDefault="00746E90" w:rsidP="00746E90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 w:rsidRPr="0034374E">
                    <w:rPr>
                      <w:rFonts w:ascii="Arial" w:hAnsi="Arial" w:cs="Arial"/>
                    </w:rPr>
                    <w:t xml:space="preserve">Members </w:t>
                  </w:r>
                  <w:r>
                    <w:rPr>
                      <w:rFonts w:ascii="Arial" w:hAnsi="Arial" w:cs="Arial"/>
                    </w:rPr>
                    <w:t>noted the contents</w:t>
                  </w:r>
                  <w:r w:rsidRPr="0034374E">
                    <w:rPr>
                      <w:rFonts w:ascii="Arial" w:hAnsi="Arial" w:cs="Arial"/>
                    </w:rPr>
                    <w:t xml:space="preserve"> of the paper.</w:t>
                  </w:r>
                </w:p>
                <w:p w14:paraId="6094EDF4" w14:textId="77777777" w:rsidR="00746E90" w:rsidRPr="00746E90" w:rsidRDefault="00746E90" w:rsidP="00692F1D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995B0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F7057ED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3EA1AE1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7160647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2FB91C7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8148424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61E34DF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FDEEFAE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369DC78B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DFCF776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4CAE4D26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55D27821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06577537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386FAF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642168F5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0C47DC8" w14:textId="77777777" w:rsidR="00746E90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2ED0CC6B" w14:textId="78CA00C8" w:rsidR="00746E90" w:rsidRPr="00A929CD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746E90" w:rsidRPr="00A929CD" w14:paraId="2AEEA66D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65142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5.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84749" w14:textId="5FC72FC2" w:rsidR="00746E90" w:rsidRPr="00D778B9" w:rsidRDefault="00692F1D" w:rsidP="00406ACE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/>
                    </w:rPr>
                  </w:pPr>
                  <w:r w:rsidRPr="00692F1D">
                    <w:rPr>
                      <w:rFonts w:ascii="Arial" w:hAnsi="Arial" w:cs="Arial"/>
                      <w:b/>
                      <w:bCs/>
                      <w:iCs/>
                    </w:rPr>
                    <w:t>Review of Financial Processes – update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3B474" w14:textId="6ADE043B" w:rsidR="00746E90" w:rsidRPr="00A929CD" w:rsidRDefault="00746E90" w:rsidP="00692F1D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692F1D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5</w:t>
                  </w:r>
                  <w:r w:rsidRPr="00A929CD">
                    <w:rPr>
                      <w:rFonts w:ascii="Arial" w:hAnsi="Arial" w:cs="Arial"/>
                      <w:b/>
                      <w:bCs/>
                    </w:rPr>
                    <w:t>/2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</w:tr>
            <w:tr w:rsidR="00746E90" w:rsidRPr="00A929CD" w14:paraId="6E9111BB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366D0" w14:textId="77777777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89733" w14:textId="77777777" w:rsidR="00746E90" w:rsidRDefault="00651806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 w:rsidRPr="00651806">
                    <w:rPr>
                      <w:rFonts w:ascii="Arial" w:hAnsi="Arial" w:cs="Arial"/>
                    </w:rPr>
                    <w:t>Nuala Hennessy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692F1D" w:rsidRPr="00692F1D">
                    <w:rPr>
                      <w:rFonts w:ascii="Arial" w:hAnsi="Arial" w:cs="Arial"/>
                    </w:rPr>
                    <w:t>presented the paper on</w:t>
                  </w:r>
                  <w:r w:rsidR="00692F1D">
                    <w:rPr>
                      <w:rFonts w:ascii="Arial" w:hAnsi="Arial" w:cs="Arial"/>
                    </w:rPr>
                    <w:t xml:space="preserve"> </w:t>
                  </w:r>
                  <w:r w:rsidR="00692F1D" w:rsidRPr="00692F1D">
                    <w:rPr>
                      <w:rFonts w:ascii="Arial" w:hAnsi="Arial" w:cs="Arial"/>
                    </w:rPr>
                    <w:t xml:space="preserve">the Progress of the Review of Financial Processes </w:t>
                  </w:r>
                  <w:r>
                    <w:rPr>
                      <w:rFonts w:ascii="Arial" w:hAnsi="Arial" w:cs="Arial"/>
                    </w:rPr>
                    <w:t xml:space="preserve">(RoFP) </w:t>
                  </w:r>
                  <w:r w:rsidR="00692F1D" w:rsidRPr="00692F1D">
                    <w:rPr>
                      <w:rFonts w:ascii="Arial" w:hAnsi="Arial" w:cs="Arial"/>
                    </w:rPr>
                    <w:t>Project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709D7C81" w14:textId="77777777" w:rsidR="00651806" w:rsidRDefault="00651806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2F2A14C9" w14:textId="2C2D6012" w:rsidR="007D48DE" w:rsidRDefault="006971E2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paper </w:t>
                  </w:r>
                  <w:r w:rsidR="007D48DE">
                    <w:rPr>
                      <w:rFonts w:ascii="Arial" w:hAnsi="Arial" w:cs="Arial"/>
                    </w:rPr>
                    <w:t>confirmed that f</w:t>
                  </w:r>
                  <w:r w:rsidR="007D48DE" w:rsidRPr="007D48DE">
                    <w:rPr>
                      <w:rFonts w:ascii="Arial" w:hAnsi="Arial" w:cs="Arial"/>
                    </w:rPr>
                    <w:t>ollowing a number of years of preparation the RoFP goes live in 2022/23</w:t>
                  </w:r>
                  <w:r w:rsidR="0036163F">
                    <w:rPr>
                      <w:rFonts w:ascii="Arial" w:hAnsi="Arial" w:cs="Arial"/>
                    </w:rPr>
                    <w:t xml:space="preserve">.  It was also advised </w:t>
                  </w:r>
                  <w:r w:rsidR="007D48DE">
                    <w:rPr>
                      <w:rFonts w:ascii="Arial" w:hAnsi="Arial" w:cs="Arial"/>
                    </w:rPr>
                    <w:t xml:space="preserve"> that </w:t>
                  </w:r>
                  <w:r w:rsidR="007D48DE" w:rsidRPr="007D48DE">
                    <w:rPr>
                      <w:rFonts w:ascii="Arial" w:hAnsi="Arial" w:cs="Arial"/>
                    </w:rPr>
                    <w:t>DAERA w</w:t>
                  </w:r>
                  <w:r w:rsidR="007D48DE">
                    <w:rPr>
                      <w:rFonts w:ascii="Arial" w:hAnsi="Arial" w:cs="Arial"/>
                    </w:rPr>
                    <w:t xml:space="preserve">ould </w:t>
                  </w:r>
                  <w:r w:rsidR="007D48DE" w:rsidRPr="007D48DE">
                    <w:rPr>
                      <w:rFonts w:ascii="Arial" w:hAnsi="Arial" w:cs="Arial"/>
                    </w:rPr>
                    <w:t xml:space="preserve">be required to produce RoFP compliant Main and Spring Supplementary Estimates and consolidate the Financial Statements, Statement of Assembly Supply (SOAS) notes and material elements of the Annual Reports of DAERA’s </w:t>
                  </w:r>
                  <w:r w:rsidR="0036163F" w:rsidRPr="002F0503">
                    <w:rPr>
                      <w:rFonts w:ascii="Arial" w:hAnsi="Arial" w:cs="Arial"/>
                    </w:rPr>
                    <w:t xml:space="preserve">Arms Length Bodies </w:t>
                  </w:r>
                  <w:r w:rsidR="0036163F">
                    <w:rPr>
                      <w:rFonts w:ascii="Arial" w:hAnsi="Arial" w:cs="Arial"/>
                    </w:rPr>
                    <w:t>(</w:t>
                  </w:r>
                  <w:r w:rsidR="007D48DE" w:rsidRPr="007D48DE">
                    <w:rPr>
                      <w:rFonts w:ascii="Arial" w:hAnsi="Arial" w:cs="Arial"/>
                    </w:rPr>
                    <w:t>ALBs</w:t>
                  </w:r>
                  <w:r w:rsidR="0036163F">
                    <w:rPr>
                      <w:rFonts w:ascii="Arial" w:hAnsi="Arial" w:cs="Arial"/>
                    </w:rPr>
                    <w:t>)</w:t>
                  </w:r>
                  <w:r w:rsidR="007D48DE" w:rsidRPr="007D48DE">
                    <w:rPr>
                      <w:rFonts w:ascii="Arial" w:hAnsi="Arial" w:cs="Arial"/>
                    </w:rPr>
                    <w:t xml:space="preserve"> into the Department’s Annual Report and Accounts</w:t>
                  </w:r>
                  <w:r w:rsidR="007D48DE">
                    <w:rPr>
                      <w:rFonts w:ascii="Arial" w:hAnsi="Arial" w:cs="Arial"/>
                    </w:rPr>
                    <w:t>.</w:t>
                  </w:r>
                </w:p>
                <w:p w14:paraId="077EA5E5" w14:textId="77777777" w:rsidR="007D48DE" w:rsidRDefault="007D48DE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5F92B3A7" w14:textId="63CB5A05" w:rsidR="007D48DE" w:rsidRDefault="0036163F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Nuala advised that </w:t>
                  </w:r>
                  <w:r w:rsidR="002F0503">
                    <w:rPr>
                      <w:rFonts w:ascii="Arial" w:hAnsi="Arial" w:cs="Arial"/>
                    </w:rPr>
                    <w:t>DoF ha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="002F0503">
                    <w:rPr>
                      <w:rFonts w:ascii="Arial" w:hAnsi="Arial" w:cs="Arial"/>
                    </w:rPr>
                    <w:t xml:space="preserve"> confirmed that work on the </w:t>
                  </w:r>
                  <w:r w:rsidR="002F0503" w:rsidRPr="002F0503">
                    <w:rPr>
                      <w:rFonts w:ascii="Arial" w:hAnsi="Arial" w:cs="Arial"/>
                    </w:rPr>
                    <w:t>2022/23 Main Estimates</w:t>
                  </w:r>
                  <w:r w:rsidR="002F0503">
                    <w:rPr>
                      <w:rFonts w:ascii="Arial" w:hAnsi="Arial" w:cs="Arial"/>
                    </w:rPr>
                    <w:t xml:space="preserve"> has been delayed and that production of the </w:t>
                  </w:r>
                  <w:r w:rsidR="002F0503" w:rsidRPr="002F0503">
                    <w:rPr>
                      <w:rFonts w:ascii="Arial" w:hAnsi="Arial" w:cs="Arial"/>
                    </w:rPr>
                    <w:t>2021/22 Dry Run Spring Supplementary Estimates</w:t>
                  </w:r>
                  <w:r w:rsidR="002F0503">
                    <w:rPr>
                      <w:rFonts w:ascii="Arial" w:hAnsi="Arial" w:cs="Arial"/>
                    </w:rPr>
                    <w:t xml:space="preserve"> would be brought forward and are due with DoF by </w:t>
                  </w:r>
                  <w:r w:rsidR="002F0503" w:rsidRPr="002F0503">
                    <w:rPr>
                      <w:rFonts w:ascii="Arial" w:hAnsi="Arial" w:cs="Arial"/>
                    </w:rPr>
                    <w:t>13 May</w:t>
                  </w:r>
                  <w:r w:rsidR="002F0503">
                    <w:rPr>
                      <w:rFonts w:ascii="Arial" w:hAnsi="Arial" w:cs="Arial"/>
                    </w:rPr>
                    <w:t>.</w:t>
                  </w:r>
                </w:p>
                <w:p w14:paraId="51DEC86E" w14:textId="77777777" w:rsidR="002F0503" w:rsidRDefault="002F0503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59DA9CE9" w14:textId="6EB4B37C" w:rsidR="002F0503" w:rsidRDefault="0036163F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She also advised that t</w:t>
                  </w:r>
                  <w:r w:rsidR="002F0503" w:rsidRPr="002F0503">
                    <w:rPr>
                      <w:rFonts w:ascii="Arial" w:hAnsi="Arial" w:cs="Arial"/>
                    </w:rPr>
                    <w:t>he main challenges relate to the consolidation of the financial statements for the Department</w:t>
                  </w:r>
                  <w:r>
                    <w:rPr>
                      <w:rFonts w:ascii="Arial" w:hAnsi="Arial" w:cs="Arial"/>
                    </w:rPr>
                    <w:t>’</w:t>
                  </w:r>
                  <w:r w:rsidR="002F0503" w:rsidRPr="002F0503">
                    <w:rPr>
                      <w:rFonts w:ascii="Arial" w:hAnsi="Arial" w:cs="Arial"/>
                    </w:rPr>
                    <w:t>s ALBs, especially AFBI</w:t>
                  </w:r>
                  <w:r>
                    <w:rPr>
                      <w:rFonts w:ascii="Arial" w:hAnsi="Arial" w:cs="Arial"/>
                    </w:rPr>
                    <w:t>,</w:t>
                  </w:r>
                  <w:r w:rsidR="002F0503" w:rsidRPr="002F0503">
                    <w:rPr>
                      <w:rFonts w:ascii="Arial" w:hAnsi="Arial" w:cs="Arial"/>
                    </w:rPr>
                    <w:t xml:space="preserve"> and </w:t>
                  </w:r>
                  <w:r w:rsidR="002F0503">
                    <w:rPr>
                      <w:rFonts w:ascii="Arial" w:hAnsi="Arial" w:cs="Arial"/>
                    </w:rPr>
                    <w:t xml:space="preserve">Finance Division </w:t>
                  </w:r>
                  <w:r w:rsidR="002F0503" w:rsidRPr="002F0503">
                    <w:rPr>
                      <w:rFonts w:ascii="Arial" w:hAnsi="Arial" w:cs="Arial"/>
                    </w:rPr>
                    <w:t>will continue to seek confirmation from AFBI that the required information will be provided in a suitable format to be consolidated in a timely and accurate manner</w:t>
                  </w:r>
                  <w:r w:rsidR="002F0503">
                    <w:rPr>
                      <w:rFonts w:ascii="Arial" w:hAnsi="Arial" w:cs="Arial"/>
                    </w:rPr>
                    <w:t>.  The challenges h</w:t>
                  </w:r>
                  <w:r w:rsidR="002F0503" w:rsidRPr="002F0503">
                    <w:rPr>
                      <w:rFonts w:ascii="Arial" w:hAnsi="Arial" w:cs="Arial"/>
                    </w:rPr>
                    <w:t>ighlight the need to resource Finance Reporting Branch properly and with the right skills to perform their element of the RoFP.</w:t>
                  </w:r>
                </w:p>
                <w:p w14:paraId="32C28DDB" w14:textId="77777777" w:rsidR="002F0503" w:rsidRDefault="002F0503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4E29AC0D" w14:textId="6BB887C1" w:rsidR="002F0503" w:rsidRDefault="009E5CEB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Roger Downey pointed out that, w</w:t>
                  </w:r>
                  <w:r w:rsidRPr="009E5CEB">
                    <w:rPr>
                      <w:rFonts w:ascii="Arial" w:hAnsi="Arial" w:cs="Arial"/>
                    </w:rPr>
                    <w:t xml:space="preserve">hilst </w:t>
                  </w:r>
                  <w:r>
                    <w:rPr>
                      <w:rFonts w:ascii="Arial" w:hAnsi="Arial" w:cs="Arial"/>
                    </w:rPr>
                    <w:t xml:space="preserve">the changes </w:t>
                  </w:r>
                  <w:r w:rsidRPr="009E5CEB">
                    <w:rPr>
                      <w:rFonts w:ascii="Arial" w:hAnsi="Arial" w:cs="Arial"/>
                    </w:rPr>
                    <w:t>improves transparency for the reader, it is also likely to reduce flexibility in budget management and increase the risks of underspends or excess votes at the year end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  <w:p w14:paraId="2FBA4B56" w14:textId="77777777" w:rsidR="002F0503" w:rsidRDefault="002F0503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5638BDEA" w14:textId="77777777" w:rsidR="002F0503" w:rsidRDefault="002F0503" w:rsidP="002F0503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 w:rsidRPr="0034374E">
                    <w:rPr>
                      <w:rFonts w:ascii="Arial" w:hAnsi="Arial" w:cs="Arial"/>
                    </w:rPr>
                    <w:t xml:space="preserve">Members </w:t>
                  </w:r>
                  <w:r>
                    <w:rPr>
                      <w:rFonts w:ascii="Arial" w:hAnsi="Arial" w:cs="Arial"/>
                    </w:rPr>
                    <w:t>noted the contents</w:t>
                  </w:r>
                  <w:r w:rsidRPr="0034374E">
                    <w:rPr>
                      <w:rFonts w:ascii="Arial" w:hAnsi="Arial" w:cs="Arial"/>
                    </w:rPr>
                    <w:t xml:space="preserve"> of the paper.</w:t>
                  </w:r>
                </w:p>
                <w:p w14:paraId="16754ABF" w14:textId="77777777" w:rsidR="00651806" w:rsidRDefault="00651806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470B348D" w14:textId="77777777" w:rsidR="0036163F" w:rsidRDefault="0036163F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422D334B" w14:textId="77777777" w:rsidR="0036163F" w:rsidRDefault="0036163F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  <w:p w14:paraId="3A287820" w14:textId="45FAC299" w:rsidR="0036163F" w:rsidRDefault="0036163F" w:rsidP="00651806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52C75" w14:textId="77777777" w:rsidR="00746E90" w:rsidRDefault="00746E90" w:rsidP="00383EC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ED74D43" w14:textId="77777777" w:rsidR="00746E90" w:rsidRDefault="00746E90" w:rsidP="00383EC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15518941" w14:textId="77777777" w:rsidR="00746E90" w:rsidRDefault="00746E90" w:rsidP="00383EC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14:paraId="740B3F87" w14:textId="77777777" w:rsidR="00746E90" w:rsidRPr="00A929CD" w:rsidRDefault="00746E90" w:rsidP="00406ACE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32B34467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621E28" w14:textId="6ABBFF12" w:rsidR="00746E90" w:rsidRPr="00A929CD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lastRenderedPageBreak/>
                    <w:t>6.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2BBBAD" w14:textId="15B66E22" w:rsidR="00746E90" w:rsidRPr="00E44E14" w:rsidRDefault="002F0503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2F0503">
                    <w:rPr>
                      <w:rFonts w:ascii="Arial" w:hAnsi="Arial" w:cs="Arial"/>
                      <w:b/>
                      <w:bCs/>
                      <w:iCs/>
                    </w:rPr>
                    <w:t>Debt – O</w:t>
                  </w:r>
                  <w:r w:rsidR="00B51D32">
                    <w:rPr>
                      <w:rFonts w:ascii="Arial" w:hAnsi="Arial" w:cs="Arial"/>
                      <w:b/>
                      <w:bCs/>
                      <w:iCs/>
                    </w:rPr>
                    <w:t>utside</w:t>
                  </w:r>
                  <w:r w:rsidRPr="002F0503">
                    <w:rPr>
                      <w:rFonts w:ascii="Arial" w:hAnsi="Arial" w:cs="Arial"/>
                      <w:b/>
                      <w:bCs/>
                      <w:iCs/>
                    </w:rPr>
                    <w:t xml:space="preserve"> Jurisdiction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B98D8" w14:textId="795A6F90" w:rsidR="00746E90" w:rsidRPr="00A929CD" w:rsidRDefault="00746E90" w:rsidP="002F050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2F0503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Pr="00A929CD">
                    <w:rPr>
                      <w:rFonts w:ascii="Arial" w:hAnsi="Arial" w:cs="Arial"/>
                      <w:b/>
                      <w:bCs/>
                    </w:rPr>
                    <w:t>/2</w:t>
                  </w:r>
                  <w:r>
                    <w:rPr>
                      <w:rFonts w:ascii="Arial" w:hAnsi="Arial" w:cs="Arial"/>
                      <w:b/>
                      <w:bCs/>
                    </w:rPr>
                    <w:t>2</w:t>
                  </w:r>
                </w:p>
              </w:tc>
            </w:tr>
            <w:tr w:rsidR="00746E90" w:rsidRPr="00A929CD" w14:paraId="5CCAB957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3E428" w14:textId="77777777" w:rsidR="00746E90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6EF03" w14:textId="7EADCF96" w:rsidR="002F0503" w:rsidRDefault="002F0503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 w:rsidRPr="002F0503">
                    <w:rPr>
                      <w:rFonts w:ascii="Arial" w:hAnsi="Arial" w:cs="Arial"/>
                      <w:bCs/>
                    </w:rPr>
                    <w:t>Declan McCarney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2F0503">
                    <w:rPr>
                      <w:rFonts w:ascii="Arial" w:hAnsi="Arial" w:cs="Arial"/>
                      <w:bCs/>
                    </w:rPr>
                    <w:t>presented the paper on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426708">
                    <w:rPr>
                      <w:rFonts w:ascii="Arial" w:hAnsi="Arial" w:cs="Arial"/>
                      <w:bCs/>
                    </w:rPr>
                    <w:t xml:space="preserve">the issue of </w:t>
                  </w:r>
                  <w:r w:rsidR="00DC1E4D" w:rsidRPr="00DC1E4D">
                    <w:rPr>
                      <w:rFonts w:ascii="Arial" w:hAnsi="Arial" w:cs="Arial"/>
                      <w:bCs/>
                    </w:rPr>
                    <w:t>pursuing debts outside of jurisdiction</w:t>
                  </w:r>
                  <w:r w:rsidR="00DC1E4D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402B8EFB" w14:textId="77777777" w:rsidR="00DC1E4D" w:rsidRDefault="00DC1E4D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57B2474E" w14:textId="69EC6C93" w:rsidR="00FA4E27" w:rsidRDefault="00DC1E4D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 w:rsidRPr="00DC1E4D">
                    <w:rPr>
                      <w:rFonts w:ascii="Arial" w:hAnsi="Arial" w:cs="Arial"/>
                      <w:bCs/>
                    </w:rPr>
                    <w:t xml:space="preserve">At the Finance Committee meeting on 8 February 2022 Committee members </w:t>
                  </w:r>
                  <w:r w:rsidR="00FA4E27">
                    <w:rPr>
                      <w:rFonts w:ascii="Arial" w:hAnsi="Arial" w:cs="Arial"/>
                      <w:bCs/>
                    </w:rPr>
                    <w:t xml:space="preserve">requested further advice and analysis on the difficulties of pursuing debt through the Small Claims Court in jurisdictions outside of the UK as a result of leaving the EU.  </w:t>
                  </w:r>
                </w:p>
                <w:p w14:paraId="09C7720F" w14:textId="77777777" w:rsidR="00FA4E27" w:rsidRDefault="00FA4E27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39EBC0B8" w14:textId="6F415E78" w:rsidR="00426708" w:rsidRDefault="00FA4E27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The Committee was provided </w:t>
                  </w:r>
                  <w:r w:rsidR="00620D4B">
                    <w:rPr>
                      <w:rFonts w:ascii="Arial" w:hAnsi="Arial" w:cs="Arial"/>
                      <w:bCs/>
                    </w:rPr>
                    <w:t xml:space="preserve">with </w:t>
                  </w:r>
                  <w:r>
                    <w:rPr>
                      <w:rFonts w:ascii="Arial" w:hAnsi="Arial" w:cs="Arial"/>
                      <w:bCs/>
                    </w:rPr>
                    <w:t xml:space="preserve">the additional advice and analysis </w:t>
                  </w:r>
                  <w:r w:rsidR="00620D4B">
                    <w:rPr>
                      <w:rFonts w:ascii="Arial" w:hAnsi="Arial" w:cs="Arial"/>
                      <w:bCs/>
                    </w:rPr>
                    <w:t>received from</w:t>
                  </w:r>
                  <w:r w:rsidR="00620D4B" w:rsidRPr="00620D4B">
                    <w:rPr>
                      <w:rFonts w:ascii="Arial" w:hAnsi="Arial" w:cs="Arial"/>
                    </w:rPr>
                    <w:t xml:space="preserve"> DoF, Internal Audit and NIAO </w:t>
                  </w:r>
                  <w:r>
                    <w:rPr>
                      <w:rFonts w:ascii="Arial" w:hAnsi="Arial" w:cs="Arial"/>
                      <w:bCs/>
                    </w:rPr>
                    <w:t>and</w:t>
                  </w:r>
                  <w:r w:rsidR="00426708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DC1E4D" w:rsidRPr="00DC1E4D">
                    <w:rPr>
                      <w:rFonts w:ascii="Arial" w:hAnsi="Arial" w:cs="Arial"/>
                      <w:bCs/>
                    </w:rPr>
                    <w:t>agree</w:t>
                  </w:r>
                  <w:r>
                    <w:rPr>
                      <w:rFonts w:ascii="Arial" w:hAnsi="Arial" w:cs="Arial"/>
                      <w:bCs/>
                    </w:rPr>
                    <w:t>d</w:t>
                  </w:r>
                  <w:r w:rsidR="00DC1E4D" w:rsidRPr="00DC1E4D"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AB6B1F">
                    <w:rPr>
                      <w:rFonts w:ascii="Arial" w:hAnsi="Arial" w:cs="Arial"/>
                    </w:rPr>
                    <w:t xml:space="preserve">that </w:t>
                  </w:r>
                  <w:r>
                    <w:rPr>
                      <w:rFonts w:ascii="Arial" w:hAnsi="Arial" w:cs="Arial"/>
                    </w:rPr>
                    <w:t xml:space="preserve">after implementing all possible internal actions to recover </w:t>
                  </w:r>
                  <w:r w:rsidRPr="00AB6B1F">
                    <w:rPr>
                      <w:rFonts w:ascii="Arial" w:hAnsi="Arial" w:cs="Arial"/>
                    </w:rPr>
                    <w:t>debts of less than £3,000</w:t>
                  </w:r>
                  <w:r>
                    <w:rPr>
                      <w:rFonts w:ascii="Arial" w:hAnsi="Arial" w:cs="Arial"/>
                    </w:rPr>
                    <w:t xml:space="preserve">, where the </w:t>
                  </w:r>
                  <w:r w:rsidRPr="00AB6B1F">
                    <w:rPr>
                      <w:rFonts w:ascii="Arial" w:hAnsi="Arial" w:cs="Arial"/>
                    </w:rPr>
                    <w:t>debtor is based</w:t>
                  </w:r>
                  <w:r w:rsidR="007F4704">
                    <w:rPr>
                      <w:rFonts w:ascii="Arial" w:hAnsi="Arial" w:cs="Arial"/>
                    </w:rPr>
                    <w:t xml:space="preserve"> </w:t>
                  </w:r>
                  <w:r w:rsidRPr="00AB6B1F">
                    <w:rPr>
                      <w:rFonts w:ascii="Arial" w:hAnsi="Arial" w:cs="Arial"/>
                    </w:rPr>
                    <w:t>/</w:t>
                  </w:r>
                  <w:r w:rsidR="007F4704">
                    <w:rPr>
                      <w:rFonts w:ascii="Arial" w:hAnsi="Arial" w:cs="Arial"/>
                    </w:rPr>
                    <w:t xml:space="preserve"> </w:t>
                  </w:r>
                  <w:r w:rsidRPr="00AB6B1F">
                    <w:rPr>
                      <w:rFonts w:ascii="Arial" w:hAnsi="Arial" w:cs="Arial"/>
                    </w:rPr>
                    <w:t xml:space="preserve">resides </w:t>
                  </w:r>
                  <w:r>
                    <w:rPr>
                      <w:rFonts w:ascii="Arial" w:hAnsi="Arial" w:cs="Arial"/>
                    </w:rPr>
                    <w:t xml:space="preserve">outside UK, the debt will not be pursued legally. </w:t>
                  </w:r>
                </w:p>
                <w:p w14:paraId="32339E4F" w14:textId="77777777" w:rsidR="002F0503" w:rsidRDefault="002F0503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213CDF44" w14:textId="4067D6DD" w:rsidR="009E5CEB" w:rsidRDefault="009E5CEB" w:rsidP="007F4704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It was agreed that a review would be performed in one year’s time.</w:t>
                  </w:r>
                </w:p>
                <w:p w14:paraId="44C26E6C" w14:textId="77777777" w:rsidR="00BE3622" w:rsidRDefault="00BE3622" w:rsidP="007F4704">
                  <w:pPr>
                    <w:jc w:val="both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F841" w14:textId="77777777" w:rsidR="00746E90" w:rsidRDefault="00746E90" w:rsidP="00D23868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6B162FA0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0117" w14:textId="20C6893E" w:rsidR="00746E90" w:rsidRDefault="00F37510" w:rsidP="00F37510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746E90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5C2E6" w14:textId="77777777" w:rsidR="00746E90" w:rsidRDefault="00746E90" w:rsidP="002717A9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>Aged Debt Analysis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2A87A" w14:textId="42FEA57A" w:rsidR="00746E90" w:rsidRDefault="00746E90" w:rsidP="00F3751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F37510">
                    <w:rPr>
                      <w:rFonts w:ascii="Arial" w:hAnsi="Arial" w:cs="Arial"/>
                      <w:b/>
                      <w:bCs/>
                    </w:rPr>
                    <w:t>17</w:t>
                  </w:r>
                  <w:r>
                    <w:rPr>
                      <w:rFonts w:ascii="Arial" w:hAnsi="Arial" w:cs="Arial"/>
                      <w:b/>
                      <w:bCs/>
                    </w:rPr>
                    <w:t>/22</w:t>
                  </w:r>
                </w:p>
              </w:tc>
            </w:tr>
            <w:tr w:rsidR="00746E90" w:rsidRPr="00A929CD" w14:paraId="76796EEC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E0F20" w14:textId="77777777" w:rsidR="00746E90" w:rsidRDefault="00746E90" w:rsidP="00406ACE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F22F8" w14:textId="64563159" w:rsidR="00F37510" w:rsidRDefault="00F37510" w:rsidP="00EA42C8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  <w:r w:rsidRPr="00F37510">
                    <w:rPr>
                      <w:rFonts w:ascii="Arial" w:hAnsi="Arial" w:cs="Arial"/>
                      <w:bCs/>
                    </w:rPr>
                    <w:t>Declan McCarney presented the paper on Aged Debt Analysis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2099F508" w14:textId="77777777" w:rsidR="00F37510" w:rsidRDefault="00F37510" w:rsidP="00EA42C8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</w:rPr>
                  </w:pPr>
                </w:p>
                <w:p w14:paraId="7B071E28" w14:textId="2DA5C8E1" w:rsidR="00746E90" w:rsidRDefault="00F37510" w:rsidP="00EA42C8">
                  <w:pPr>
                    <w:keepNext/>
                    <w:jc w:val="both"/>
                    <w:outlineLvl w:val="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The paper provided a </w:t>
                  </w:r>
                  <w:r w:rsidR="00746E90">
                    <w:rPr>
                      <w:rFonts w:ascii="Arial" w:hAnsi="Arial" w:cs="Arial"/>
                    </w:rPr>
                    <w:t>s</w:t>
                  </w:r>
                  <w:r w:rsidR="00746E90" w:rsidRPr="00065E96">
                    <w:rPr>
                      <w:rFonts w:ascii="Arial" w:hAnsi="Arial" w:cs="Arial"/>
                    </w:rPr>
                    <w:t xml:space="preserve">ummary of debt position at </w:t>
                  </w:r>
                  <w:r w:rsidRPr="00F37510">
                    <w:rPr>
                      <w:rFonts w:ascii="Arial" w:hAnsi="Arial" w:cs="Arial"/>
                    </w:rPr>
                    <w:t>31 March 2022 compared to the position at 31 December 2021 and the position at the 31 March 2021.</w:t>
                  </w:r>
                </w:p>
                <w:p w14:paraId="1F6B8738" w14:textId="77777777" w:rsidR="00F37510" w:rsidRDefault="00F37510" w:rsidP="00EA42C8">
                  <w:pPr>
                    <w:keepNext/>
                    <w:jc w:val="both"/>
                    <w:outlineLvl w:val="1"/>
                    <w:rPr>
                      <w:rFonts w:ascii="Arial" w:hAnsi="Arial" w:cs="Arial"/>
                    </w:rPr>
                  </w:pPr>
                </w:p>
                <w:p w14:paraId="1419C85B" w14:textId="77777777" w:rsidR="007E2ED9" w:rsidRDefault="007E2ED9" w:rsidP="007E2ED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</w:rPr>
                  </w:pPr>
                  <w:r w:rsidRPr="0034374E">
                    <w:rPr>
                      <w:rFonts w:ascii="Arial" w:hAnsi="Arial" w:cs="Arial"/>
                    </w:rPr>
                    <w:t xml:space="preserve">Members </w:t>
                  </w:r>
                  <w:r>
                    <w:rPr>
                      <w:rFonts w:ascii="Arial" w:hAnsi="Arial" w:cs="Arial"/>
                    </w:rPr>
                    <w:t>noted the contents</w:t>
                  </w:r>
                  <w:r w:rsidRPr="0034374E">
                    <w:rPr>
                      <w:rFonts w:ascii="Arial" w:hAnsi="Arial" w:cs="Arial"/>
                    </w:rPr>
                    <w:t xml:space="preserve"> of the paper.</w:t>
                  </w:r>
                </w:p>
                <w:p w14:paraId="2F1B6F1C" w14:textId="77777777" w:rsidR="00746E90" w:rsidRPr="00F37510" w:rsidRDefault="00746E90" w:rsidP="00F37510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4C9AA" w14:textId="57479946" w:rsidR="00746E90" w:rsidRDefault="00746E90" w:rsidP="00407DBF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0C78A0AA" w14:textId="77777777" w:rsidTr="00962E0E">
              <w:trPr>
                <w:trHeight w:val="351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150CB" w14:textId="7BB6B71F" w:rsidR="00746E90" w:rsidRPr="00A929CD" w:rsidRDefault="00F37510" w:rsidP="00F37510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="00746E90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355D" w14:textId="4ADE02B2" w:rsidR="00746E90" w:rsidRPr="00454734" w:rsidRDefault="00F37510" w:rsidP="00476D1B">
                  <w:pPr>
                    <w:keepNext/>
                    <w:outlineLvl w:val="1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 w:rsidRPr="00F37510">
                    <w:rPr>
                      <w:rFonts w:ascii="Arial" w:hAnsi="Arial" w:cs="Arial"/>
                      <w:b/>
                      <w:bCs/>
                    </w:rPr>
                    <w:t>Casework Committee: 2021-22 Business Cases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D24C6" w14:textId="1B920663" w:rsidR="00746E90" w:rsidRPr="00454734" w:rsidRDefault="00746E90" w:rsidP="00F3751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FC </w:t>
                  </w:r>
                  <w:r w:rsidR="00F37510">
                    <w:rPr>
                      <w:rFonts w:ascii="Arial" w:hAnsi="Arial" w:cs="Arial"/>
                      <w:b/>
                      <w:bCs/>
                    </w:rPr>
                    <w:t>18</w:t>
                  </w:r>
                  <w:r>
                    <w:rPr>
                      <w:rFonts w:ascii="Arial" w:hAnsi="Arial" w:cs="Arial"/>
                      <w:b/>
                      <w:bCs/>
                    </w:rPr>
                    <w:t>/22</w:t>
                  </w:r>
                </w:p>
              </w:tc>
            </w:tr>
            <w:tr w:rsidR="00746E90" w:rsidRPr="00A929CD" w14:paraId="24B617E1" w14:textId="77777777" w:rsidTr="00962E0E">
              <w:trPr>
                <w:trHeight w:val="284"/>
              </w:trPr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8606B" w14:textId="77777777" w:rsidR="00746E90" w:rsidRDefault="00746E90" w:rsidP="00476D1B">
                  <w:pPr>
                    <w:ind w:right="-108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4599A" w14:textId="5BD7EF0F" w:rsidR="00F37510" w:rsidRPr="00F37510" w:rsidRDefault="00F37510" w:rsidP="0036163F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Roger Downey </w:t>
                  </w:r>
                  <w:r w:rsidRPr="00F37510">
                    <w:rPr>
                      <w:rFonts w:ascii="Arial" w:hAnsi="Arial" w:cs="Arial"/>
                      <w:bCs/>
                    </w:rPr>
                    <w:t xml:space="preserve">presented </w:t>
                  </w:r>
                  <w:r w:rsidR="0036163F">
                    <w:rPr>
                      <w:rFonts w:ascii="Arial" w:hAnsi="Arial" w:cs="Arial"/>
                      <w:bCs/>
                    </w:rPr>
                    <w:t>this</w:t>
                  </w:r>
                  <w:r>
                    <w:rPr>
                      <w:rFonts w:ascii="Arial" w:hAnsi="Arial" w:cs="Arial"/>
                      <w:bCs/>
                      <w:iCs/>
                    </w:rPr>
                    <w:t xml:space="preserve"> paper </w:t>
                  </w:r>
                  <w:r w:rsidR="0036163F">
                    <w:rPr>
                      <w:rFonts w:ascii="Arial" w:hAnsi="Arial" w:cs="Arial"/>
                      <w:bCs/>
                      <w:iCs/>
                    </w:rPr>
                    <w:t xml:space="preserve">which </w:t>
                  </w:r>
                  <w:r w:rsidRPr="00F37510">
                    <w:rPr>
                      <w:rFonts w:ascii="Arial" w:hAnsi="Arial" w:cs="Arial"/>
                      <w:bCs/>
                      <w:iCs/>
                    </w:rPr>
                    <w:t>provide</w:t>
                  </w:r>
                  <w:r>
                    <w:rPr>
                      <w:rFonts w:ascii="Arial" w:hAnsi="Arial" w:cs="Arial"/>
                      <w:bCs/>
                      <w:iCs/>
                    </w:rPr>
                    <w:t>d</w:t>
                  </w:r>
                  <w:r w:rsidRPr="00F37510">
                    <w:rPr>
                      <w:rFonts w:ascii="Arial" w:hAnsi="Arial" w:cs="Arial"/>
                      <w:bCs/>
                      <w:iCs/>
                    </w:rPr>
                    <w:t xml:space="preserve"> an overview of the </w:t>
                  </w:r>
                  <w:r w:rsidR="007E2ED9">
                    <w:rPr>
                      <w:rFonts w:ascii="Arial" w:hAnsi="Arial" w:cs="Arial"/>
                      <w:bCs/>
                      <w:iCs/>
                    </w:rPr>
                    <w:t xml:space="preserve">eight </w:t>
                  </w:r>
                  <w:r w:rsidRPr="00F37510">
                    <w:rPr>
                      <w:rFonts w:ascii="Arial" w:hAnsi="Arial" w:cs="Arial"/>
                      <w:bCs/>
                      <w:iCs/>
                    </w:rPr>
                    <w:t xml:space="preserve">cases </w:t>
                  </w:r>
                  <w:r w:rsidR="007E2ED9">
                    <w:rPr>
                      <w:rFonts w:ascii="Arial" w:hAnsi="Arial" w:cs="Arial"/>
                      <w:bCs/>
                      <w:iCs/>
                    </w:rPr>
                    <w:t xml:space="preserve">that were </w:t>
                  </w:r>
                  <w:r w:rsidRPr="00F37510">
                    <w:rPr>
                      <w:rFonts w:ascii="Arial" w:hAnsi="Arial" w:cs="Arial"/>
                      <w:bCs/>
                      <w:iCs/>
                    </w:rPr>
                    <w:t>considered by the Casework Committee in 2021-22</w:t>
                  </w:r>
                  <w:r w:rsidR="007E2ED9">
                    <w:rPr>
                      <w:rFonts w:ascii="Arial" w:hAnsi="Arial" w:cs="Arial"/>
                      <w:bCs/>
                      <w:iCs/>
                    </w:rPr>
                    <w:t>.</w:t>
                  </w:r>
                </w:p>
                <w:p w14:paraId="3A81CD60" w14:textId="77777777" w:rsidR="007E2ED9" w:rsidRPr="00F37510" w:rsidRDefault="007E2ED9" w:rsidP="00F37510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  <w:p w14:paraId="2662788C" w14:textId="640C4E92" w:rsidR="00F37510" w:rsidRPr="00F37510" w:rsidRDefault="007E2ED9" w:rsidP="007E2ED9">
                  <w:pPr>
                    <w:tabs>
                      <w:tab w:val="num" w:pos="432"/>
                    </w:tabs>
                    <w:jc w:val="both"/>
                    <w:rPr>
                      <w:rFonts w:ascii="Arial" w:hAnsi="Arial" w:cs="Arial"/>
                      <w:bCs/>
                      <w:iCs/>
                    </w:rPr>
                  </w:pPr>
                  <w:r w:rsidRPr="0034374E">
                    <w:rPr>
                      <w:rFonts w:ascii="Arial" w:hAnsi="Arial" w:cs="Arial"/>
                    </w:rPr>
                    <w:t xml:space="preserve">Members </w:t>
                  </w:r>
                  <w:r>
                    <w:rPr>
                      <w:rFonts w:ascii="Arial" w:hAnsi="Arial" w:cs="Arial"/>
                    </w:rPr>
                    <w:t>noted the contents</w:t>
                  </w:r>
                  <w:r w:rsidRPr="0034374E">
                    <w:rPr>
                      <w:rFonts w:ascii="Arial" w:hAnsi="Arial" w:cs="Arial"/>
                    </w:rPr>
                    <w:t xml:space="preserve"> of the paper.</w:t>
                  </w:r>
                </w:p>
                <w:p w14:paraId="7B7F7AA5" w14:textId="07A92E12" w:rsidR="00F37510" w:rsidRPr="00F37510" w:rsidRDefault="00F37510" w:rsidP="00F37510">
                  <w:pPr>
                    <w:keepNext/>
                    <w:jc w:val="both"/>
                    <w:outlineLvl w:val="1"/>
                    <w:rPr>
                      <w:rFonts w:ascii="Arial" w:hAnsi="Arial" w:cs="Arial"/>
                      <w:bCs/>
                      <w:i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FB595" w14:textId="47C5BB24" w:rsidR="00746E90" w:rsidRPr="00454734" w:rsidRDefault="00746E90" w:rsidP="00E44E1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746E90" w:rsidRPr="00A929CD" w14:paraId="0D59D6D8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EEB3A" w14:textId="5A58C005" w:rsidR="00746E90" w:rsidRDefault="00F37510" w:rsidP="00F37510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9</w:t>
                  </w:r>
                  <w:r w:rsidR="00746E90"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FDC4" w14:textId="77777777" w:rsidR="00746E90" w:rsidRPr="00F74FB1" w:rsidRDefault="00746E9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746E90">
                    <w:rPr>
                      <w:rFonts w:ascii="Arial" w:hAnsi="Arial" w:cs="Arial"/>
                      <w:b/>
                      <w:bCs/>
                    </w:rPr>
                    <w:t>AOB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1F0C" w14:textId="77777777" w:rsidR="00746E90" w:rsidRPr="00A929CD" w:rsidRDefault="00746E90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46E90" w:rsidRPr="00A929CD" w14:paraId="1FC68D6E" w14:textId="77777777" w:rsidTr="00962E0E"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3DAE2" w14:textId="77777777" w:rsidR="00746E90" w:rsidRPr="00A929CD" w:rsidRDefault="00746E9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0F5B5" w14:textId="411EA49C" w:rsidR="00746E90" w:rsidRDefault="00746E90" w:rsidP="00746E90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None.  Meeting finished at 15.</w:t>
                  </w:r>
                  <w:r w:rsidR="007E2ED9">
                    <w:rPr>
                      <w:rFonts w:ascii="Arial" w:hAnsi="Arial" w:cs="Arial"/>
                      <w:bCs/>
                    </w:rPr>
                    <w:t>3</w:t>
                  </w:r>
                  <w:r>
                    <w:rPr>
                      <w:rFonts w:ascii="Arial" w:hAnsi="Arial" w:cs="Arial"/>
                      <w:bCs/>
                    </w:rPr>
                    <w:t>0.</w:t>
                  </w:r>
                </w:p>
                <w:p w14:paraId="481EDFEB" w14:textId="77777777" w:rsidR="00746E90" w:rsidRDefault="00746E90" w:rsidP="00746E90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638118EE" w14:textId="30BD2672" w:rsidR="00746E90" w:rsidRDefault="00746E90" w:rsidP="00746E90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next meeting is scheduled for </w:t>
                  </w:r>
                  <w:r w:rsidR="007E2ED9">
                    <w:rPr>
                      <w:rFonts w:ascii="Arial" w:hAnsi="Arial" w:cs="Arial"/>
                    </w:rPr>
                    <w:t>28 June</w:t>
                  </w:r>
                  <w:r>
                    <w:rPr>
                      <w:rFonts w:ascii="Arial" w:hAnsi="Arial" w:cs="Arial"/>
                    </w:rPr>
                    <w:t xml:space="preserve"> 2022 and is already in Members’ diaries.</w:t>
                  </w:r>
                </w:p>
                <w:p w14:paraId="6AA64524" w14:textId="77777777" w:rsidR="00746E90" w:rsidRPr="00F74FB1" w:rsidRDefault="00746E90" w:rsidP="00476D1B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75863" w14:textId="77777777" w:rsidR="00746E90" w:rsidRPr="00A929CD" w:rsidRDefault="00746E90" w:rsidP="00476D1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1F2C8908" w14:textId="77777777" w:rsidR="000F01C6" w:rsidRPr="00A929CD" w:rsidRDefault="000F01C6" w:rsidP="005A5B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" w:type="dxa"/>
          </w:tcPr>
          <w:p w14:paraId="0A91CA1B" w14:textId="77777777" w:rsidR="000F01C6" w:rsidRPr="00A929CD" w:rsidRDefault="000F01C6" w:rsidP="005A5B87">
            <w:pPr>
              <w:rPr>
                <w:rFonts w:ascii="Arial" w:hAnsi="Arial" w:cs="Arial"/>
                <w:bCs/>
              </w:rPr>
            </w:pPr>
          </w:p>
        </w:tc>
      </w:tr>
    </w:tbl>
    <w:p w14:paraId="129F0DFE" w14:textId="77777777" w:rsidR="00462346" w:rsidRPr="00A929CD" w:rsidRDefault="00462346" w:rsidP="0080455B">
      <w:pPr>
        <w:tabs>
          <w:tab w:val="left" w:pos="5580"/>
          <w:tab w:val="left" w:pos="5760"/>
        </w:tabs>
        <w:rPr>
          <w:rFonts w:ascii="Arial" w:hAnsi="Arial" w:cs="Arial"/>
          <w:b/>
        </w:rPr>
      </w:pPr>
    </w:p>
    <w:sectPr w:rsidR="00462346" w:rsidRPr="00A929CD" w:rsidSect="00547009">
      <w:headerReference w:type="default" r:id="rId8"/>
      <w:footerReference w:type="default" r:id="rId9"/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896B0" w14:textId="77777777" w:rsidR="00822556" w:rsidRDefault="00822556">
      <w:r>
        <w:separator/>
      </w:r>
    </w:p>
  </w:endnote>
  <w:endnote w:type="continuationSeparator" w:id="0">
    <w:p w14:paraId="276FF358" w14:textId="77777777" w:rsidR="00822556" w:rsidRDefault="0082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6C574" w14:textId="38A0E160" w:rsidR="00803C16" w:rsidRPr="00B72C2C" w:rsidRDefault="00803C16">
    <w:pPr>
      <w:pStyle w:val="Footer"/>
      <w:jc w:val="center"/>
      <w:rPr>
        <w:rFonts w:ascii="Arial" w:hAnsi="Arial" w:cs="Arial"/>
      </w:rPr>
    </w:pPr>
    <w:r w:rsidRPr="00B72C2C">
      <w:rPr>
        <w:rFonts w:ascii="Arial" w:hAnsi="Arial" w:cs="Arial"/>
      </w:rPr>
      <w:fldChar w:fldCharType="begin"/>
    </w:r>
    <w:r w:rsidRPr="00B72C2C">
      <w:rPr>
        <w:rFonts w:ascii="Arial" w:hAnsi="Arial" w:cs="Arial"/>
      </w:rPr>
      <w:instrText xml:space="preserve"> PAGE   \* MERGEFORMAT </w:instrText>
    </w:r>
    <w:r w:rsidRPr="00B72C2C">
      <w:rPr>
        <w:rFonts w:ascii="Arial" w:hAnsi="Arial" w:cs="Arial"/>
      </w:rPr>
      <w:fldChar w:fldCharType="separate"/>
    </w:r>
    <w:r w:rsidR="00593931">
      <w:rPr>
        <w:rFonts w:ascii="Arial" w:hAnsi="Arial" w:cs="Arial"/>
        <w:noProof/>
      </w:rPr>
      <w:t>5</w:t>
    </w:r>
    <w:r w:rsidRPr="00B72C2C">
      <w:rPr>
        <w:rFonts w:ascii="Arial" w:hAnsi="Arial" w:cs="Arial"/>
        <w:noProof/>
      </w:rPr>
      <w:fldChar w:fldCharType="end"/>
    </w:r>
  </w:p>
  <w:p w14:paraId="18F1959C" w14:textId="77777777" w:rsidR="005A5B87" w:rsidRDefault="005A5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0678B" w14:textId="77777777" w:rsidR="00822556" w:rsidRDefault="00822556">
      <w:r>
        <w:separator/>
      </w:r>
    </w:p>
  </w:footnote>
  <w:footnote w:type="continuationSeparator" w:id="0">
    <w:p w14:paraId="512C3DD9" w14:textId="77777777" w:rsidR="00822556" w:rsidRDefault="0082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8447" w14:textId="2FAEE4DD" w:rsidR="005223F1" w:rsidRDefault="002D6D01" w:rsidP="005E0D9C">
    <w:pPr>
      <w:pStyle w:val="Header"/>
      <w:jc w:val="right"/>
      <w:rPr>
        <w:rFonts w:ascii="Arial" w:hAnsi="Arial" w:cs="Arial"/>
        <w:b/>
      </w:rPr>
    </w:pPr>
    <w:r>
      <w:tab/>
    </w:r>
    <w:r w:rsidR="00880A64">
      <w:tab/>
    </w:r>
    <w:r w:rsidR="005E0D9C">
      <w:tab/>
    </w:r>
    <w:r w:rsidR="00880A64" w:rsidRPr="005E0D9C">
      <w:rPr>
        <w:rFonts w:ascii="Arial" w:hAnsi="Arial" w:cs="Arial"/>
        <w:b/>
      </w:rPr>
      <w:t xml:space="preserve">FC </w:t>
    </w:r>
    <w:r w:rsidR="00593931">
      <w:rPr>
        <w:rFonts w:ascii="Arial" w:hAnsi="Arial" w:cs="Arial"/>
        <w:b/>
      </w:rPr>
      <w:t>19</w:t>
    </w:r>
    <w:r w:rsidR="00974A53">
      <w:rPr>
        <w:rFonts w:ascii="Arial" w:hAnsi="Arial" w:cs="Arial"/>
        <w:b/>
      </w:rPr>
      <w:t>/22</w:t>
    </w:r>
  </w:p>
  <w:p w14:paraId="3172783A" w14:textId="77777777" w:rsidR="0082627C" w:rsidRPr="005E0D9C" w:rsidRDefault="0082627C" w:rsidP="0082627C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395"/>
    <w:multiLevelType w:val="hybridMultilevel"/>
    <w:tmpl w:val="A4BA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2F73"/>
    <w:multiLevelType w:val="hybridMultilevel"/>
    <w:tmpl w:val="FA1C95A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146CFD"/>
    <w:multiLevelType w:val="hybridMultilevel"/>
    <w:tmpl w:val="F576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4546"/>
    <w:multiLevelType w:val="hybridMultilevel"/>
    <w:tmpl w:val="A5901E06"/>
    <w:lvl w:ilvl="0" w:tplc="0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0BC2755"/>
    <w:multiLevelType w:val="hybridMultilevel"/>
    <w:tmpl w:val="4A1A3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76884"/>
    <w:multiLevelType w:val="hybridMultilevel"/>
    <w:tmpl w:val="959A9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721F2"/>
    <w:multiLevelType w:val="hybridMultilevel"/>
    <w:tmpl w:val="60B8D934"/>
    <w:lvl w:ilvl="0" w:tplc="620E4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6772"/>
    <w:multiLevelType w:val="hybridMultilevel"/>
    <w:tmpl w:val="5F883744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A56E0F2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DE4ED8F4">
      <w:start w:val="1"/>
      <w:numFmt w:val="bullet"/>
      <w:lvlText w:val="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color w:val="000000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5B84C30"/>
    <w:multiLevelType w:val="hybridMultilevel"/>
    <w:tmpl w:val="38C2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04475"/>
    <w:multiLevelType w:val="hybridMultilevel"/>
    <w:tmpl w:val="1F16F4E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37910239"/>
    <w:multiLevelType w:val="hybridMultilevel"/>
    <w:tmpl w:val="47608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8B0"/>
    <w:multiLevelType w:val="hybridMultilevel"/>
    <w:tmpl w:val="0F40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02285"/>
    <w:multiLevelType w:val="hybridMultilevel"/>
    <w:tmpl w:val="B4B4D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82217"/>
    <w:multiLevelType w:val="hybridMultilevel"/>
    <w:tmpl w:val="41282A08"/>
    <w:lvl w:ilvl="0" w:tplc="DD4E7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E5E4097A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ECCFDB2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82193"/>
    <w:multiLevelType w:val="hybridMultilevel"/>
    <w:tmpl w:val="2792878C"/>
    <w:lvl w:ilvl="0" w:tplc="AD3452A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B1AE7"/>
    <w:multiLevelType w:val="hybridMultilevel"/>
    <w:tmpl w:val="7AA47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3350"/>
    <w:multiLevelType w:val="hybridMultilevel"/>
    <w:tmpl w:val="9558C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B6DD3"/>
    <w:multiLevelType w:val="hybridMultilevel"/>
    <w:tmpl w:val="7822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41FAB"/>
    <w:multiLevelType w:val="hybridMultilevel"/>
    <w:tmpl w:val="2C4CB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41C85"/>
    <w:multiLevelType w:val="hybridMultilevel"/>
    <w:tmpl w:val="4EFEDD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E057E"/>
    <w:multiLevelType w:val="hybridMultilevel"/>
    <w:tmpl w:val="B326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3704B"/>
    <w:multiLevelType w:val="hybridMultilevel"/>
    <w:tmpl w:val="9730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A0AB4"/>
    <w:multiLevelType w:val="hybridMultilevel"/>
    <w:tmpl w:val="3730A2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2497E"/>
    <w:multiLevelType w:val="hybridMultilevel"/>
    <w:tmpl w:val="3F669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E0679"/>
    <w:multiLevelType w:val="hybridMultilevel"/>
    <w:tmpl w:val="5BBA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905F5"/>
    <w:multiLevelType w:val="hybridMultilevel"/>
    <w:tmpl w:val="D9CE4C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36F9F"/>
    <w:multiLevelType w:val="hybridMultilevel"/>
    <w:tmpl w:val="6DCED5E2"/>
    <w:lvl w:ilvl="0" w:tplc="84B8E62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7"/>
  </w:num>
  <w:num w:numId="4">
    <w:abstractNumId w:val="12"/>
  </w:num>
  <w:num w:numId="5">
    <w:abstractNumId w:val="7"/>
  </w:num>
  <w:num w:numId="6">
    <w:abstractNumId w:val="10"/>
  </w:num>
  <w:num w:numId="7">
    <w:abstractNumId w:val="23"/>
  </w:num>
  <w:num w:numId="8">
    <w:abstractNumId w:val="8"/>
  </w:num>
  <w:num w:numId="9">
    <w:abstractNumId w:val="6"/>
  </w:num>
  <w:num w:numId="10">
    <w:abstractNumId w:val="24"/>
  </w:num>
  <w:num w:numId="11">
    <w:abstractNumId w:val="26"/>
  </w:num>
  <w:num w:numId="12">
    <w:abstractNumId w:val="9"/>
  </w:num>
  <w:num w:numId="13">
    <w:abstractNumId w:val="22"/>
  </w:num>
  <w:num w:numId="14">
    <w:abstractNumId w:val="18"/>
  </w:num>
  <w:num w:numId="15">
    <w:abstractNumId w:val="14"/>
  </w:num>
  <w:num w:numId="16">
    <w:abstractNumId w:val="3"/>
  </w:num>
  <w:num w:numId="17">
    <w:abstractNumId w:val="21"/>
  </w:num>
  <w:num w:numId="18">
    <w:abstractNumId w:val="5"/>
  </w:num>
  <w:num w:numId="19">
    <w:abstractNumId w:val="13"/>
  </w:num>
  <w:num w:numId="20">
    <w:abstractNumId w:val="1"/>
  </w:num>
  <w:num w:numId="21">
    <w:abstractNumId w:val="19"/>
  </w:num>
  <w:num w:numId="22">
    <w:abstractNumId w:val="16"/>
  </w:num>
  <w:num w:numId="23">
    <w:abstractNumId w:val="4"/>
  </w:num>
  <w:num w:numId="24">
    <w:abstractNumId w:val="25"/>
  </w:num>
  <w:num w:numId="25">
    <w:abstractNumId w:val="20"/>
  </w:num>
  <w:num w:numId="26">
    <w:abstractNumId w:val="0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03"/>
    <w:rsid w:val="000012D8"/>
    <w:rsid w:val="000017B3"/>
    <w:rsid w:val="00011D4C"/>
    <w:rsid w:val="000137F6"/>
    <w:rsid w:val="00025168"/>
    <w:rsid w:val="00030769"/>
    <w:rsid w:val="00030AA3"/>
    <w:rsid w:val="00031111"/>
    <w:rsid w:val="000356F6"/>
    <w:rsid w:val="00037C5B"/>
    <w:rsid w:val="000457BA"/>
    <w:rsid w:val="00046200"/>
    <w:rsid w:val="00057917"/>
    <w:rsid w:val="00057F81"/>
    <w:rsid w:val="000607C2"/>
    <w:rsid w:val="00060BE0"/>
    <w:rsid w:val="000673FD"/>
    <w:rsid w:val="0007219B"/>
    <w:rsid w:val="00075AA0"/>
    <w:rsid w:val="000819F5"/>
    <w:rsid w:val="00082128"/>
    <w:rsid w:val="00083569"/>
    <w:rsid w:val="00083A04"/>
    <w:rsid w:val="00091A71"/>
    <w:rsid w:val="0009215A"/>
    <w:rsid w:val="000921D9"/>
    <w:rsid w:val="000936F4"/>
    <w:rsid w:val="000942F1"/>
    <w:rsid w:val="000A02C6"/>
    <w:rsid w:val="000A0B90"/>
    <w:rsid w:val="000A3794"/>
    <w:rsid w:val="000A7745"/>
    <w:rsid w:val="000B3107"/>
    <w:rsid w:val="000B5A0C"/>
    <w:rsid w:val="000C4B21"/>
    <w:rsid w:val="000C605D"/>
    <w:rsid w:val="000C6313"/>
    <w:rsid w:val="000D11C2"/>
    <w:rsid w:val="000D3D8D"/>
    <w:rsid w:val="000D45C8"/>
    <w:rsid w:val="000D49D9"/>
    <w:rsid w:val="000D5EF5"/>
    <w:rsid w:val="000D6065"/>
    <w:rsid w:val="000D79B0"/>
    <w:rsid w:val="000E093B"/>
    <w:rsid w:val="000E0A04"/>
    <w:rsid w:val="000E2374"/>
    <w:rsid w:val="000E2898"/>
    <w:rsid w:val="000E5D81"/>
    <w:rsid w:val="000F01C6"/>
    <w:rsid w:val="000F2ADF"/>
    <w:rsid w:val="000F2B6B"/>
    <w:rsid w:val="000F500B"/>
    <w:rsid w:val="000F6C1A"/>
    <w:rsid w:val="00100416"/>
    <w:rsid w:val="00103719"/>
    <w:rsid w:val="00105DA6"/>
    <w:rsid w:val="00110C6F"/>
    <w:rsid w:val="00114EB7"/>
    <w:rsid w:val="00115FF3"/>
    <w:rsid w:val="001162B5"/>
    <w:rsid w:val="00116FAF"/>
    <w:rsid w:val="0012203E"/>
    <w:rsid w:val="001251AA"/>
    <w:rsid w:val="00133EB7"/>
    <w:rsid w:val="00136B9B"/>
    <w:rsid w:val="00142BA2"/>
    <w:rsid w:val="00153201"/>
    <w:rsid w:val="001545BA"/>
    <w:rsid w:val="0016066C"/>
    <w:rsid w:val="001607E7"/>
    <w:rsid w:val="00161F78"/>
    <w:rsid w:val="00162802"/>
    <w:rsid w:val="001652A7"/>
    <w:rsid w:val="00173254"/>
    <w:rsid w:val="00173D84"/>
    <w:rsid w:val="001774F8"/>
    <w:rsid w:val="001837D5"/>
    <w:rsid w:val="001961AE"/>
    <w:rsid w:val="001A04E3"/>
    <w:rsid w:val="001A0586"/>
    <w:rsid w:val="001A49A6"/>
    <w:rsid w:val="001A4EC9"/>
    <w:rsid w:val="001A6EEC"/>
    <w:rsid w:val="001B09A9"/>
    <w:rsid w:val="001B27BA"/>
    <w:rsid w:val="001B372F"/>
    <w:rsid w:val="001C196E"/>
    <w:rsid w:val="001C2516"/>
    <w:rsid w:val="001C3FA5"/>
    <w:rsid w:val="001C6860"/>
    <w:rsid w:val="001C7072"/>
    <w:rsid w:val="001C7531"/>
    <w:rsid w:val="001D098A"/>
    <w:rsid w:val="001D15F3"/>
    <w:rsid w:val="001D40A0"/>
    <w:rsid w:val="001E6416"/>
    <w:rsid w:val="001F7DD5"/>
    <w:rsid w:val="00200D3C"/>
    <w:rsid w:val="00200F34"/>
    <w:rsid w:val="002021DB"/>
    <w:rsid w:val="00205FF3"/>
    <w:rsid w:val="00206D4D"/>
    <w:rsid w:val="00213212"/>
    <w:rsid w:val="00215EDF"/>
    <w:rsid w:val="00217D5E"/>
    <w:rsid w:val="0022010F"/>
    <w:rsid w:val="00220921"/>
    <w:rsid w:val="002209C5"/>
    <w:rsid w:val="00220B52"/>
    <w:rsid w:val="00223E04"/>
    <w:rsid w:val="00223EE4"/>
    <w:rsid w:val="002301E3"/>
    <w:rsid w:val="002312D8"/>
    <w:rsid w:val="002322FA"/>
    <w:rsid w:val="00233D9B"/>
    <w:rsid w:val="00234018"/>
    <w:rsid w:val="00234B6A"/>
    <w:rsid w:val="00236197"/>
    <w:rsid w:val="0023641D"/>
    <w:rsid w:val="002432D1"/>
    <w:rsid w:val="0024429A"/>
    <w:rsid w:val="00246B26"/>
    <w:rsid w:val="00255C99"/>
    <w:rsid w:val="0026380A"/>
    <w:rsid w:val="00263FA3"/>
    <w:rsid w:val="00265DD8"/>
    <w:rsid w:val="00266851"/>
    <w:rsid w:val="00267EFA"/>
    <w:rsid w:val="0027168F"/>
    <w:rsid w:val="002717A9"/>
    <w:rsid w:val="00272660"/>
    <w:rsid w:val="00273FF7"/>
    <w:rsid w:val="00275220"/>
    <w:rsid w:val="00276C97"/>
    <w:rsid w:val="002776B1"/>
    <w:rsid w:val="002815B5"/>
    <w:rsid w:val="00282FF2"/>
    <w:rsid w:val="0028570F"/>
    <w:rsid w:val="00285F8A"/>
    <w:rsid w:val="00287CBB"/>
    <w:rsid w:val="00290147"/>
    <w:rsid w:val="002906FA"/>
    <w:rsid w:val="00290A70"/>
    <w:rsid w:val="0029134F"/>
    <w:rsid w:val="002929FC"/>
    <w:rsid w:val="002934C6"/>
    <w:rsid w:val="00296391"/>
    <w:rsid w:val="00297103"/>
    <w:rsid w:val="00297E3E"/>
    <w:rsid w:val="00297F03"/>
    <w:rsid w:val="002A283D"/>
    <w:rsid w:val="002A5ADD"/>
    <w:rsid w:val="002B17B6"/>
    <w:rsid w:val="002B2DCD"/>
    <w:rsid w:val="002B3623"/>
    <w:rsid w:val="002B79F9"/>
    <w:rsid w:val="002C2F55"/>
    <w:rsid w:val="002C40ED"/>
    <w:rsid w:val="002C463F"/>
    <w:rsid w:val="002C59F7"/>
    <w:rsid w:val="002D0F10"/>
    <w:rsid w:val="002D3751"/>
    <w:rsid w:val="002D6D01"/>
    <w:rsid w:val="002E671E"/>
    <w:rsid w:val="002F0503"/>
    <w:rsid w:val="002F27B0"/>
    <w:rsid w:val="002F5A1B"/>
    <w:rsid w:val="0030437B"/>
    <w:rsid w:val="0030462D"/>
    <w:rsid w:val="0030663B"/>
    <w:rsid w:val="00311AFC"/>
    <w:rsid w:val="00320093"/>
    <w:rsid w:val="00321CCE"/>
    <w:rsid w:val="003243FC"/>
    <w:rsid w:val="00330635"/>
    <w:rsid w:val="00335B19"/>
    <w:rsid w:val="0034374E"/>
    <w:rsid w:val="00343E58"/>
    <w:rsid w:val="003503E2"/>
    <w:rsid w:val="003527AF"/>
    <w:rsid w:val="00354607"/>
    <w:rsid w:val="00355A56"/>
    <w:rsid w:val="003610AA"/>
    <w:rsid w:val="0036163F"/>
    <w:rsid w:val="003639D4"/>
    <w:rsid w:val="003644C4"/>
    <w:rsid w:val="00366626"/>
    <w:rsid w:val="00367A7D"/>
    <w:rsid w:val="00376470"/>
    <w:rsid w:val="003801C5"/>
    <w:rsid w:val="00381E6E"/>
    <w:rsid w:val="0038317E"/>
    <w:rsid w:val="00383EC2"/>
    <w:rsid w:val="003929BD"/>
    <w:rsid w:val="00392DA9"/>
    <w:rsid w:val="00395453"/>
    <w:rsid w:val="00395D34"/>
    <w:rsid w:val="00397C00"/>
    <w:rsid w:val="003A5388"/>
    <w:rsid w:val="003A56EE"/>
    <w:rsid w:val="003C2FB0"/>
    <w:rsid w:val="003C35DA"/>
    <w:rsid w:val="003C44E0"/>
    <w:rsid w:val="003C6088"/>
    <w:rsid w:val="003C630C"/>
    <w:rsid w:val="003C66BD"/>
    <w:rsid w:val="003C7595"/>
    <w:rsid w:val="003D46B7"/>
    <w:rsid w:val="003D482B"/>
    <w:rsid w:val="003F0D20"/>
    <w:rsid w:val="003F1D29"/>
    <w:rsid w:val="003F211B"/>
    <w:rsid w:val="003F5DC4"/>
    <w:rsid w:val="0040156D"/>
    <w:rsid w:val="0040263D"/>
    <w:rsid w:val="00406ACE"/>
    <w:rsid w:val="004077A3"/>
    <w:rsid w:val="00407DBF"/>
    <w:rsid w:val="004147DA"/>
    <w:rsid w:val="0041680A"/>
    <w:rsid w:val="00422710"/>
    <w:rsid w:val="00425AA2"/>
    <w:rsid w:val="00426708"/>
    <w:rsid w:val="004317BE"/>
    <w:rsid w:val="00433BAA"/>
    <w:rsid w:val="00433C41"/>
    <w:rsid w:val="00434574"/>
    <w:rsid w:val="0043764A"/>
    <w:rsid w:val="004461E0"/>
    <w:rsid w:val="0045463F"/>
    <w:rsid w:val="00454734"/>
    <w:rsid w:val="00454864"/>
    <w:rsid w:val="0045656B"/>
    <w:rsid w:val="00456E38"/>
    <w:rsid w:val="00460C57"/>
    <w:rsid w:val="00461193"/>
    <w:rsid w:val="00462162"/>
    <w:rsid w:val="00462346"/>
    <w:rsid w:val="00473BC9"/>
    <w:rsid w:val="00475EFA"/>
    <w:rsid w:val="00475F66"/>
    <w:rsid w:val="00476D1B"/>
    <w:rsid w:val="004904EC"/>
    <w:rsid w:val="0049052A"/>
    <w:rsid w:val="00492617"/>
    <w:rsid w:val="0049681D"/>
    <w:rsid w:val="00496C30"/>
    <w:rsid w:val="00497920"/>
    <w:rsid w:val="004A083A"/>
    <w:rsid w:val="004A261D"/>
    <w:rsid w:val="004A3FD3"/>
    <w:rsid w:val="004A449F"/>
    <w:rsid w:val="004A482E"/>
    <w:rsid w:val="004A5A01"/>
    <w:rsid w:val="004A5FB2"/>
    <w:rsid w:val="004A6E8D"/>
    <w:rsid w:val="004B1940"/>
    <w:rsid w:val="004B2557"/>
    <w:rsid w:val="004B7E82"/>
    <w:rsid w:val="004C08AD"/>
    <w:rsid w:val="004C22FE"/>
    <w:rsid w:val="004C31F8"/>
    <w:rsid w:val="004C5DDC"/>
    <w:rsid w:val="004C6494"/>
    <w:rsid w:val="004D0560"/>
    <w:rsid w:val="004D38EB"/>
    <w:rsid w:val="004D72F0"/>
    <w:rsid w:val="004E330D"/>
    <w:rsid w:val="004E51EA"/>
    <w:rsid w:val="004E5564"/>
    <w:rsid w:val="004E6033"/>
    <w:rsid w:val="004E6D70"/>
    <w:rsid w:val="004F73BD"/>
    <w:rsid w:val="00514618"/>
    <w:rsid w:val="005201FA"/>
    <w:rsid w:val="00520974"/>
    <w:rsid w:val="005223F1"/>
    <w:rsid w:val="00533DE8"/>
    <w:rsid w:val="00535628"/>
    <w:rsid w:val="0053645A"/>
    <w:rsid w:val="00536F6F"/>
    <w:rsid w:val="00541190"/>
    <w:rsid w:val="0054193E"/>
    <w:rsid w:val="005425E2"/>
    <w:rsid w:val="00544CB6"/>
    <w:rsid w:val="00547009"/>
    <w:rsid w:val="0054716D"/>
    <w:rsid w:val="00547415"/>
    <w:rsid w:val="00553232"/>
    <w:rsid w:val="00555DC4"/>
    <w:rsid w:val="00557ABD"/>
    <w:rsid w:val="005605B2"/>
    <w:rsid w:val="0056134D"/>
    <w:rsid w:val="005614E7"/>
    <w:rsid w:val="005648F6"/>
    <w:rsid w:val="00564C52"/>
    <w:rsid w:val="00565033"/>
    <w:rsid w:val="005720CC"/>
    <w:rsid w:val="00572BAC"/>
    <w:rsid w:val="00576B9B"/>
    <w:rsid w:val="005817F9"/>
    <w:rsid w:val="00583B44"/>
    <w:rsid w:val="00584D4E"/>
    <w:rsid w:val="00587AD0"/>
    <w:rsid w:val="00587CBF"/>
    <w:rsid w:val="00593931"/>
    <w:rsid w:val="00595581"/>
    <w:rsid w:val="005A12B1"/>
    <w:rsid w:val="005A3EC9"/>
    <w:rsid w:val="005A5B87"/>
    <w:rsid w:val="005B2CC6"/>
    <w:rsid w:val="005B56F5"/>
    <w:rsid w:val="005B5EE4"/>
    <w:rsid w:val="005C1D93"/>
    <w:rsid w:val="005C1E17"/>
    <w:rsid w:val="005C1F1B"/>
    <w:rsid w:val="005C65F2"/>
    <w:rsid w:val="005C7D4E"/>
    <w:rsid w:val="005D2B9F"/>
    <w:rsid w:val="005D2BCB"/>
    <w:rsid w:val="005D2CE7"/>
    <w:rsid w:val="005D32FE"/>
    <w:rsid w:val="005D43FF"/>
    <w:rsid w:val="005D5484"/>
    <w:rsid w:val="005D6F18"/>
    <w:rsid w:val="005E0D9C"/>
    <w:rsid w:val="005E61F4"/>
    <w:rsid w:val="005E764C"/>
    <w:rsid w:val="005F0737"/>
    <w:rsid w:val="005F090D"/>
    <w:rsid w:val="005F6069"/>
    <w:rsid w:val="005F697D"/>
    <w:rsid w:val="005F7353"/>
    <w:rsid w:val="005F7355"/>
    <w:rsid w:val="005F77F9"/>
    <w:rsid w:val="00600745"/>
    <w:rsid w:val="006035E3"/>
    <w:rsid w:val="0060729D"/>
    <w:rsid w:val="00610A83"/>
    <w:rsid w:val="00611864"/>
    <w:rsid w:val="00613156"/>
    <w:rsid w:val="00613195"/>
    <w:rsid w:val="00614E12"/>
    <w:rsid w:val="00616317"/>
    <w:rsid w:val="00620D4B"/>
    <w:rsid w:val="006224FD"/>
    <w:rsid w:val="00626CFA"/>
    <w:rsid w:val="006321ED"/>
    <w:rsid w:val="00634414"/>
    <w:rsid w:val="00637ABD"/>
    <w:rsid w:val="00641BAF"/>
    <w:rsid w:val="00642934"/>
    <w:rsid w:val="006478D2"/>
    <w:rsid w:val="00651806"/>
    <w:rsid w:val="00654A16"/>
    <w:rsid w:val="00660877"/>
    <w:rsid w:val="006645C7"/>
    <w:rsid w:val="0066629B"/>
    <w:rsid w:val="0066738F"/>
    <w:rsid w:val="00672006"/>
    <w:rsid w:val="006724A0"/>
    <w:rsid w:val="00673FFB"/>
    <w:rsid w:val="00674582"/>
    <w:rsid w:val="006745F3"/>
    <w:rsid w:val="006910BA"/>
    <w:rsid w:val="006912D1"/>
    <w:rsid w:val="00691601"/>
    <w:rsid w:val="00691797"/>
    <w:rsid w:val="00692F09"/>
    <w:rsid w:val="00692F1D"/>
    <w:rsid w:val="006940BD"/>
    <w:rsid w:val="00694103"/>
    <w:rsid w:val="006971E2"/>
    <w:rsid w:val="00697D7A"/>
    <w:rsid w:val="006A1B57"/>
    <w:rsid w:val="006B2595"/>
    <w:rsid w:val="006B342D"/>
    <w:rsid w:val="006B44E9"/>
    <w:rsid w:val="006B4701"/>
    <w:rsid w:val="006B517F"/>
    <w:rsid w:val="006B51FD"/>
    <w:rsid w:val="006B54EC"/>
    <w:rsid w:val="006C31F4"/>
    <w:rsid w:val="006C63CF"/>
    <w:rsid w:val="006C6815"/>
    <w:rsid w:val="006C6AD3"/>
    <w:rsid w:val="006D07FD"/>
    <w:rsid w:val="006D1764"/>
    <w:rsid w:val="006D4084"/>
    <w:rsid w:val="006E4257"/>
    <w:rsid w:val="006E43D2"/>
    <w:rsid w:val="006F02B3"/>
    <w:rsid w:val="006F73CE"/>
    <w:rsid w:val="00702E07"/>
    <w:rsid w:val="00704BC7"/>
    <w:rsid w:val="00705D2C"/>
    <w:rsid w:val="00706384"/>
    <w:rsid w:val="007065A4"/>
    <w:rsid w:val="00707972"/>
    <w:rsid w:val="0071606A"/>
    <w:rsid w:val="007209D5"/>
    <w:rsid w:val="00721EBC"/>
    <w:rsid w:val="0072577E"/>
    <w:rsid w:val="00731C81"/>
    <w:rsid w:val="00736061"/>
    <w:rsid w:val="00737319"/>
    <w:rsid w:val="00746AF4"/>
    <w:rsid w:val="00746E90"/>
    <w:rsid w:val="00751F1F"/>
    <w:rsid w:val="00751F57"/>
    <w:rsid w:val="00754339"/>
    <w:rsid w:val="007572BC"/>
    <w:rsid w:val="00761495"/>
    <w:rsid w:val="007664DB"/>
    <w:rsid w:val="00766A78"/>
    <w:rsid w:val="00774494"/>
    <w:rsid w:val="0077516C"/>
    <w:rsid w:val="00777654"/>
    <w:rsid w:val="007776CF"/>
    <w:rsid w:val="00781E27"/>
    <w:rsid w:val="00783FCC"/>
    <w:rsid w:val="00785AC6"/>
    <w:rsid w:val="00790947"/>
    <w:rsid w:val="00791734"/>
    <w:rsid w:val="00793F42"/>
    <w:rsid w:val="007B32D2"/>
    <w:rsid w:val="007B4069"/>
    <w:rsid w:val="007B425E"/>
    <w:rsid w:val="007B4651"/>
    <w:rsid w:val="007B6762"/>
    <w:rsid w:val="007B6A4E"/>
    <w:rsid w:val="007C045F"/>
    <w:rsid w:val="007C130B"/>
    <w:rsid w:val="007C6CF4"/>
    <w:rsid w:val="007D43F1"/>
    <w:rsid w:val="007D48DE"/>
    <w:rsid w:val="007D508A"/>
    <w:rsid w:val="007D5141"/>
    <w:rsid w:val="007D5BED"/>
    <w:rsid w:val="007D63A7"/>
    <w:rsid w:val="007E0BFC"/>
    <w:rsid w:val="007E2ED9"/>
    <w:rsid w:val="007E46A0"/>
    <w:rsid w:val="007E709D"/>
    <w:rsid w:val="007F08F2"/>
    <w:rsid w:val="007F15C1"/>
    <w:rsid w:val="007F204B"/>
    <w:rsid w:val="007F2F84"/>
    <w:rsid w:val="007F4704"/>
    <w:rsid w:val="007F6279"/>
    <w:rsid w:val="0080306F"/>
    <w:rsid w:val="0080319F"/>
    <w:rsid w:val="00803C16"/>
    <w:rsid w:val="0080455B"/>
    <w:rsid w:val="00804945"/>
    <w:rsid w:val="008063FF"/>
    <w:rsid w:val="00806AD9"/>
    <w:rsid w:val="00811D8F"/>
    <w:rsid w:val="00813CA6"/>
    <w:rsid w:val="00822556"/>
    <w:rsid w:val="008239E2"/>
    <w:rsid w:val="0082627C"/>
    <w:rsid w:val="00827851"/>
    <w:rsid w:val="00827FE4"/>
    <w:rsid w:val="00832AB0"/>
    <w:rsid w:val="008340D7"/>
    <w:rsid w:val="00834D6D"/>
    <w:rsid w:val="00837AAC"/>
    <w:rsid w:val="00837F77"/>
    <w:rsid w:val="00842FFE"/>
    <w:rsid w:val="00843120"/>
    <w:rsid w:val="008464EF"/>
    <w:rsid w:val="00847E73"/>
    <w:rsid w:val="0085275E"/>
    <w:rsid w:val="00855370"/>
    <w:rsid w:val="008558B6"/>
    <w:rsid w:val="00855E11"/>
    <w:rsid w:val="008602E0"/>
    <w:rsid w:val="008619B0"/>
    <w:rsid w:val="008702C1"/>
    <w:rsid w:val="00874304"/>
    <w:rsid w:val="008747D7"/>
    <w:rsid w:val="00880A64"/>
    <w:rsid w:val="00880BEA"/>
    <w:rsid w:val="00882132"/>
    <w:rsid w:val="00885DD2"/>
    <w:rsid w:val="008863E5"/>
    <w:rsid w:val="008876A2"/>
    <w:rsid w:val="00891DA7"/>
    <w:rsid w:val="0089402A"/>
    <w:rsid w:val="008A0CB7"/>
    <w:rsid w:val="008A788C"/>
    <w:rsid w:val="008A7AD7"/>
    <w:rsid w:val="008B3E5B"/>
    <w:rsid w:val="008B4DF5"/>
    <w:rsid w:val="008B7BB4"/>
    <w:rsid w:val="008C142A"/>
    <w:rsid w:val="008C3621"/>
    <w:rsid w:val="008C43E5"/>
    <w:rsid w:val="008C4F32"/>
    <w:rsid w:val="008C5268"/>
    <w:rsid w:val="008C5689"/>
    <w:rsid w:val="008C5F39"/>
    <w:rsid w:val="008C6A71"/>
    <w:rsid w:val="008D5E88"/>
    <w:rsid w:val="008D5F59"/>
    <w:rsid w:val="008E70E4"/>
    <w:rsid w:val="008E78AC"/>
    <w:rsid w:val="008F05A7"/>
    <w:rsid w:val="008F255C"/>
    <w:rsid w:val="008F288B"/>
    <w:rsid w:val="008F3B86"/>
    <w:rsid w:val="008F410B"/>
    <w:rsid w:val="008F43F8"/>
    <w:rsid w:val="008F79F6"/>
    <w:rsid w:val="008F7AA2"/>
    <w:rsid w:val="008F7B8A"/>
    <w:rsid w:val="00903F5D"/>
    <w:rsid w:val="00906888"/>
    <w:rsid w:val="00907C65"/>
    <w:rsid w:val="009172CC"/>
    <w:rsid w:val="00922365"/>
    <w:rsid w:val="00922C21"/>
    <w:rsid w:val="00933B69"/>
    <w:rsid w:val="00935430"/>
    <w:rsid w:val="00935C37"/>
    <w:rsid w:val="00936F4E"/>
    <w:rsid w:val="00937102"/>
    <w:rsid w:val="00950E2C"/>
    <w:rsid w:val="00953C93"/>
    <w:rsid w:val="00961064"/>
    <w:rsid w:val="00962E0E"/>
    <w:rsid w:val="00966DC0"/>
    <w:rsid w:val="00967D19"/>
    <w:rsid w:val="00967F01"/>
    <w:rsid w:val="00970861"/>
    <w:rsid w:val="009716A6"/>
    <w:rsid w:val="00974A53"/>
    <w:rsid w:val="00976A38"/>
    <w:rsid w:val="0098141B"/>
    <w:rsid w:val="009818AD"/>
    <w:rsid w:val="00982265"/>
    <w:rsid w:val="009825C9"/>
    <w:rsid w:val="0098652C"/>
    <w:rsid w:val="00986841"/>
    <w:rsid w:val="00996055"/>
    <w:rsid w:val="009A0009"/>
    <w:rsid w:val="009A3E98"/>
    <w:rsid w:val="009B12A2"/>
    <w:rsid w:val="009B4242"/>
    <w:rsid w:val="009B4304"/>
    <w:rsid w:val="009B4958"/>
    <w:rsid w:val="009B7A69"/>
    <w:rsid w:val="009B7FB7"/>
    <w:rsid w:val="009C0D4C"/>
    <w:rsid w:val="009C20E4"/>
    <w:rsid w:val="009C30D4"/>
    <w:rsid w:val="009C67DA"/>
    <w:rsid w:val="009C7EAD"/>
    <w:rsid w:val="009D0382"/>
    <w:rsid w:val="009D0D4E"/>
    <w:rsid w:val="009D1308"/>
    <w:rsid w:val="009E5B3E"/>
    <w:rsid w:val="009E5CEB"/>
    <w:rsid w:val="009F0C79"/>
    <w:rsid w:val="009F17FF"/>
    <w:rsid w:val="009F642F"/>
    <w:rsid w:val="00A01C84"/>
    <w:rsid w:val="00A05426"/>
    <w:rsid w:val="00A07D9B"/>
    <w:rsid w:val="00A10370"/>
    <w:rsid w:val="00A1075A"/>
    <w:rsid w:val="00A130B7"/>
    <w:rsid w:val="00A1598C"/>
    <w:rsid w:val="00A15D95"/>
    <w:rsid w:val="00A16320"/>
    <w:rsid w:val="00A177FF"/>
    <w:rsid w:val="00A21699"/>
    <w:rsid w:val="00A23CE1"/>
    <w:rsid w:val="00A261D9"/>
    <w:rsid w:val="00A34917"/>
    <w:rsid w:val="00A3491D"/>
    <w:rsid w:val="00A40027"/>
    <w:rsid w:val="00A50E91"/>
    <w:rsid w:val="00A60F99"/>
    <w:rsid w:val="00A6118B"/>
    <w:rsid w:val="00A61D56"/>
    <w:rsid w:val="00A6599B"/>
    <w:rsid w:val="00A672D8"/>
    <w:rsid w:val="00A71288"/>
    <w:rsid w:val="00A73901"/>
    <w:rsid w:val="00A73B38"/>
    <w:rsid w:val="00A74F8F"/>
    <w:rsid w:val="00A764FB"/>
    <w:rsid w:val="00A767B7"/>
    <w:rsid w:val="00A819AF"/>
    <w:rsid w:val="00A847DE"/>
    <w:rsid w:val="00A853B9"/>
    <w:rsid w:val="00A9031B"/>
    <w:rsid w:val="00A90F50"/>
    <w:rsid w:val="00A929CD"/>
    <w:rsid w:val="00A93596"/>
    <w:rsid w:val="00A94DE7"/>
    <w:rsid w:val="00A95051"/>
    <w:rsid w:val="00AA55F9"/>
    <w:rsid w:val="00AA567C"/>
    <w:rsid w:val="00AA6A39"/>
    <w:rsid w:val="00AA70D6"/>
    <w:rsid w:val="00AB3E28"/>
    <w:rsid w:val="00AB5760"/>
    <w:rsid w:val="00AB7357"/>
    <w:rsid w:val="00AC39B6"/>
    <w:rsid w:val="00AC53BB"/>
    <w:rsid w:val="00AD1344"/>
    <w:rsid w:val="00AD1CA2"/>
    <w:rsid w:val="00AD4EF8"/>
    <w:rsid w:val="00AD7B36"/>
    <w:rsid w:val="00AE0FAC"/>
    <w:rsid w:val="00AE6DC7"/>
    <w:rsid w:val="00AF6D3E"/>
    <w:rsid w:val="00B07815"/>
    <w:rsid w:val="00B10CD2"/>
    <w:rsid w:val="00B13579"/>
    <w:rsid w:val="00B14A94"/>
    <w:rsid w:val="00B14D90"/>
    <w:rsid w:val="00B15B5B"/>
    <w:rsid w:val="00B2146A"/>
    <w:rsid w:val="00B243FF"/>
    <w:rsid w:val="00B340A5"/>
    <w:rsid w:val="00B34EBB"/>
    <w:rsid w:val="00B37803"/>
    <w:rsid w:val="00B410A5"/>
    <w:rsid w:val="00B42765"/>
    <w:rsid w:val="00B4729D"/>
    <w:rsid w:val="00B51D32"/>
    <w:rsid w:val="00B53585"/>
    <w:rsid w:val="00B546AB"/>
    <w:rsid w:val="00B6035F"/>
    <w:rsid w:val="00B61928"/>
    <w:rsid w:val="00B66B08"/>
    <w:rsid w:val="00B72C2C"/>
    <w:rsid w:val="00B8105E"/>
    <w:rsid w:val="00B836FD"/>
    <w:rsid w:val="00B93C96"/>
    <w:rsid w:val="00B93F49"/>
    <w:rsid w:val="00B953E2"/>
    <w:rsid w:val="00B9654A"/>
    <w:rsid w:val="00B967F8"/>
    <w:rsid w:val="00B97B52"/>
    <w:rsid w:val="00BA0011"/>
    <w:rsid w:val="00BA28D1"/>
    <w:rsid w:val="00BA3424"/>
    <w:rsid w:val="00BA3E60"/>
    <w:rsid w:val="00BB0645"/>
    <w:rsid w:val="00BB0963"/>
    <w:rsid w:val="00BB36B5"/>
    <w:rsid w:val="00BB3BAB"/>
    <w:rsid w:val="00BB59A4"/>
    <w:rsid w:val="00BB64F0"/>
    <w:rsid w:val="00BB7643"/>
    <w:rsid w:val="00BC3981"/>
    <w:rsid w:val="00BC4896"/>
    <w:rsid w:val="00BC6A75"/>
    <w:rsid w:val="00BC6A92"/>
    <w:rsid w:val="00BC70A6"/>
    <w:rsid w:val="00BD0359"/>
    <w:rsid w:val="00BD1FDE"/>
    <w:rsid w:val="00BD710A"/>
    <w:rsid w:val="00BD7542"/>
    <w:rsid w:val="00BE13D3"/>
    <w:rsid w:val="00BE3622"/>
    <w:rsid w:val="00BE6958"/>
    <w:rsid w:val="00BE7DF2"/>
    <w:rsid w:val="00BF2BCD"/>
    <w:rsid w:val="00BF3720"/>
    <w:rsid w:val="00BF6333"/>
    <w:rsid w:val="00C00B83"/>
    <w:rsid w:val="00C059F5"/>
    <w:rsid w:val="00C06E44"/>
    <w:rsid w:val="00C07130"/>
    <w:rsid w:val="00C14299"/>
    <w:rsid w:val="00C171C6"/>
    <w:rsid w:val="00C2243A"/>
    <w:rsid w:val="00C2399B"/>
    <w:rsid w:val="00C33146"/>
    <w:rsid w:val="00C3407F"/>
    <w:rsid w:val="00C36E20"/>
    <w:rsid w:val="00C42C19"/>
    <w:rsid w:val="00C46508"/>
    <w:rsid w:val="00C50600"/>
    <w:rsid w:val="00C50968"/>
    <w:rsid w:val="00C5153A"/>
    <w:rsid w:val="00C51DA5"/>
    <w:rsid w:val="00C53552"/>
    <w:rsid w:val="00C563BD"/>
    <w:rsid w:val="00C56718"/>
    <w:rsid w:val="00C56ACA"/>
    <w:rsid w:val="00C56B3D"/>
    <w:rsid w:val="00C5737F"/>
    <w:rsid w:val="00C63316"/>
    <w:rsid w:val="00C67101"/>
    <w:rsid w:val="00C70BF6"/>
    <w:rsid w:val="00C7479D"/>
    <w:rsid w:val="00C7683E"/>
    <w:rsid w:val="00C76EC0"/>
    <w:rsid w:val="00C82BAD"/>
    <w:rsid w:val="00C83A0B"/>
    <w:rsid w:val="00C83AF7"/>
    <w:rsid w:val="00C8440C"/>
    <w:rsid w:val="00C8643F"/>
    <w:rsid w:val="00C9145D"/>
    <w:rsid w:val="00C9363E"/>
    <w:rsid w:val="00C9400F"/>
    <w:rsid w:val="00C9487E"/>
    <w:rsid w:val="00CA336C"/>
    <w:rsid w:val="00CA62DC"/>
    <w:rsid w:val="00CA644D"/>
    <w:rsid w:val="00CA7723"/>
    <w:rsid w:val="00CA7A3B"/>
    <w:rsid w:val="00CA7B19"/>
    <w:rsid w:val="00CC3DD8"/>
    <w:rsid w:val="00CC5E40"/>
    <w:rsid w:val="00CD43C6"/>
    <w:rsid w:val="00CD43DF"/>
    <w:rsid w:val="00CE0342"/>
    <w:rsid w:val="00CE1D63"/>
    <w:rsid w:val="00CE56BE"/>
    <w:rsid w:val="00CE6B80"/>
    <w:rsid w:val="00CF0418"/>
    <w:rsid w:val="00CF0470"/>
    <w:rsid w:val="00CF3D99"/>
    <w:rsid w:val="00CF5665"/>
    <w:rsid w:val="00CF632A"/>
    <w:rsid w:val="00D016F1"/>
    <w:rsid w:val="00D02C4D"/>
    <w:rsid w:val="00D07F0D"/>
    <w:rsid w:val="00D10F9C"/>
    <w:rsid w:val="00D11696"/>
    <w:rsid w:val="00D13396"/>
    <w:rsid w:val="00D141B9"/>
    <w:rsid w:val="00D1458D"/>
    <w:rsid w:val="00D1568C"/>
    <w:rsid w:val="00D15C15"/>
    <w:rsid w:val="00D17017"/>
    <w:rsid w:val="00D20911"/>
    <w:rsid w:val="00D23670"/>
    <w:rsid w:val="00D23868"/>
    <w:rsid w:val="00D312A1"/>
    <w:rsid w:val="00D352CB"/>
    <w:rsid w:val="00D40F17"/>
    <w:rsid w:val="00D452CF"/>
    <w:rsid w:val="00D46A79"/>
    <w:rsid w:val="00D471B0"/>
    <w:rsid w:val="00D50787"/>
    <w:rsid w:val="00D60088"/>
    <w:rsid w:val="00D73AE2"/>
    <w:rsid w:val="00D748B6"/>
    <w:rsid w:val="00D74E15"/>
    <w:rsid w:val="00D778B9"/>
    <w:rsid w:val="00D8098A"/>
    <w:rsid w:val="00D86902"/>
    <w:rsid w:val="00D91953"/>
    <w:rsid w:val="00D97B7A"/>
    <w:rsid w:val="00DA2C9F"/>
    <w:rsid w:val="00DA5538"/>
    <w:rsid w:val="00DB6DD3"/>
    <w:rsid w:val="00DB7322"/>
    <w:rsid w:val="00DB79F2"/>
    <w:rsid w:val="00DC000E"/>
    <w:rsid w:val="00DC006F"/>
    <w:rsid w:val="00DC14A6"/>
    <w:rsid w:val="00DC1E4D"/>
    <w:rsid w:val="00DC2C7D"/>
    <w:rsid w:val="00DC5C41"/>
    <w:rsid w:val="00DD11C7"/>
    <w:rsid w:val="00DD4D39"/>
    <w:rsid w:val="00DE3D20"/>
    <w:rsid w:val="00DE664A"/>
    <w:rsid w:val="00DE6D5A"/>
    <w:rsid w:val="00DF1684"/>
    <w:rsid w:val="00DF3625"/>
    <w:rsid w:val="00DF3855"/>
    <w:rsid w:val="00DF4010"/>
    <w:rsid w:val="00DF4109"/>
    <w:rsid w:val="00DF7A2F"/>
    <w:rsid w:val="00DF7B17"/>
    <w:rsid w:val="00E03B93"/>
    <w:rsid w:val="00E03D70"/>
    <w:rsid w:val="00E03F06"/>
    <w:rsid w:val="00E06DFA"/>
    <w:rsid w:val="00E13659"/>
    <w:rsid w:val="00E22B2D"/>
    <w:rsid w:val="00E25DC7"/>
    <w:rsid w:val="00E26D73"/>
    <w:rsid w:val="00E319AB"/>
    <w:rsid w:val="00E34A39"/>
    <w:rsid w:val="00E3646A"/>
    <w:rsid w:val="00E37054"/>
    <w:rsid w:val="00E44E14"/>
    <w:rsid w:val="00E477D0"/>
    <w:rsid w:val="00E531D9"/>
    <w:rsid w:val="00E5367F"/>
    <w:rsid w:val="00E54C35"/>
    <w:rsid w:val="00E553FF"/>
    <w:rsid w:val="00E569DE"/>
    <w:rsid w:val="00E5708D"/>
    <w:rsid w:val="00E601D4"/>
    <w:rsid w:val="00E60AE8"/>
    <w:rsid w:val="00E60F74"/>
    <w:rsid w:val="00E64824"/>
    <w:rsid w:val="00E64D05"/>
    <w:rsid w:val="00E6519B"/>
    <w:rsid w:val="00E669EC"/>
    <w:rsid w:val="00E67F88"/>
    <w:rsid w:val="00E70C0A"/>
    <w:rsid w:val="00E712D5"/>
    <w:rsid w:val="00E73165"/>
    <w:rsid w:val="00E77229"/>
    <w:rsid w:val="00E8125D"/>
    <w:rsid w:val="00E84158"/>
    <w:rsid w:val="00E876B0"/>
    <w:rsid w:val="00E9398F"/>
    <w:rsid w:val="00E952B4"/>
    <w:rsid w:val="00EA1D18"/>
    <w:rsid w:val="00EA42C8"/>
    <w:rsid w:val="00EB1B74"/>
    <w:rsid w:val="00EB630C"/>
    <w:rsid w:val="00EB63FC"/>
    <w:rsid w:val="00EB654F"/>
    <w:rsid w:val="00EB6BE7"/>
    <w:rsid w:val="00EB6C80"/>
    <w:rsid w:val="00EC7B35"/>
    <w:rsid w:val="00ED4250"/>
    <w:rsid w:val="00EF1CB2"/>
    <w:rsid w:val="00EF5DA7"/>
    <w:rsid w:val="00EF79AF"/>
    <w:rsid w:val="00F022D5"/>
    <w:rsid w:val="00F05303"/>
    <w:rsid w:val="00F0604A"/>
    <w:rsid w:val="00F1029D"/>
    <w:rsid w:val="00F12E5F"/>
    <w:rsid w:val="00F1362D"/>
    <w:rsid w:val="00F15B26"/>
    <w:rsid w:val="00F16C4B"/>
    <w:rsid w:val="00F21ECA"/>
    <w:rsid w:val="00F22B72"/>
    <w:rsid w:val="00F23025"/>
    <w:rsid w:val="00F239D0"/>
    <w:rsid w:val="00F2445C"/>
    <w:rsid w:val="00F27CF6"/>
    <w:rsid w:val="00F33C49"/>
    <w:rsid w:val="00F37510"/>
    <w:rsid w:val="00F37EDB"/>
    <w:rsid w:val="00F43E2D"/>
    <w:rsid w:val="00F52896"/>
    <w:rsid w:val="00F62864"/>
    <w:rsid w:val="00F63E43"/>
    <w:rsid w:val="00F65168"/>
    <w:rsid w:val="00F678A0"/>
    <w:rsid w:val="00F717E4"/>
    <w:rsid w:val="00F74FB1"/>
    <w:rsid w:val="00F84D4A"/>
    <w:rsid w:val="00F85329"/>
    <w:rsid w:val="00F85B5E"/>
    <w:rsid w:val="00F936F7"/>
    <w:rsid w:val="00F952BF"/>
    <w:rsid w:val="00F964C5"/>
    <w:rsid w:val="00F96D0D"/>
    <w:rsid w:val="00FA4BB1"/>
    <w:rsid w:val="00FA4E27"/>
    <w:rsid w:val="00FA74CD"/>
    <w:rsid w:val="00FB13CA"/>
    <w:rsid w:val="00FB1B6F"/>
    <w:rsid w:val="00FB6FA7"/>
    <w:rsid w:val="00FD743B"/>
    <w:rsid w:val="00FE005C"/>
    <w:rsid w:val="00FE4148"/>
    <w:rsid w:val="00FF30C9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9006D41"/>
  <w15:docId w15:val="{EA7212D9-ECBB-4CB2-86E2-CDA91C15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3E5"/>
    <w:rPr>
      <w:sz w:val="24"/>
      <w:szCs w:val="24"/>
    </w:rPr>
  </w:style>
  <w:style w:type="paragraph" w:styleId="Heading2">
    <w:name w:val="heading 2"/>
    <w:basedOn w:val="Normal"/>
    <w:next w:val="Normal"/>
    <w:qFormat/>
    <w:rsid w:val="00B378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37803"/>
    <w:pPr>
      <w:pBdr>
        <w:bottom w:val="single" w:sz="12" w:space="1" w:color="auto"/>
      </w:pBdr>
      <w:jc w:val="center"/>
    </w:pPr>
    <w:rPr>
      <w:rFonts w:ascii="Arial" w:hAnsi="Arial"/>
      <w:b/>
      <w:szCs w:val="20"/>
      <w:lang w:val="en-US"/>
    </w:rPr>
  </w:style>
  <w:style w:type="character" w:styleId="CommentReference">
    <w:name w:val="annotation reference"/>
    <w:semiHidden/>
    <w:rsid w:val="004548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548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54864"/>
    <w:rPr>
      <w:b/>
      <w:bCs/>
    </w:rPr>
  </w:style>
  <w:style w:type="paragraph" w:styleId="BalloonText">
    <w:name w:val="Balloon Text"/>
    <w:basedOn w:val="Normal"/>
    <w:semiHidden/>
    <w:rsid w:val="004548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772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77229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DC006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C006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0F01C6"/>
    <w:pPr>
      <w:spacing w:after="200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0F01C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03C16"/>
    <w:rPr>
      <w:sz w:val="24"/>
      <w:szCs w:val="24"/>
    </w:rPr>
  </w:style>
  <w:style w:type="character" w:customStyle="1" w:styleId="CommentTextChar">
    <w:name w:val="Comment Text Char"/>
    <w:link w:val="CommentText"/>
    <w:semiHidden/>
    <w:rsid w:val="00A9031B"/>
  </w:style>
  <w:style w:type="paragraph" w:styleId="Revision">
    <w:name w:val="Revision"/>
    <w:hidden/>
    <w:uiPriority w:val="99"/>
    <w:semiHidden/>
    <w:rsid w:val="003616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DA6F-7D3C-4B9C-A61F-A01EFE1E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7427</Characters>
  <Application>Microsoft Office Word</Application>
  <DocSecurity>0</DocSecurity>
  <Lines>618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SUB-COMMITTEE</vt:lpstr>
    </vt:vector>
  </TitlesOfParts>
  <Company>NIO ISD Division</Company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SUB-COMMITTEE</dc:title>
  <dc:subject/>
  <dc:creator>Mullan, Helen</dc:creator>
  <cp:keywords/>
  <dc:description/>
  <cp:lastModifiedBy>Holterman, Claire</cp:lastModifiedBy>
  <cp:revision>2</cp:revision>
  <cp:lastPrinted>2019-11-12T11:35:00Z</cp:lastPrinted>
  <dcterms:created xsi:type="dcterms:W3CDTF">2022-06-13T14:49:00Z</dcterms:created>
  <dcterms:modified xsi:type="dcterms:W3CDTF">2022-06-13T14:49:00Z</dcterms:modified>
</cp:coreProperties>
</file>