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4F" w:rsidRDefault="00414B4F" w:rsidP="00414B4F">
      <w:pPr>
        <w:autoSpaceDE w:val="0"/>
        <w:autoSpaceDN w:val="0"/>
        <w:adjustRightInd w:val="0"/>
        <w:rPr>
          <w:rFonts w:ascii="Arial" w:hAnsi="Arial" w:cs="Arial"/>
          <w:b/>
          <w:color w:val="000000"/>
        </w:rPr>
      </w:pPr>
      <w:r>
        <w:rPr>
          <w:rFonts w:ascii="Arial" w:hAnsi="Arial" w:cs="Arial"/>
          <w:b/>
          <w:color w:val="000000"/>
        </w:rPr>
        <w:t xml:space="preserve">Agricultural Research and Development Scheme (Northern Ireland) </w:t>
      </w:r>
      <w:r w:rsidR="00776443">
        <w:rPr>
          <w:rFonts w:ascii="Arial" w:hAnsi="Arial" w:cs="Arial"/>
          <w:b/>
          <w:color w:val="000000"/>
        </w:rPr>
        <w:t>2024-20</w:t>
      </w:r>
      <w:r w:rsidR="00030D3E">
        <w:rPr>
          <w:rFonts w:ascii="Arial" w:hAnsi="Arial" w:cs="Arial"/>
          <w:b/>
          <w:color w:val="000000"/>
        </w:rPr>
        <w:t>29</w:t>
      </w:r>
    </w:p>
    <w:p w:rsidR="00414B4F" w:rsidRDefault="00414B4F" w:rsidP="00414B4F">
      <w:pPr>
        <w:autoSpaceDE w:val="0"/>
        <w:autoSpaceDN w:val="0"/>
        <w:adjustRightInd w:val="0"/>
        <w:rPr>
          <w:rFonts w:ascii="Arial" w:hAnsi="Arial" w:cs="Arial"/>
          <w:b/>
          <w:color w:val="000000"/>
        </w:rPr>
      </w:pPr>
    </w:p>
    <w:p w:rsidR="008F0E0B" w:rsidRPr="00790BEB" w:rsidRDefault="008F0E0B" w:rsidP="00790BEB">
      <w:pPr>
        <w:rPr>
          <w:rFonts w:ascii="Arial" w:hAnsi="Arial" w:cs="Arial"/>
        </w:rPr>
      </w:pPr>
    </w:p>
    <w:p w:rsidR="008F0E0B" w:rsidRPr="00790BEB" w:rsidRDefault="008F0E0B" w:rsidP="006E4D71">
      <w:pPr>
        <w:pStyle w:val="ListParagraph"/>
        <w:numPr>
          <w:ilvl w:val="0"/>
          <w:numId w:val="4"/>
        </w:numPr>
        <w:autoSpaceDE w:val="0"/>
        <w:autoSpaceDN w:val="0"/>
        <w:adjustRightInd w:val="0"/>
        <w:spacing w:after="120"/>
        <w:ind w:left="567" w:right="20" w:hanging="567"/>
        <w:contextualSpacing/>
        <w:outlineLvl w:val="0"/>
        <w:rPr>
          <w:rFonts w:ascii="Arial" w:hAnsi="Arial" w:cs="Arial"/>
          <w:b/>
          <w:bCs/>
          <w:color w:val="000000"/>
          <w:sz w:val="24"/>
          <w:szCs w:val="24"/>
        </w:rPr>
      </w:pPr>
      <w:r w:rsidRPr="00790BEB">
        <w:rPr>
          <w:rFonts w:ascii="Arial" w:hAnsi="Arial" w:cs="Arial"/>
          <w:b/>
          <w:bCs/>
          <w:color w:val="000000"/>
          <w:sz w:val="24"/>
          <w:szCs w:val="24"/>
        </w:rPr>
        <w:t xml:space="preserve">Background </w:t>
      </w:r>
    </w:p>
    <w:p w:rsidR="008F0E0B" w:rsidRPr="00790BEB" w:rsidRDefault="008F0E0B" w:rsidP="006E4D71">
      <w:pPr>
        <w:autoSpaceDE w:val="0"/>
        <w:autoSpaceDN w:val="0"/>
        <w:adjustRightInd w:val="0"/>
        <w:spacing w:after="120"/>
        <w:ind w:left="567" w:right="20" w:hanging="567"/>
        <w:outlineLvl w:val="0"/>
        <w:rPr>
          <w:rFonts w:ascii="Arial" w:hAnsi="Arial" w:cs="Arial"/>
          <w:color w:val="000000"/>
        </w:rPr>
      </w:pPr>
    </w:p>
    <w:p w:rsidR="00FB2571" w:rsidRPr="00FB2571" w:rsidRDefault="008F0E0B"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790BEB">
        <w:rPr>
          <w:rFonts w:ascii="Arial" w:hAnsi="Arial" w:cs="Arial"/>
          <w:color w:val="000000"/>
          <w:sz w:val="24"/>
          <w:szCs w:val="24"/>
        </w:rPr>
        <w:t>The Department of Agriculture</w:t>
      </w:r>
      <w:r w:rsidR="00776443">
        <w:rPr>
          <w:rFonts w:ascii="Arial" w:hAnsi="Arial" w:cs="Arial"/>
          <w:color w:val="000000"/>
          <w:sz w:val="24"/>
          <w:szCs w:val="24"/>
        </w:rPr>
        <w:t>, Environment and Rural Affairs (DAERA)</w:t>
      </w:r>
      <w:r w:rsidRPr="00790BEB">
        <w:rPr>
          <w:rFonts w:ascii="Arial" w:hAnsi="Arial" w:cs="Arial"/>
          <w:color w:val="000000"/>
          <w:sz w:val="24"/>
          <w:szCs w:val="24"/>
        </w:rPr>
        <w:t xml:space="preserve"> </w:t>
      </w:r>
      <w:r w:rsidRPr="00790BEB">
        <w:rPr>
          <w:rFonts w:ascii="Arial" w:hAnsi="Arial" w:cs="Arial"/>
          <w:sz w:val="24"/>
          <w:szCs w:val="24"/>
        </w:rPr>
        <w:t>h</w:t>
      </w:r>
      <w:r w:rsidRPr="00790BEB">
        <w:rPr>
          <w:rFonts w:ascii="Arial" w:hAnsi="Arial" w:cs="Arial"/>
          <w:sz w:val="24"/>
          <w:szCs w:val="24"/>
          <w:lang w:eastAsia="en-US"/>
        </w:rPr>
        <w:t xml:space="preserve">as </w:t>
      </w:r>
      <w:r w:rsidR="00776443">
        <w:rPr>
          <w:rFonts w:ascii="Arial" w:hAnsi="Arial" w:cs="Arial"/>
          <w:sz w:val="24"/>
          <w:szCs w:val="24"/>
          <w:lang w:eastAsia="en-US"/>
        </w:rPr>
        <w:t xml:space="preserve">“sustainability at the heart of a living, working active landscape valued by everyone” </w:t>
      </w:r>
      <w:r w:rsidRPr="00790BEB">
        <w:rPr>
          <w:rFonts w:ascii="Arial" w:hAnsi="Arial" w:cs="Arial"/>
          <w:sz w:val="24"/>
          <w:szCs w:val="24"/>
          <w:lang w:eastAsia="en-US"/>
        </w:rPr>
        <w:t>as its Strategic Vision. To ensure that the Department’s policy and operational activities are appropriately designed and targeted to achieve this Vision, it needs sound scientific evidence across the full range of its responsibilities.</w:t>
      </w:r>
      <w:r w:rsidR="00FB2571">
        <w:rPr>
          <w:rFonts w:ascii="Arial" w:hAnsi="Arial" w:cs="Arial"/>
          <w:sz w:val="24"/>
          <w:szCs w:val="24"/>
          <w:lang w:eastAsia="en-US"/>
        </w:rPr>
        <w:t xml:space="preserve">  </w:t>
      </w:r>
    </w:p>
    <w:p w:rsidR="00FB2571" w:rsidRPr="00FB2571" w:rsidRDefault="00FB2571" w:rsidP="00FB2571">
      <w:pPr>
        <w:pStyle w:val="ListParagraph"/>
        <w:autoSpaceDE w:val="0"/>
        <w:autoSpaceDN w:val="0"/>
        <w:adjustRightInd w:val="0"/>
        <w:ind w:left="567"/>
        <w:contextualSpacing/>
        <w:jc w:val="both"/>
        <w:rPr>
          <w:rFonts w:ascii="Arial" w:eastAsia="Times New Roman" w:hAnsi="Arial" w:cs="Arial"/>
          <w:color w:val="000000"/>
          <w:sz w:val="24"/>
          <w:szCs w:val="24"/>
        </w:rPr>
      </w:pPr>
    </w:p>
    <w:p w:rsidR="00D6137E" w:rsidRPr="00D6137E"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FB2571">
        <w:rPr>
          <w:rFonts w:ascii="Arial" w:hAnsi="Arial" w:cs="Arial"/>
          <w:sz w:val="24"/>
          <w:szCs w:val="24"/>
          <w:lang w:eastAsia="en-US"/>
        </w:rPr>
        <w:t>DAERA recognises the strategic importance of science in addressing the wider economic, environmental and social challenges associated with growing and re-balancing the NI economy. It wants t</w:t>
      </w:r>
      <w:r>
        <w:rPr>
          <w:rFonts w:ascii="Arial" w:hAnsi="Arial" w:cs="Arial"/>
          <w:sz w:val="24"/>
          <w:szCs w:val="24"/>
          <w:lang w:eastAsia="en-US"/>
        </w:rPr>
        <w:t xml:space="preserve">o support a knowledge based bio-economy </w:t>
      </w:r>
      <w:r w:rsidRPr="00FB2571">
        <w:rPr>
          <w:rFonts w:ascii="Arial" w:hAnsi="Arial" w:cs="Arial"/>
          <w:sz w:val="24"/>
          <w:szCs w:val="24"/>
          <w:lang w:eastAsia="en-US"/>
        </w:rPr>
        <w:t xml:space="preserve">which will help agriculture and </w:t>
      </w:r>
      <w:proofErr w:type="spellStart"/>
      <w:r w:rsidRPr="00FB2571">
        <w:rPr>
          <w:rFonts w:ascii="Arial" w:hAnsi="Arial" w:cs="Arial"/>
          <w:sz w:val="24"/>
          <w:szCs w:val="24"/>
          <w:lang w:eastAsia="en-US"/>
        </w:rPr>
        <w:t>agri</w:t>
      </w:r>
      <w:proofErr w:type="spellEnd"/>
      <w:r w:rsidRPr="00FB2571">
        <w:rPr>
          <w:rFonts w:ascii="Arial" w:hAnsi="Arial" w:cs="Arial"/>
          <w:sz w:val="24"/>
          <w:szCs w:val="24"/>
          <w:lang w:eastAsia="en-US"/>
        </w:rPr>
        <w:t>-food businesses become economically, environmentally and socially sustainable; support economic growth in rural areas; and assure the protection and enhancement of the environment to safeguard wellbeing and health</w:t>
      </w:r>
      <w:r w:rsidR="00D6137E">
        <w:rPr>
          <w:rFonts w:ascii="Arial" w:hAnsi="Arial" w:cs="Arial"/>
          <w:sz w:val="24"/>
          <w:szCs w:val="24"/>
          <w:lang w:eastAsia="en-US"/>
        </w:rPr>
        <w:t>.</w:t>
      </w:r>
    </w:p>
    <w:p w:rsidR="00D6137E" w:rsidRPr="00D6137E" w:rsidRDefault="00D6137E" w:rsidP="00D6137E">
      <w:pPr>
        <w:pStyle w:val="ListParagraph"/>
        <w:rPr>
          <w:rFonts w:ascii="Arial" w:hAnsi="Arial" w:cs="Arial"/>
          <w:sz w:val="24"/>
          <w:szCs w:val="24"/>
          <w:lang w:eastAsia="en-US"/>
        </w:rPr>
      </w:pPr>
    </w:p>
    <w:p w:rsidR="00FB2571" w:rsidRDefault="00FB2571" w:rsidP="00FB2571">
      <w:pPr>
        <w:pStyle w:val="ListParagraph"/>
        <w:numPr>
          <w:ilvl w:val="1"/>
          <w:numId w:val="4"/>
        </w:numPr>
        <w:autoSpaceDE w:val="0"/>
        <w:autoSpaceDN w:val="0"/>
        <w:adjustRightInd w:val="0"/>
        <w:ind w:left="567" w:hanging="567"/>
        <w:contextualSpacing/>
        <w:jc w:val="both"/>
        <w:rPr>
          <w:rFonts w:ascii="Arial" w:hAnsi="Arial" w:cs="Arial"/>
          <w:sz w:val="24"/>
          <w:szCs w:val="24"/>
          <w:lang w:eastAsia="en-US"/>
        </w:rPr>
      </w:pPr>
      <w:r w:rsidRPr="00FB2571">
        <w:rPr>
          <w:rFonts w:ascii="Arial" w:hAnsi="Arial" w:cs="Arial"/>
          <w:sz w:val="24"/>
          <w:szCs w:val="24"/>
          <w:lang w:eastAsia="en-US"/>
        </w:rPr>
        <w:t>The DAERA Science Strategy F</w:t>
      </w:r>
      <w:r>
        <w:rPr>
          <w:rFonts w:ascii="Arial" w:hAnsi="Arial" w:cs="Arial"/>
          <w:sz w:val="24"/>
          <w:szCs w:val="24"/>
          <w:lang w:eastAsia="en-US"/>
        </w:rPr>
        <w:t>r</w:t>
      </w:r>
      <w:r w:rsidRPr="00FB2571">
        <w:rPr>
          <w:rFonts w:ascii="Arial" w:hAnsi="Arial" w:cs="Arial"/>
          <w:sz w:val="24"/>
          <w:szCs w:val="24"/>
          <w:lang w:eastAsia="en-US"/>
        </w:rPr>
        <w:t>amework</w:t>
      </w:r>
      <w:r>
        <w:rPr>
          <w:rStyle w:val="FootnoteReference"/>
          <w:rFonts w:ascii="Arial" w:hAnsi="Arial" w:cs="Arial"/>
          <w:sz w:val="24"/>
          <w:szCs w:val="24"/>
          <w:lang w:eastAsia="en-US"/>
        </w:rPr>
        <w:footnoteReference w:id="1"/>
      </w:r>
      <w:r w:rsidRPr="00FB2571">
        <w:rPr>
          <w:rFonts w:ascii="Arial" w:hAnsi="Arial" w:cs="Arial"/>
          <w:sz w:val="24"/>
          <w:szCs w:val="24"/>
          <w:lang w:eastAsia="en-US"/>
        </w:rPr>
        <w:t xml:space="preserve"> outlines a set of high level, long-term principles for DAERA to optimise its use of science to help deliver Departmental and Programme for Government objectives. It also outlines key actions for DAERA to better identify, prioritise, commission and evaluate scientific services required, so that we optimise the value gained from our investment in science.</w:t>
      </w:r>
    </w:p>
    <w:p w:rsidR="00FB2571" w:rsidRDefault="00FB2571" w:rsidP="00FB2571">
      <w:pPr>
        <w:pStyle w:val="ListParagraph"/>
        <w:autoSpaceDE w:val="0"/>
        <w:autoSpaceDN w:val="0"/>
        <w:adjustRightInd w:val="0"/>
        <w:ind w:left="567"/>
        <w:contextualSpacing/>
        <w:jc w:val="both"/>
        <w:rPr>
          <w:rFonts w:ascii="Arial" w:hAnsi="Arial" w:cs="Arial"/>
          <w:sz w:val="24"/>
          <w:szCs w:val="24"/>
          <w:lang w:eastAsia="en-US"/>
        </w:rPr>
      </w:pPr>
    </w:p>
    <w:p w:rsidR="00FB2571"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FB2571">
        <w:rPr>
          <w:rFonts w:ascii="Arial" w:eastAsia="Times New Roman" w:hAnsi="Arial" w:cs="Arial"/>
          <w:color w:val="000000"/>
          <w:sz w:val="24"/>
          <w:szCs w:val="24"/>
        </w:rPr>
        <w:t>The DAERA Research and Development Strategy</w:t>
      </w:r>
      <w:r>
        <w:rPr>
          <w:rStyle w:val="FootnoteReference"/>
          <w:rFonts w:ascii="Arial" w:eastAsia="Times New Roman" w:hAnsi="Arial" w:cs="Arial"/>
          <w:color w:val="000000"/>
          <w:sz w:val="24"/>
          <w:szCs w:val="24"/>
        </w:rPr>
        <w:footnoteReference w:id="2"/>
      </w:r>
      <w:r w:rsidRPr="00FB2571">
        <w:rPr>
          <w:rFonts w:ascii="Arial" w:eastAsia="Times New Roman" w:hAnsi="Arial" w:cs="Arial"/>
          <w:color w:val="000000"/>
          <w:sz w:val="24"/>
          <w:szCs w:val="24"/>
        </w:rPr>
        <w:t xml:space="preserve"> is one of three operational strategies of the DAERA Science Strategy Framework. It focuses on three key goals related to getting the best R&amp;D, at the best value and make the best use of it to support the achievement of the DAERA purpose.</w:t>
      </w:r>
    </w:p>
    <w:p w:rsidR="00FB2571" w:rsidRPr="00FB2571" w:rsidRDefault="00FB2571" w:rsidP="00FB2571">
      <w:pPr>
        <w:autoSpaceDE w:val="0"/>
        <w:autoSpaceDN w:val="0"/>
        <w:adjustRightInd w:val="0"/>
        <w:contextualSpacing/>
        <w:jc w:val="both"/>
        <w:rPr>
          <w:rFonts w:ascii="Arial" w:hAnsi="Arial" w:cs="Arial"/>
          <w:color w:val="000000"/>
        </w:rPr>
      </w:pPr>
    </w:p>
    <w:p w:rsidR="00FB2571" w:rsidRPr="00FB2571"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Pr>
          <w:rFonts w:ascii="Arial" w:eastAsia="Times New Roman" w:hAnsi="Arial" w:cs="Arial"/>
          <w:color w:val="000000"/>
          <w:sz w:val="24"/>
          <w:szCs w:val="24"/>
        </w:rPr>
        <w:t>This</w:t>
      </w:r>
      <w:r w:rsidRPr="00FB2571">
        <w:rPr>
          <w:rFonts w:ascii="Arial" w:eastAsia="Times New Roman" w:hAnsi="Arial" w:cs="Arial"/>
          <w:color w:val="000000"/>
          <w:sz w:val="24"/>
          <w:szCs w:val="24"/>
        </w:rPr>
        <w:t xml:space="preserve"> Strategy outlines a mission for DAERA, defines high level principles to be adopted and describes the desired end-state goals to be achieved in terms of more effective governance, understanding needs, providing assurance of best value in our investments and optimising use of research outputs. It also defines milestones to reach the goals including developing effective stakeholder engagement mechanisms, and implementing new governance processes</w:t>
      </w:r>
    </w:p>
    <w:p w:rsidR="008F0E0B" w:rsidRPr="006F3C69" w:rsidRDefault="008F0E0B" w:rsidP="00FB2571">
      <w:pPr>
        <w:pStyle w:val="ListParagraph"/>
        <w:autoSpaceDE w:val="0"/>
        <w:autoSpaceDN w:val="0"/>
        <w:adjustRightInd w:val="0"/>
        <w:contextualSpacing/>
        <w:rPr>
          <w:rFonts w:ascii="Arial" w:hAnsi="Arial" w:cs="Arial"/>
          <w:color w:val="000000"/>
        </w:rPr>
      </w:pPr>
    </w:p>
    <w:p w:rsidR="008F0E0B" w:rsidRPr="00790BEB" w:rsidRDefault="008F0E0B" w:rsidP="006E4D71">
      <w:pPr>
        <w:pStyle w:val="ListParagraph"/>
        <w:numPr>
          <w:ilvl w:val="0"/>
          <w:numId w:val="4"/>
        </w:numPr>
        <w:autoSpaceDE w:val="0"/>
        <w:autoSpaceDN w:val="0"/>
        <w:adjustRightInd w:val="0"/>
        <w:ind w:left="567" w:hanging="567"/>
        <w:contextualSpacing/>
        <w:rPr>
          <w:rFonts w:ascii="Arial" w:hAnsi="Arial" w:cs="Arial"/>
          <w:b/>
          <w:color w:val="000000"/>
          <w:sz w:val="24"/>
          <w:szCs w:val="24"/>
        </w:rPr>
      </w:pPr>
      <w:r w:rsidRPr="00790BEB">
        <w:rPr>
          <w:rFonts w:ascii="Arial" w:hAnsi="Arial" w:cs="Arial"/>
          <w:b/>
          <w:color w:val="000000"/>
          <w:sz w:val="24"/>
          <w:szCs w:val="24"/>
        </w:rPr>
        <w:t xml:space="preserve">Scheme </w:t>
      </w:r>
      <w:r w:rsidR="00384C5F">
        <w:rPr>
          <w:rFonts w:ascii="Arial" w:hAnsi="Arial" w:cs="Arial"/>
          <w:b/>
          <w:color w:val="000000"/>
          <w:sz w:val="24"/>
          <w:szCs w:val="24"/>
        </w:rPr>
        <w:t>Overview</w:t>
      </w:r>
    </w:p>
    <w:p w:rsidR="008F0E0B" w:rsidRPr="00790BEB" w:rsidRDefault="008F0E0B" w:rsidP="006E4D71">
      <w:pPr>
        <w:pStyle w:val="ListParagraph"/>
        <w:autoSpaceDE w:val="0"/>
        <w:autoSpaceDN w:val="0"/>
        <w:adjustRightInd w:val="0"/>
        <w:ind w:left="567" w:hanging="567"/>
        <w:rPr>
          <w:rFonts w:ascii="Arial" w:hAnsi="Arial" w:cs="Arial"/>
          <w:b/>
          <w:color w:val="000000"/>
          <w:sz w:val="24"/>
          <w:szCs w:val="24"/>
        </w:rPr>
      </w:pPr>
    </w:p>
    <w:p w:rsidR="003707E0" w:rsidRPr="003707E0" w:rsidRDefault="003707E0" w:rsidP="00867E1B">
      <w:pPr>
        <w:pStyle w:val="ListParagraph"/>
        <w:numPr>
          <w:ilvl w:val="1"/>
          <w:numId w:val="4"/>
        </w:numPr>
        <w:autoSpaceDE w:val="0"/>
        <w:autoSpaceDN w:val="0"/>
        <w:adjustRightInd w:val="0"/>
        <w:ind w:left="567" w:hanging="567"/>
        <w:contextualSpacing/>
        <w:jc w:val="both"/>
        <w:rPr>
          <w:rFonts w:ascii="Arial" w:hAnsi="Arial" w:cs="Arial"/>
          <w:color w:val="000000"/>
        </w:rPr>
      </w:pPr>
      <w:r w:rsidRPr="003707E0">
        <w:rPr>
          <w:rFonts w:ascii="Arial" w:hAnsi="Arial" w:cs="Arial"/>
          <w:color w:val="000000"/>
          <w:sz w:val="24"/>
          <w:szCs w:val="24"/>
        </w:rPr>
        <w:lastRenderedPageBreak/>
        <w:t>The Agricultural Research and Development Scheme (Northern Ireland) 2024-2029 will commission and fund research and development activities in the agricultural sector.  This research and development will concern only products listed in Annex I of the EC Treaty</w:t>
      </w:r>
      <w:r w:rsidRPr="00790BEB">
        <w:rPr>
          <w:rStyle w:val="FootnoteReference"/>
          <w:rFonts w:ascii="Arial" w:hAnsi="Arial" w:cs="Arial"/>
          <w:color w:val="000000"/>
          <w:sz w:val="24"/>
          <w:szCs w:val="24"/>
        </w:rPr>
        <w:footnoteReference w:id="3"/>
      </w:r>
      <w:r w:rsidRPr="003707E0">
        <w:rPr>
          <w:rFonts w:ascii="Arial" w:hAnsi="Arial" w:cs="Arial"/>
          <w:color w:val="000000"/>
          <w:sz w:val="24"/>
          <w:szCs w:val="24"/>
        </w:rPr>
        <w:t>.  The work will be undertaken in compliance with “agricultural block exemption” Regulation (EU) 702/2014, in particular Article 31</w:t>
      </w:r>
      <w:r w:rsidRPr="00790BEB">
        <w:rPr>
          <w:rStyle w:val="FootnoteReference"/>
          <w:rFonts w:ascii="Arial" w:hAnsi="Arial" w:cs="Arial"/>
          <w:color w:val="000000"/>
          <w:sz w:val="24"/>
          <w:szCs w:val="24"/>
        </w:rPr>
        <w:footnoteReference w:id="4"/>
      </w:r>
      <w:r w:rsidRPr="003707E0">
        <w:rPr>
          <w:rFonts w:ascii="Arial" w:hAnsi="Arial" w:cs="Arial"/>
          <w:color w:val="000000"/>
          <w:sz w:val="24"/>
          <w:szCs w:val="24"/>
        </w:rPr>
        <w:t>.</w:t>
      </w:r>
    </w:p>
    <w:p w:rsidR="003707E0" w:rsidRPr="003707E0" w:rsidRDefault="003707E0" w:rsidP="003707E0">
      <w:pPr>
        <w:pStyle w:val="ListParagraph"/>
        <w:autoSpaceDE w:val="0"/>
        <w:autoSpaceDN w:val="0"/>
        <w:adjustRightInd w:val="0"/>
        <w:ind w:left="567"/>
        <w:contextualSpacing/>
        <w:jc w:val="both"/>
        <w:rPr>
          <w:rFonts w:ascii="Arial" w:hAnsi="Arial" w:cs="Arial"/>
          <w:color w:val="000000"/>
        </w:rPr>
      </w:pPr>
    </w:p>
    <w:p w:rsidR="008F0E0B" w:rsidRPr="003707E0" w:rsidRDefault="003707E0" w:rsidP="00867E1B">
      <w:pPr>
        <w:pStyle w:val="ListParagraph"/>
        <w:numPr>
          <w:ilvl w:val="1"/>
          <w:numId w:val="4"/>
        </w:numPr>
        <w:autoSpaceDE w:val="0"/>
        <w:autoSpaceDN w:val="0"/>
        <w:adjustRightInd w:val="0"/>
        <w:ind w:left="567" w:hanging="567"/>
        <w:contextualSpacing/>
        <w:jc w:val="both"/>
        <w:rPr>
          <w:rFonts w:ascii="Arial" w:hAnsi="Arial" w:cs="Arial"/>
          <w:color w:val="000000"/>
        </w:rPr>
      </w:pPr>
      <w:r w:rsidRPr="003707E0">
        <w:rPr>
          <w:rFonts w:ascii="Arial" w:hAnsi="Arial" w:cs="Arial"/>
          <w:color w:val="000000"/>
          <w:sz w:val="24"/>
          <w:szCs w:val="24"/>
        </w:rPr>
        <w:t xml:space="preserve">The Scheme forms part of a wider-ranging work programme agreed with the research organisation as explained in paragraph 3.3 below.  </w:t>
      </w:r>
      <w:r w:rsidR="008F0E0B" w:rsidRPr="003707E0">
        <w:rPr>
          <w:rFonts w:ascii="Arial" w:hAnsi="Arial" w:cs="Arial"/>
          <w:color w:val="000000"/>
        </w:rPr>
        <w:br/>
      </w:r>
      <w:r w:rsidR="008F0E0B" w:rsidRPr="003707E0">
        <w:rPr>
          <w:rFonts w:ascii="Arial" w:hAnsi="Arial" w:cs="Arial"/>
          <w:color w:val="000000"/>
        </w:rPr>
        <w:br/>
      </w:r>
    </w:p>
    <w:p w:rsidR="008F0E0B" w:rsidRPr="0027444A" w:rsidRDefault="008F0E0B" w:rsidP="006E4D71">
      <w:pPr>
        <w:pStyle w:val="ListParagraph"/>
        <w:numPr>
          <w:ilvl w:val="0"/>
          <w:numId w:val="4"/>
        </w:numPr>
        <w:ind w:left="567" w:hanging="567"/>
        <w:contextualSpacing/>
        <w:outlineLvl w:val="0"/>
        <w:rPr>
          <w:rFonts w:ascii="Arial" w:hAnsi="Arial" w:cs="Arial"/>
          <w:b/>
          <w:color w:val="000000"/>
          <w:sz w:val="24"/>
          <w:szCs w:val="24"/>
        </w:rPr>
      </w:pPr>
      <w:r w:rsidRPr="0027444A">
        <w:rPr>
          <w:rFonts w:ascii="Arial" w:hAnsi="Arial" w:cs="Arial"/>
          <w:b/>
          <w:color w:val="000000"/>
          <w:sz w:val="24"/>
          <w:szCs w:val="24"/>
        </w:rPr>
        <w:t>Research Organisation</w:t>
      </w:r>
      <w:r w:rsidR="008E4915">
        <w:rPr>
          <w:rFonts w:ascii="Arial" w:hAnsi="Arial" w:cs="Arial"/>
          <w:b/>
          <w:color w:val="000000"/>
          <w:sz w:val="24"/>
          <w:szCs w:val="24"/>
        </w:rPr>
        <w:t>s</w:t>
      </w:r>
    </w:p>
    <w:p w:rsidR="008F0E0B" w:rsidRPr="00790BEB" w:rsidRDefault="008F0E0B" w:rsidP="006E4D71">
      <w:pPr>
        <w:pStyle w:val="ListParagraph"/>
        <w:ind w:left="567" w:hanging="567"/>
        <w:outlineLvl w:val="0"/>
        <w:rPr>
          <w:rFonts w:ascii="Arial" w:hAnsi="Arial" w:cs="Arial"/>
          <w:color w:val="000000"/>
          <w:sz w:val="24"/>
          <w:szCs w:val="24"/>
        </w:rPr>
      </w:pPr>
    </w:p>
    <w:p w:rsidR="003707E0" w:rsidRPr="003707E0" w:rsidRDefault="003707E0" w:rsidP="003707E0">
      <w:pPr>
        <w:pStyle w:val="ListParagraph"/>
        <w:numPr>
          <w:ilvl w:val="1"/>
          <w:numId w:val="4"/>
        </w:numPr>
        <w:ind w:hanging="720"/>
        <w:contextualSpacing/>
        <w:jc w:val="both"/>
        <w:outlineLvl w:val="0"/>
        <w:rPr>
          <w:rFonts w:ascii="Arial" w:hAnsi="Arial" w:cs="Arial"/>
          <w:color w:val="000000"/>
          <w:sz w:val="24"/>
          <w:szCs w:val="24"/>
        </w:rPr>
      </w:pPr>
      <w:r w:rsidRPr="003707E0">
        <w:rPr>
          <w:rFonts w:ascii="Arial" w:hAnsi="Arial" w:cs="Arial"/>
          <w:color w:val="000000"/>
          <w:sz w:val="24"/>
          <w:szCs w:val="24"/>
        </w:rPr>
        <w:t xml:space="preserve">All work relevant to the Scheme will be commissioned from the following research and knowledge- dissemination organisations - </w:t>
      </w:r>
      <w:proofErr w:type="spellStart"/>
      <w:r w:rsidRPr="003707E0">
        <w:rPr>
          <w:rFonts w:ascii="Arial" w:hAnsi="Arial" w:cs="Arial"/>
          <w:color w:val="000000"/>
          <w:sz w:val="24"/>
          <w:szCs w:val="24"/>
        </w:rPr>
        <w:t>Agri</w:t>
      </w:r>
      <w:proofErr w:type="spellEnd"/>
      <w:r w:rsidRPr="003707E0">
        <w:rPr>
          <w:rFonts w:ascii="Arial" w:hAnsi="Arial" w:cs="Arial"/>
          <w:color w:val="000000"/>
          <w:sz w:val="24"/>
          <w:szCs w:val="24"/>
        </w:rPr>
        <w:t xml:space="preserve">-Food &amp; Biosciences Institute (AFBI) which is a Non-Departmental Public Body (NDPB) established by the Agriculture (Northern Ireland) Order 2004 (the Order), The Queen’s University of Belfast and Ulster University both of which are public research universities. </w:t>
      </w:r>
    </w:p>
    <w:p w:rsidR="003707E0" w:rsidRPr="003707E0" w:rsidRDefault="003707E0" w:rsidP="003707E0">
      <w:pPr>
        <w:pStyle w:val="ListParagraph"/>
        <w:contextualSpacing/>
        <w:jc w:val="both"/>
        <w:outlineLvl w:val="0"/>
        <w:rPr>
          <w:rFonts w:ascii="Arial" w:hAnsi="Arial" w:cs="Arial"/>
          <w:color w:val="000000"/>
          <w:sz w:val="24"/>
          <w:szCs w:val="24"/>
        </w:rPr>
      </w:pPr>
    </w:p>
    <w:p w:rsidR="003707E0" w:rsidRPr="003707E0" w:rsidRDefault="003707E0" w:rsidP="003707E0">
      <w:pPr>
        <w:pStyle w:val="ListParagraph"/>
        <w:numPr>
          <w:ilvl w:val="1"/>
          <w:numId w:val="4"/>
        </w:numPr>
        <w:ind w:hanging="720"/>
        <w:contextualSpacing/>
        <w:jc w:val="both"/>
        <w:outlineLvl w:val="0"/>
        <w:rPr>
          <w:rFonts w:ascii="Arial" w:hAnsi="Arial" w:cs="Arial"/>
          <w:color w:val="000000"/>
          <w:sz w:val="24"/>
          <w:szCs w:val="24"/>
        </w:rPr>
      </w:pPr>
      <w:r w:rsidRPr="003707E0">
        <w:rPr>
          <w:rFonts w:ascii="Arial" w:hAnsi="Arial" w:cs="Arial"/>
          <w:color w:val="000000"/>
          <w:sz w:val="24"/>
          <w:szCs w:val="24"/>
        </w:rPr>
        <w:t>AFBI carries out high technology research and development, statutory, analytical, and diagnostic testing functions for DAERA and other Government departments, public bodies and commercial companies. AFBI's NDPB status enables it to be innovative and entrepreneurial in its approach to business development.  AFBI is forging new partnerships with other scientific institutes and research organisations and extending the range of services it offers.  This enables AFBI’s unique breadth of scientific capabilities in the areas of agriculture, animal health, food, environment and biosciences to be offered to a wider prospective national and international customer base.  AFBI is managed by an independent Board which is also responsible for monitoring its performance.</w:t>
      </w:r>
    </w:p>
    <w:p w:rsidR="003707E0" w:rsidRPr="003707E0" w:rsidRDefault="003707E0" w:rsidP="003707E0">
      <w:pPr>
        <w:pStyle w:val="ListParagraph"/>
        <w:contextualSpacing/>
        <w:jc w:val="both"/>
        <w:outlineLvl w:val="0"/>
        <w:rPr>
          <w:rFonts w:ascii="Arial" w:hAnsi="Arial" w:cs="Arial"/>
          <w:color w:val="000000"/>
          <w:sz w:val="24"/>
          <w:szCs w:val="24"/>
        </w:rPr>
      </w:pPr>
    </w:p>
    <w:p w:rsidR="003707E0" w:rsidRPr="003707E0" w:rsidRDefault="003707E0" w:rsidP="003707E0">
      <w:pPr>
        <w:pStyle w:val="ListParagraph"/>
        <w:numPr>
          <w:ilvl w:val="1"/>
          <w:numId w:val="4"/>
        </w:numPr>
        <w:ind w:hanging="720"/>
        <w:contextualSpacing/>
        <w:jc w:val="both"/>
        <w:outlineLvl w:val="0"/>
        <w:rPr>
          <w:rFonts w:ascii="Arial" w:hAnsi="Arial" w:cs="Arial"/>
          <w:color w:val="000000"/>
          <w:sz w:val="24"/>
          <w:szCs w:val="24"/>
        </w:rPr>
      </w:pPr>
      <w:r w:rsidRPr="003707E0">
        <w:rPr>
          <w:rFonts w:ascii="Arial" w:hAnsi="Arial" w:cs="Arial"/>
          <w:color w:val="000000"/>
          <w:sz w:val="24"/>
          <w:szCs w:val="24"/>
        </w:rPr>
        <w:t xml:space="preserve">Article 4(1) of the Order requires AFBI to carry out such scientific work as may be assigned to it by DAERA.  Each year DAERA directs a programme of Research and Development (R&amp;D) which AFBI must undertake. All research and development funded under this Scheme must be included in an annual work programme. </w:t>
      </w:r>
    </w:p>
    <w:p w:rsidR="003707E0" w:rsidRPr="003707E0" w:rsidRDefault="003707E0" w:rsidP="003707E0">
      <w:pPr>
        <w:pStyle w:val="ListParagraph"/>
        <w:contextualSpacing/>
        <w:jc w:val="both"/>
        <w:outlineLvl w:val="0"/>
        <w:rPr>
          <w:rFonts w:ascii="Arial" w:hAnsi="Arial" w:cs="Arial"/>
          <w:color w:val="000000"/>
          <w:sz w:val="24"/>
          <w:szCs w:val="24"/>
        </w:rPr>
      </w:pPr>
    </w:p>
    <w:p w:rsidR="003707E0" w:rsidRPr="003707E0" w:rsidRDefault="003707E0" w:rsidP="003707E0">
      <w:pPr>
        <w:pStyle w:val="ListParagraph"/>
        <w:numPr>
          <w:ilvl w:val="1"/>
          <w:numId w:val="4"/>
        </w:numPr>
        <w:ind w:hanging="720"/>
        <w:contextualSpacing/>
        <w:jc w:val="both"/>
        <w:outlineLvl w:val="0"/>
        <w:rPr>
          <w:rFonts w:ascii="Arial" w:hAnsi="Arial" w:cs="Arial"/>
          <w:color w:val="000000"/>
          <w:sz w:val="24"/>
          <w:szCs w:val="24"/>
        </w:rPr>
      </w:pPr>
      <w:r w:rsidRPr="003707E0">
        <w:rPr>
          <w:rFonts w:ascii="Arial" w:hAnsi="Arial" w:cs="Arial"/>
          <w:color w:val="000000"/>
          <w:sz w:val="24"/>
          <w:szCs w:val="24"/>
        </w:rPr>
        <w:t>The agricultural research and development detailed in this Scheme is included in the 2023/24 work programme and will be included in subsequent work programmes until the end of the Scheme. All programmes DAERA Directed AFBI Research Programmes relevant to this Scheme will be published on the DAERA Internet site below:</w:t>
      </w:r>
    </w:p>
    <w:p w:rsidR="003707E0" w:rsidRPr="003707E0" w:rsidRDefault="003707E0" w:rsidP="003707E0">
      <w:pPr>
        <w:pStyle w:val="ListParagraph"/>
        <w:contextualSpacing/>
        <w:jc w:val="both"/>
        <w:outlineLvl w:val="0"/>
        <w:rPr>
          <w:rFonts w:ascii="Arial" w:hAnsi="Arial" w:cs="Arial"/>
          <w:color w:val="000000"/>
          <w:sz w:val="24"/>
          <w:szCs w:val="24"/>
        </w:rPr>
      </w:pPr>
    </w:p>
    <w:p w:rsidR="003707E0" w:rsidRDefault="003707E0" w:rsidP="003707E0">
      <w:pPr>
        <w:ind w:left="2160" w:hanging="1440"/>
        <w:contextualSpacing/>
        <w:jc w:val="both"/>
        <w:outlineLvl w:val="0"/>
        <w:rPr>
          <w:rFonts w:ascii="Arial" w:hAnsi="Arial" w:cs="Arial"/>
          <w:color w:val="000000"/>
        </w:rPr>
      </w:pPr>
      <w:r w:rsidRPr="003707E0">
        <w:rPr>
          <w:rFonts w:ascii="Arial" w:hAnsi="Arial" w:cs="Arial"/>
          <w:color w:val="000000"/>
        </w:rPr>
        <w:lastRenderedPageBreak/>
        <w:t xml:space="preserve">Link to: </w:t>
      </w:r>
      <w:r w:rsidRPr="003707E0">
        <w:rPr>
          <w:rFonts w:ascii="Arial" w:hAnsi="Arial" w:cs="Arial"/>
          <w:color w:val="000000"/>
        </w:rPr>
        <w:tab/>
      </w:r>
      <w:hyperlink r:id="rId8" w:history="1">
        <w:r w:rsidRPr="003707E0">
          <w:rPr>
            <w:color w:val="0000FF"/>
            <w:u w:val="single"/>
          </w:rPr>
          <w:t xml:space="preserve">DAERA directed </w:t>
        </w:r>
        <w:proofErr w:type="spellStart"/>
        <w:r w:rsidRPr="003707E0">
          <w:rPr>
            <w:color w:val="0000FF"/>
            <w:u w:val="single"/>
          </w:rPr>
          <w:t>Agri</w:t>
        </w:r>
        <w:proofErr w:type="spellEnd"/>
        <w:r w:rsidRPr="003707E0">
          <w:rPr>
            <w:color w:val="0000FF"/>
            <w:u w:val="single"/>
          </w:rPr>
          <w:t>-food and Biosciences Institute (AFBI) research work programme | Department of Agriculture, Environment and Rural Affairs (daera-ni.gov.uk)</w:t>
        </w:r>
      </w:hyperlink>
      <w:r w:rsidRPr="003707E0">
        <w:rPr>
          <w:rFonts w:ascii="Arial" w:hAnsi="Arial" w:cs="Arial"/>
          <w:color w:val="000000"/>
        </w:rPr>
        <w:t xml:space="preserve"> </w:t>
      </w:r>
    </w:p>
    <w:p w:rsidR="003707E0" w:rsidRPr="003707E0" w:rsidRDefault="003707E0" w:rsidP="003707E0">
      <w:pPr>
        <w:ind w:left="2160" w:hanging="1440"/>
        <w:contextualSpacing/>
        <w:jc w:val="both"/>
        <w:outlineLvl w:val="0"/>
        <w:rPr>
          <w:rFonts w:ascii="Arial" w:hAnsi="Arial" w:cs="Arial"/>
          <w:color w:val="000000"/>
        </w:rPr>
      </w:pPr>
    </w:p>
    <w:p w:rsidR="003707E0" w:rsidRPr="003707E0" w:rsidRDefault="003707E0" w:rsidP="003707E0">
      <w:pPr>
        <w:pStyle w:val="ListParagraph"/>
        <w:contextualSpacing/>
        <w:jc w:val="both"/>
        <w:outlineLvl w:val="0"/>
        <w:rPr>
          <w:rFonts w:ascii="Arial" w:hAnsi="Arial" w:cs="Arial"/>
          <w:color w:val="000000"/>
          <w:sz w:val="24"/>
          <w:szCs w:val="24"/>
        </w:rPr>
      </w:pPr>
      <w:r w:rsidRPr="003707E0">
        <w:rPr>
          <w:rFonts w:ascii="Arial" w:hAnsi="Arial" w:cs="Arial"/>
          <w:color w:val="000000"/>
          <w:sz w:val="24"/>
          <w:szCs w:val="24"/>
        </w:rPr>
        <w:t xml:space="preserve">Link to AFBI website: </w:t>
      </w:r>
      <w:hyperlink r:id="rId9" w:history="1">
        <w:r w:rsidRPr="00790BEB">
          <w:rPr>
            <w:rStyle w:val="Hyperlink"/>
            <w:rFonts w:ascii="Arial" w:hAnsi="Arial" w:cs="Arial"/>
          </w:rPr>
          <w:t>http://www.afbini.gov.uk/index/about-us.htm</w:t>
        </w:r>
      </w:hyperlink>
      <w:r w:rsidRPr="003707E0">
        <w:rPr>
          <w:rFonts w:ascii="Arial" w:hAnsi="Arial" w:cs="Arial"/>
          <w:color w:val="000000"/>
          <w:sz w:val="24"/>
          <w:szCs w:val="24"/>
        </w:rPr>
        <w:t xml:space="preserve"> </w:t>
      </w:r>
    </w:p>
    <w:p w:rsidR="008F0E0B" w:rsidRPr="00790BEB" w:rsidRDefault="008F0E0B" w:rsidP="00FB2571">
      <w:pPr>
        <w:pStyle w:val="ListParagraph"/>
        <w:ind w:left="567" w:hanging="567"/>
        <w:jc w:val="both"/>
        <w:outlineLvl w:val="0"/>
        <w:rPr>
          <w:rFonts w:ascii="Arial" w:hAnsi="Arial" w:cs="Arial"/>
          <w:sz w:val="24"/>
          <w:szCs w:val="24"/>
        </w:rPr>
      </w:pPr>
    </w:p>
    <w:p w:rsidR="008F0E0B" w:rsidRPr="00790BEB" w:rsidRDefault="008F0E0B" w:rsidP="00FB2571">
      <w:pPr>
        <w:pStyle w:val="ListParagraph"/>
        <w:jc w:val="both"/>
        <w:rPr>
          <w:rFonts w:ascii="Arial" w:hAnsi="Arial" w:cs="Arial"/>
          <w:sz w:val="24"/>
          <w:szCs w:val="24"/>
        </w:rPr>
      </w:pPr>
    </w:p>
    <w:p w:rsidR="00790BEB" w:rsidRPr="00376A3E" w:rsidRDefault="00790BEB" w:rsidP="006E4D71">
      <w:pPr>
        <w:numPr>
          <w:ilvl w:val="0"/>
          <w:numId w:val="4"/>
        </w:numPr>
        <w:autoSpaceDE w:val="0"/>
        <w:autoSpaceDN w:val="0"/>
        <w:adjustRightInd w:val="0"/>
        <w:spacing w:after="120"/>
        <w:ind w:left="567" w:hanging="567"/>
        <w:rPr>
          <w:rFonts w:ascii="Arial" w:hAnsi="Arial" w:cs="Arial"/>
          <w:b/>
        </w:rPr>
      </w:pPr>
      <w:r w:rsidRPr="00376A3E">
        <w:rPr>
          <w:rFonts w:ascii="Arial" w:hAnsi="Arial" w:cs="Arial"/>
          <w:b/>
        </w:rPr>
        <w:t>Partners</w:t>
      </w:r>
    </w:p>
    <w:p w:rsidR="00790BEB" w:rsidRDefault="00790BEB" w:rsidP="006E4D71">
      <w:pPr>
        <w:autoSpaceDE w:val="0"/>
        <w:autoSpaceDN w:val="0"/>
        <w:ind w:left="567" w:hanging="567"/>
        <w:rPr>
          <w:rFonts w:ascii="Arial" w:hAnsi="Arial" w:cs="Arial"/>
        </w:rPr>
      </w:pPr>
    </w:p>
    <w:p w:rsidR="00D6137E" w:rsidRDefault="00790BEB" w:rsidP="00D6137E">
      <w:pPr>
        <w:numPr>
          <w:ilvl w:val="1"/>
          <w:numId w:val="4"/>
        </w:numPr>
        <w:autoSpaceDE w:val="0"/>
        <w:autoSpaceDN w:val="0"/>
        <w:ind w:left="567" w:hanging="567"/>
        <w:jc w:val="both"/>
        <w:rPr>
          <w:rFonts w:ascii="Arial" w:hAnsi="Arial" w:cs="Arial"/>
        </w:rPr>
      </w:pPr>
      <w:r>
        <w:rPr>
          <w:rFonts w:ascii="Arial" w:hAnsi="Arial" w:cs="Arial"/>
        </w:rPr>
        <w:t xml:space="preserve">A key principle of the </w:t>
      </w:r>
      <w:r w:rsidR="00682BD4">
        <w:rPr>
          <w:rFonts w:ascii="Arial" w:hAnsi="Arial" w:cs="Arial"/>
        </w:rPr>
        <w:t>Operational Strategy</w:t>
      </w:r>
      <w:r>
        <w:rPr>
          <w:rFonts w:ascii="Arial" w:hAnsi="Arial" w:cs="Arial"/>
        </w:rPr>
        <w:t xml:space="preserve"> is </w:t>
      </w:r>
      <w:r w:rsidR="00682BD4">
        <w:rPr>
          <w:rFonts w:ascii="Arial" w:hAnsi="Arial" w:cs="Arial"/>
        </w:rPr>
        <w:t>to</w:t>
      </w:r>
      <w:r>
        <w:rPr>
          <w:rFonts w:ascii="Arial" w:hAnsi="Arial" w:cs="Arial"/>
        </w:rPr>
        <w:t xml:space="preserve"> </w:t>
      </w:r>
      <w:r w:rsidR="00682BD4">
        <w:rPr>
          <w:rFonts w:ascii="Arial" w:hAnsi="Arial" w:cs="Arial"/>
        </w:rPr>
        <w:t>DAERA</w:t>
      </w:r>
      <w:r>
        <w:rPr>
          <w:rFonts w:ascii="Arial" w:hAnsi="Arial" w:cs="Arial"/>
        </w:rPr>
        <w:t xml:space="preserve"> </w:t>
      </w:r>
      <w:r w:rsidR="00682BD4">
        <w:rPr>
          <w:rFonts w:ascii="Arial" w:hAnsi="Arial" w:cs="Arial"/>
        </w:rPr>
        <w:t>seek</w:t>
      </w:r>
      <w:r>
        <w:rPr>
          <w:rFonts w:ascii="Arial" w:hAnsi="Arial" w:cs="Arial"/>
        </w:rPr>
        <w:t xml:space="preserve"> opportunities for collaboration and engagement with local, national and international research partners</w:t>
      </w:r>
      <w:r w:rsidR="00682BD4">
        <w:rPr>
          <w:rFonts w:ascii="Arial" w:hAnsi="Arial" w:cs="Arial"/>
        </w:rPr>
        <w:t xml:space="preserve"> </w:t>
      </w:r>
      <w:r w:rsidR="00682BD4">
        <w:rPr>
          <w:rFonts w:ascii="Arial" w:hAnsi="Arial" w:cs="Arial"/>
          <w:color w:val="000000"/>
        </w:rPr>
        <w:t xml:space="preserve">to meet its </w:t>
      </w:r>
      <w:r w:rsidR="00682BD4" w:rsidRPr="00FB2571">
        <w:rPr>
          <w:rFonts w:ascii="Arial" w:hAnsi="Arial" w:cs="Arial"/>
          <w:color w:val="000000"/>
        </w:rPr>
        <w:t xml:space="preserve">three key goals </w:t>
      </w:r>
      <w:r w:rsidR="00682BD4">
        <w:rPr>
          <w:rFonts w:ascii="Arial" w:hAnsi="Arial" w:cs="Arial"/>
          <w:color w:val="000000"/>
        </w:rPr>
        <w:t>of</w:t>
      </w:r>
      <w:r w:rsidR="00682BD4" w:rsidRPr="00FB2571">
        <w:rPr>
          <w:rFonts w:ascii="Arial" w:hAnsi="Arial" w:cs="Arial"/>
          <w:color w:val="000000"/>
        </w:rPr>
        <w:t xml:space="preserve"> getting the best R&amp;D, at the best value and make the best use of it to support the achievement of the DAERA purpo</w:t>
      </w:r>
      <w:r w:rsidR="00682BD4">
        <w:rPr>
          <w:rFonts w:ascii="Arial" w:hAnsi="Arial" w:cs="Arial"/>
          <w:color w:val="000000"/>
        </w:rPr>
        <w:t xml:space="preserve">se.  </w:t>
      </w:r>
      <w:r w:rsidR="00682BD4">
        <w:rPr>
          <w:rFonts w:ascii="Arial" w:hAnsi="Arial" w:cs="Arial"/>
        </w:rPr>
        <w:t xml:space="preserve">  DAERA also</w:t>
      </w:r>
      <w:r>
        <w:rPr>
          <w:rFonts w:ascii="Arial" w:hAnsi="Arial" w:cs="Arial"/>
        </w:rPr>
        <w:t xml:space="preserve"> </w:t>
      </w:r>
      <w:r w:rsidR="00682BD4">
        <w:rPr>
          <w:rFonts w:ascii="Arial" w:hAnsi="Arial" w:cs="Arial"/>
        </w:rPr>
        <w:t>encourages</w:t>
      </w:r>
      <w:r>
        <w:rPr>
          <w:rFonts w:ascii="Arial" w:hAnsi="Arial" w:cs="Arial"/>
        </w:rPr>
        <w:t xml:space="preserve"> similar collaborations among rural businesses and publi</w:t>
      </w:r>
      <w:r w:rsidR="00682BD4">
        <w:rPr>
          <w:rFonts w:ascii="Arial" w:hAnsi="Arial" w:cs="Arial"/>
        </w:rPr>
        <w:t>c sector research organisations</w:t>
      </w:r>
      <w:r w:rsidR="00682BD4">
        <w:rPr>
          <w:rFonts w:ascii="Arial" w:hAnsi="Arial" w:cs="Arial"/>
          <w:color w:val="000000"/>
        </w:rPr>
        <w:t xml:space="preserve">. </w:t>
      </w:r>
      <w:r w:rsidR="00682BD4">
        <w:rPr>
          <w:rFonts w:ascii="Arial" w:hAnsi="Arial" w:cs="Arial"/>
        </w:rPr>
        <w:t>DAERA</w:t>
      </w:r>
      <w:r>
        <w:rPr>
          <w:rFonts w:ascii="Arial" w:hAnsi="Arial" w:cs="Arial"/>
        </w:rPr>
        <w:t xml:space="preserve"> encourage AFBI to do the same.</w:t>
      </w:r>
    </w:p>
    <w:p w:rsidR="00790BEB" w:rsidRPr="00D6137E" w:rsidRDefault="00790BEB" w:rsidP="00D6137E">
      <w:pPr>
        <w:autoSpaceDE w:val="0"/>
        <w:autoSpaceDN w:val="0"/>
        <w:ind w:left="567"/>
        <w:jc w:val="both"/>
        <w:rPr>
          <w:rFonts w:ascii="Arial" w:hAnsi="Arial" w:cs="Arial"/>
        </w:rPr>
      </w:pPr>
    </w:p>
    <w:p w:rsidR="000613D0" w:rsidRDefault="000613D0" w:rsidP="00682BD4">
      <w:pPr>
        <w:numPr>
          <w:ilvl w:val="1"/>
          <w:numId w:val="4"/>
        </w:numPr>
        <w:autoSpaceDE w:val="0"/>
        <w:autoSpaceDN w:val="0"/>
        <w:ind w:left="567" w:hanging="567"/>
        <w:jc w:val="both"/>
        <w:rPr>
          <w:rFonts w:ascii="Arial" w:hAnsi="Arial" w:cs="Arial"/>
        </w:rPr>
      </w:pPr>
      <w:r>
        <w:rPr>
          <w:rFonts w:ascii="Arial" w:hAnsi="Arial" w:cs="Arial"/>
        </w:rPr>
        <w:t xml:space="preserve">AFBI must choose their partners because of their specific knowledge or expertise in an area.  They may, for example, work with specific companies because of their size and available resource to undertake research, or because they are the only company in a specific area.  They also work with other research organisations who have specific   expertise/equipment.  </w:t>
      </w:r>
      <w:r w:rsidR="00384C5F">
        <w:rPr>
          <w:rFonts w:ascii="Arial" w:hAnsi="Arial" w:cs="Arial"/>
        </w:rPr>
        <w:t>In any case were AFBI will pay another partner to undertake work or provide a service as part of the research this must be paid at the market rate.</w:t>
      </w:r>
    </w:p>
    <w:p w:rsidR="0025222E" w:rsidRDefault="0025222E" w:rsidP="00682BD4">
      <w:pPr>
        <w:autoSpaceDE w:val="0"/>
        <w:autoSpaceDN w:val="0"/>
        <w:ind w:left="720"/>
        <w:jc w:val="both"/>
        <w:rPr>
          <w:rFonts w:ascii="Arial" w:hAnsi="Arial" w:cs="Arial"/>
        </w:rPr>
      </w:pPr>
    </w:p>
    <w:p w:rsidR="008E4915" w:rsidRDefault="008E4915" w:rsidP="00682BD4">
      <w:pPr>
        <w:numPr>
          <w:ilvl w:val="1"/>
          <w:numId w:val="4"/>
        </w:numPr>
        <w:autoSpaceDE w:val="0"/>
        <w:autoSpaceDN w:val="0"/>
        <w:ind w:left="567" w:hanging="567"/>
        <w:jc w:val="both"/>
        <w:rPr>
          <w:rFonts w:ascii="Arial" w:hAnsi="Arial" w:cs="Arial"/>
        </w:rPr>
      </w:pPr>
      <w:r>
        <w:rPr>
          <w:rFonts w:ascii="Arial" w:hAnsi="Arial" w:cs="Arial"/>
        </w:rPr>
        <w:t>D</w:t>
      </w:r>
      <w:r w:rsidR="00682BD4">
        <w:rPr>
          <w:rFonts w:ascii="Arial" w:hAnsi="Arial" w:cs="Arial"/>
        </w:rPr>
        <w:t>AERA</w:t>
      </w:r>
      <w:r>
        <w:rPr>
          <w:rFonts w:ascii="Arial" w:hAnsi="Arial" w:cs="Arial"/>
        </w:rPr>
        <w:t xml:space="preserve"> will also fund agricultural research and development undertaken by The </w:t>
      </w:r>
      <w:r w:rsidR="00DC32CC">
        <w:rPr>
          <w:rFonts w:ascii="Arial" w:hAnsi="Arial" w:cs="Arial"/>
        </w:rPr>
        <w:t>Queen’s Un</w:t>
      </w:r>
      <w:r>
        <w:rPr>
          <w:rFonts w:ascii="Arial" w:hAnsi="Arial" w:cs="Arial"/>
        </w:rPr>
        <w:t xml:space="preserve">iversity of Belfast and the Ulster University within collaborative research partnerships which </w:t>
      </w:r>
      <w:r w:rsidR="00DC32CC">
        <w:rPr>
          <w:rFonts w:ascii="Arial" w:hAnsi="Arial" w:cs="Arial"/>
        </w:rPr>
        <w:t>will be detailed in an annual work programme</w:t>
      </w:r>
      <w:r w:rsidR="0063458B">
        <w:rPr>
          <w:rFonts w:ascii="Arial" w:hAnsi="Arial" w:cs="Arial"/>
        </w:rPr>
        <w:t xml:space="preserve"> (3.4) and </w:t>
      </w:r>
      <w:r w:rsidR="00DC32CC">
        <w:rPr>
          <w:rFonts w:ascii="Arial" w:hAnsi="Arial" w:cs="Arial"/>
        </w:rPr>
        <w:t xml:space="preserve">which will be published on the </w:t>
      </w:r>
      <w:r w:rsidR="00682BD4">
        <w:rPr>
          <w:rFonts w:ascii="Arial" w:hAnsi="Arial" w:cs="Arial"/>
        </w:rPr>
        <w:t>DAERA</w:t>
      </w:r>
      <w:r w:rsidR="00DC32CC">
        <w:rPr>
          <w:rFonts w:ascii="Arial" w:hAnsi="Arial" w:cs="Arial"/>
        </w:rPr>
        <w:t xml:space="preserve"> Internet </w:t>
      </w:r>
      <w:r w:rsidR="00682BD4">
        <w:rPr>
          <w:rFonts w:ascii="Arial" w:hAnsi="Arial" w:cs="Arial"/>
        </w:rPr>
        <w:t>site under collaborative research funding</w:t>
      </w:r>
      <w:r w:rsidR="00682BD4">
        <w:rPr>
          <w:rStyle w:val="FootnoteReference"/>
          <w:rFonts w:ascii="Arial" w:hAnsi="Arial" w:cs="Arial"/>
        </w:rPr>
        <w:footnoteReference w:id="5"/>
      </w:r>
    </w:p>
    <w:p w:rsidR="00682BD4" w:rsidRDefault="00682BD4" w:rsidP="00AF318C">
      <w:pPr>
        <w:autoSpaceDE w:val="0"/>
        <w:autoSpaceDN w:val="0"/>
        <w:jc w:val="both"/>
        <w:rPr>
          <w:rFonts w:ascii="Arial" w:hAnsi="Arial" w:cs="Arial"/>
        </w:rPr>
      </w:pPr>
    </w:p>
    <w:p w:rsidR="00376A3E" w:rsidRDefault="00376A3E" w:rsidP="00376A3E">
      <w:pPr>
        <w:autoSpaceDE w:val="0"/>
        <w:autoSpaceDN w:val="0"/>
        <w:rPr>
          <w:rFonts w:ascii="Arial" w:hAnsi="Arial" w:cs="Arial"/>
        </w:rPr>
      </w:pPr>
    </w:p>
    <w:p w:rsidR="00D06284" w:rsidRPr="00D06284" w:rsidRDefault="00384C5F" w:rsidP="006E4D71">
      <w:pPr>
        <w:numPr>
          <w:ilvl w:val="0"/>
          <w:numId w:val="4"/>
        </w:numPr>
        <w:autoSpaceDE w:val="0"/>
        <w:autoSpaceDN w:val="0"/>
        <w:ind w:left="567" w:hanging="567"/>
        <w:rPr>
          <w:rFonts w:ascii="Arial" w:hAnsi="Arial" w:cs="Arial"/>
          <w:b/>
          <w:bCs/>
          <w:iCs/>
          <w:color w:val="000000"/>
        </w:rPr>
      </w:pPr>
      <w:r w:rsidRPr="00376A3E">
        <w:rPr>
          <w:rFonts w:ascii="Arial" w:hAnsi="Arial" w:cs="Arial"/>
          <w:b/>
          <w:bCs/>
          <w:iCs/>
          <w:color w:val="000000"/>
        </w:rPr>
        <w:t>Legal basis</w:t>
      </w:r>
      <w:r w:rsidR="00D06284">
        <w:rPr>
          <w:rFonts w:ascii="Arial" w:hAnsi="Arial" w:cs="Arial"/>
          <w:b/>
          <w:bCs/>
          <w:iCs/>
          <w:color w:val="000000"/>
        </w:rPr>
        <w:br/>
      </w:r>
      <w:r w:rsidR="00D06284">
        <w:rPr>
          <w:rFonts w:ascii="Arial" w:hAnsi="Arial" w:cs="Arial"/>
          <w:b/>
          <w:bCs/>
          <w:iCs/>
          <w:color w:val="000000"/>
        </w:rPr>
        <w:br/>
      </w:r>
      <w:r w:rsidR="00D06284" w:rsidRPr="000B7098">
        <w:rPr>
          <w:rFonts w:ascii="Arial" w:hAnsi="Arial" w:cs="Arial"/>
        </w:rPr>
        <w:t>Agriculture Act (Northern Ireland) 1949</w:t>
      </w:r>
    </w:p>
    <w:p w:rsidR="0027444A" w:rsidRDefault="00D06284" w:rsidP="006E4D71">
      <w:pPr>
        <w:autoSpaceDE w:val="0"/>
        <w:autoSpaceDN w:val="0"/>
        <w:ind w:left="567"/>
        <w:rPr>
          <w:rFonts w:ascii="Arial" w:hAnsi="Arial" w:cs="Arial"/>
          <w:b/>
          <w:bCs/>
          <w:iCs/>
          <w:color w:val="000000"/>
        </w:rPr>
      </w:pPr>
      <w:r w:rsidRPr="00F466D9">
        <w:rPr>
          <w:rFonts w:ascii="Arial" w:hAnsi="Arial" w:cs="Arial"/>
        </w:rPr>
        <w:t>Agriculture (Northern Ireland) Order 2004</w:t>
      </w:r>
      <w:r w:rsidR="0027444A">
        <w:rPr>
          <w:rFonts w:ascii="Arial" w:hAnsi="Arial" w:cs="Arial"/>
          <w:b/>
          <w:bCs/>
          <w:iCs/>
          <w:color w:val="000000"/>
        </w:rPr>
        <w:br/>
      </w:r>
    </w:p>
    <w:p w:rsidR="0027444A" w:rsidRPr="0027444A" w:rsidRDefault="0027444A" w:rsidP="006E4D71">
      <w:pPr>
        <w:numPr>
          <w:ilvl w:val="0"/>
          <w:numId w:val="4"/>
        </w:numPr>
        <w:autoSpaceDE w:val="0"/>
        <w:autoSpaceDN w:val="0"/>
        <w:ind w:left="567" w:hanging="567"/>
        <w:rPr>
          <w:rFonts w:ascii="Arial" w:hAnsi="Arial" w:cs="Arial"/>
          <w:b/>
          <w:bCs/>
          <w:iCs/>
          <w:color w:val="000000"/>
        </w:rPr>
      </w:pPr>
      <w:r w:rsidRPr="0027444A">
        <w:rPr>
          <w:rFonts w:ascii="Arial" w:hAnsi="Arial" w:cs="Arial"/>
          <w:b/>
          <w:bCs/>
          <w:iCs/>
          <w:color w:val="000000"/>
        </w:rPr>
        <w:t>Scheme Duration</w:t>
      </w:r>
      <w:r w:rsidRPr="0027444A">
        <w:rPr>
          <w:rFonts w:ascii="Arial" w:hAnsi="Arial" w:cs="Arial"/>
          <w:b/>
          <w:bCs/>
          <w:iCs/>
          <w:color w:val="000000"/>
        </w:rPr>
        <w:br/>
      </w:r>
    </w:p>
    <w:p w:rsidR="00D6137E" w:rsidRPr="00D6137E" w:rsidRDefault="0027444A" w:rsidP="00AF318C">
      <w:pPr>
        <w:numPr>
          <w:ilvl w:val="1"/>
          <w:numId w:val="4"/>
        </w:numPr>
        <w:autoSpaceDE w:val="0"/>
        <w:autoSpaceDN w:val="0"/>
        <w:ind w:left="567" w:hanging="567"/>
        <w:jc w:val="both"/>
        <w:rPr>
          <w:rFonts w:ascii="Arial" w:hAnsi="Arial" w:cs="Arial"/>
          <w:bCs/>
          <w:iCs/>
          <w:color w:val="000000"/>
        </w:rPr>
      </w:pPr>
      <w:r w:rsidRPr="0027444A">
        <w:rPr>
          <w:rFonts w:ascii="Arial" w:hAnsi="Arial" w:cs="Arial"/>
          <w:bCs/>
          <w:color w:val="000000"/>
        </w:rPr>
        <w:t xml:space="preserve">The Scheme will commence on 1 </w:t>
      </w:r>
      <w:r w:rsidR="00AF318C">
        <w:rPr>
          <w:rFonts w:ascii="Arial" w:hAnsi="Arial" w:cs="Arial"/>
          <w:bCs/>
          <w:color w:val="000000"/>
        </w:rPr>
        <w:t>January 2024</w:t>
      </w:r>
      <w:r w:rsidR="00376AC2" w:rsidRPr="0027444A">
        <w:rPr>
          <w:rFonts w:ascii="Arial" w:hAnsi="Arial" w:cs="Arial"/>
          <w:bCs/>
          <w:color w:val="000000"/>
        </w:rPr>
        <w:t xml:space="preserve"> </w:t>
      </w:r>
      <w:r w:rsidRPr="0027444A">
        <w:rPr>
          <w:rFonts w:ascii="Arial" w:hAnsi="Arial" w:cs="Arial"/>
          <w:bCs/>
          <w:color w:val="000000"/>
        </w:rPr>
        <w:t xml:space="preserve">and will end on 31 </w:t>
      </w:r>
      <w:r w:rsidR="00AF318C">
        <w:rPr>
          <w:rFonts w:ascii="Arial" w:hAnsi="Arial" w:cs="Arial"/>
          <w:bCs/>
          <w:color w:val="000000"/>
        </w:rPr>
        <w:t>December 2029</w:t>
      </w:r>
      <w:r w:rsidRPr="0027444A">
        <w:rPr>
          <w:rFonts w:ascii="Arial" w:hAnsi="Arial" w:cs="Arial"/>
          <w:bCs/>
          <w:color w:val="000000"/>
        </w:rPr>
        <w:t>.</w:t>
      </w:r>
    </w:p>
    <w:p w:rsidR="00D06284" w:rsidRPr="00D06284" w:rsidRDefault="00D06284" w:rsidP="00D6137E">
      <w:pPr>
        <w:autoSpaceDE w:val="0"/>
        <w:autoSpaceDN w:val="0"/>
        <w:ind w:left="567"/>
        <w:jc w:val="both"/>
        <w:rPr>
          <w:rFonts w:ascii="Arial" w:hAnsi="Arial" w:cs="Arial"/>
          <w:bCs/>
          <w:iCs/>
          <w:color w:val="000000"/>
        </w:rPr>
      </w:pPr>
    </w:p>
    <w:p w:rsidR="00D06284" w:rsidRPr="00D06284" w:rsidRDefault="00D06284" w:rsidP="006E4D71">
      <w:pPr>
        <w:numPr>
          <w:ilvl w:val="0"/>
          <w:numId w:val="4"/>
        </w:numPr>
        <w:autoSpaceDE w:val="0"/>
        <w:autoSpaceDN w:val="0"/>
        <w:ind w:left="567" w:hanging="567"/>
        <w:rPr>
          <w:rFonts w:ascii="Arial" w:hAnsi="Arial" w:cs="Arial"/>
          <w:b/>
          <w:bCs/>
          <w:iCs/>
          <w:color w:val="000000"/>
        </w:rPr>
      </w:pPr>
      <w:r w:rsidRPr="00D06284">
        <w:rPr>
          <w:rFonts w:ascii="Arial" w:hAnsi="Arial" w:cs="Arial"/>
          <w:b/>
          <w:bCs/>
          <w:color w:val="000000"/>
        </w:rPr>
        <w:t xml:space="preserve"> Scheme Objectives</w:t>
      </w:r>
      <w:r>
        <w:rPr>
          <w:rFonts w:ascii="Arial" w:hAnsi="Arial" w:cs="Arial"/>
          <w:b/>
          <w:bCs/>
          <w:color w:val="000000"/>
        </w:rPr>
        <w:br/>
      </w:r>
    </w:p>
    <w:p w:rsidR="00D06284" w:rsidRDefault="00D06284" w:rsidP="001E4D72">
      <w:pPr>
        <w:numPr>
          <w:ilvl w:val="1"/>
          <w:numId w:val="4"/>
        </w:numPr>
        <w:autoSpaceDE w:val="0"/>
        <w:autoSpaceDN w:val="0"/>
        <w:ind w:left="567" w:hanging="567"/>
        <w:jc w:val="both"/>
        <w:rPr>
          <w:rFonts w:ascii="Arial" w:hAnsi="Arial" w:cs="Arial"/>
          <w:color w:val="000000"/>
        </w:rPr>
      </w:pPr>
      <w:r>
        <w:rPr>
          <w:rFonts w:ascii="Arial" w:hAnsi="Arial" w:cs="Arial"/>
          <w:color w:val="000000"/>
        </w:rPr>
        <w:lastRenderedPageBreak/>
        <w:t xml:space="preserve">The aim of the Scheme is to </w:t>
      </w:r>
      <w:r w:rsidRPr="0075392D">
        <w:rPr>
          <w:rFonts w:ascii="Arial" w:hAnsi="Arial" w:cs="Arial"/>
          <w:color w:val="000000"/>
        </w:rPr>
        <w:t>undertake research and development in</w:t>
      </w:r>
      <w:r>
        <w:rPr>
          <w:rFonts w:ascii="Arial" w:hAnsi="Arial" w:cs="Arial"/>
          <w:color w:val="000000"/>
        </w:rPr>
        <w:t xml:space="preserve"> </w:t>
      </w:r>
      <w:r w:rsidRPr="0075392D">
        <w:rPr>
          <w:rFonts w:ascii="Arial" w:hAnsi="Arial" w:cs="Arial"/>
          <w:color w:val="000000"/>
        </w:rPr>
        <w:t>relation to agricultural products</w:t>
      </w:r>
      <w:r>
        <w:rPr>
          <w:rStyle w:val="FootnoteReference"/>
          <w:rFonts w:ascii="Arial" w:hAnsi="Arial"/>
          <w:color w:val="000000"/>
        </w:rPr>
        <w:footnoteReference w:id="6"/>
      </w:r>
      <w:r>
        <w:rPr>
          <w:rFonts w:ascii="Arial" w:hAnsi="Arial" w:cs="Arial"/>
          <w:color w:val="000000"/>
        </w:rPr>
        <w:t xml:space="preserve">. </w:t>
      </w:r>
      <w:r w:rsidR="00682BD4">
        <w:rPr>
          <w:rFonts w:ascii="Arial" w:hAnsi="Arial" w:cs="Arial"/>
          <w:color w:val="000000"/>
        </w:rPr>
        <w:t>DAERA</w:t>
      </w:r>
      <w:r>
        <w:rPr>
          <w:rFonts w:ascii="Arial" w:hAnsi="Arial" w:cs="Arial"/>
          <w:color w:val="000000"/>
        </w:rPr>
        <w:t xml:space="preserve"> will direct AFBI to undertake </w:t>
      </w:r>
      <w:r w:rsidRPr="0075392D">
        <w:rPr>
          <w:rFonts w:ascii="Arial" w:hAnsi="Arial" w:cs="Arial"/>
          <w:color w:val="000000"/>
        </w:rPr>
        <w:t xml:space="preserve">fundamental research, industrial research and experimental development intended to </w:t>
      </w:r>
      <w:r w:rsidRPr="008A7EBE">
        <w:rPr>
          <w:rFonts w:ascii="Arial" w:hAnsi="Arial" w:cs="Arial"/>
          <w:color w:val="000000"/>
        </w:rPr>
        <w:t xml:space="preserve">improve the efficiency and quality of production of Annex I products. </w:t>
      </w:r>
      <w:r w:rsidR="00DC32CC">
        <w:rPr>
          <w:rFonts w:ascii="Arial" w:hAnsi="Arial" w:cs="Arial"/>
          <w:color w:val="000000"/>
        </w:rPr>
        <w:t xml:space="preserve">DARD will also fund agricultural research and development undertaken by The Queen’s University of Belfast and the Ulster University within collaborative research partnerships.  </w:t>
      </w:r>
      <w:r w:rsidRPr="008A7EBE">
        <w:rPr>
          <w:rFonts w:ascii="Arial" w:hAnsi="Arial" w:cs="Arial"/>
          <w:color w:val="000000"/>
        </w:rPr>
        <w:t>The aim of this intervention is to increase profitability and market share by generating niche products or by improving production methods</w:t>
      </w:r>
      <w:r w:rsidR="00D6137E">
        <w:rPr>
          <w:rFonts w:ascii="Arial" w:hAnsi="Arial" w:cs="Arial"/>
          <w:color w:val="000000"/>
        </w:rPr>
        <w:t xml:space="preserve">. </w:t>
      </w:r>
      <w:r>
        <w:rPr>
          <w:rFonts w:ascii="Arial" w:hAnsi="Arial" w:cs="Arial"/>
          <w:color w:val="000000"/>
        </w:rPr>
        <w:t xml:space="preserve">There will be benefits across all sub-sectors </w:t>
      </w:r>
      <w:r w:rsidR="00D6137E">
        <w:rPr>
          <w:rFonts w:ascii="Arial" w:hAnsi="Arial" w:cs="Arial"/>
          <w:color w:val="000000"/>
        </w:rPr>
        <w:t>being of benefit to consumers</w:t>
      </w:r>
    </w:p>
    <w:p w:rsidR="00D6137E" w:rsidRDefault="00D6137E" w:rsidP="00D6137E">
      <w:pPr>
        <w:autoSpaceDE w:val="0"/>
        <w:autoSpaceDN w:val="0"/>
        <w:ind w:left="567"/>
        <w:jc w:val="both"/>
        <w:rPr>
          <w:rFonts w:ascii="Arial" w:hAnsi="Arial" w:cs="Arial"/>
          <w:color w:val="000000"/>
        </w:rPr>
      </w:pPr>
    </w:p>
    <w:p w:rsidR="00D06284" w:rsidRDefault="00D06284" w:rsidP="006E4D71">
      <w:pPr>
        <w:numPr>
          <w:ilvl w:val="0"/>
          <w:numId w:val="4"/>
        </w:numPr>
        <w:autoSpaceDE w:val="0"/>
        <w:autoSpaceDN w:val="0"/>
        <w:ind w:left="567" w:hanging="567"/>
        <w:rPr>
          <w:rFonts w:ascii="Arial" w:hAnsi="Arial" w:cs="Arial"/>
          <w:b/>
          <w:color w:val="000000"/>
        </w:rPr>
      </w:pPr>
      <w:r w:rsidRPr="00D06284">
        <w:rPr>
          <w:rFonts w:ascii="Arial" w:hAnsi="Arial" w:cs="Arial"/>
          <w:b/>
          <w:color w:val="000000"/>
        </w:rPr>
        <w:t>Scheme Conditions</w:t>
      </w:r>
      <w:r>
        <w:rPr>
          <w:rFonts w:ascii="Arial" w:hAnsi="Arial" w:cs="Arial"/>
          <w:b/>
          <w:color w:val="000000"/>
        </w:rPr>
        <w:br/>
      </w:r>
    </w:p>
    <w:p w:rsidR="00D6137E" w:rsidRDefault="00D06284" w:rsidP="00D6137E">
      <w:pPr>
        <w:numPr>
          <w:ilvl w:val="1"/>
          <w:numId w:val="4"/>
        </w:numPr>
        <w:autoSpaceDE w:val="0"/>
        <w:autoSpaceDN w:val="0"/>
        <w:ind w:left="567" w:hanging="567"/>
        <w:contextualSpacing/>
        <w:jc w:val="both"/>
        <w:rPr>
          <w:rFonts w:ascii="Arial" w:hAnsi="Arial" w:cs="Arial"/>
          <w:color w:val="000000"/>
        </w:rPr>
      </w:pPr>
      <w:r>
        <w:rPr>
          <w:rFonts w:ascii="Arial" w:hAnsi="Arial" w:cs="Arial"/>
          <w:color w:val="000000"/>
        </w:rPr>
        <w:t xml:space="preserve">All of the activities under this Scheme will satisfy the criteria for aid for  research </w:t>
      </w:r>
      <w:r w:rsidRPr="0075392D">
        <w:rPr>
          <w:rFonts w:ascii="Arial" w:hAnsi="Arial" w:cs="Arial"/>
          <w:color w:val="000000"/>
        </w:rPr>
        <w:t xml:space="preserve">and development in the agricultural sector set out in </w:t>
      </w:r>
      <w:r w:rsidR="00D6137E">
        <w:rPr>
          <w:rFonts w:ascii="Arial" w:hAnsi="Arial" w:cs="Arial"/>
          <w:color w:val="000000"/>
        </w:rPr>
        <w:t xml:space="preserve">Articles 31  of Commission Regulation (EU) 702/2014) </w:t>
      </w:r>
      <w:proofErr w:type="spellStart"/>
      <w:r w:rsidR="00D6137E">
        <w:rPr>
          <w:rFonts w:ascii="Arial" w:hAnsi="Arial" w:cs="Arial"/>
          <w:color w:val="000000"/>
        </w:rPr>
        <w:t>i.e</w:t>
      </w:r>
      <w:proofErr w:type="spellEnd"/>
      <w:r w:rsidR="00D6137E">
        <w:rPr>
          <w:rFonts w:ascii="Arial" w:hAnsi="Arial" w:cs="Arial"/>
          <w:color w:val="000000"/>
        </w:rPr>
        <w:t>:</w:t>
      </w:r>
    </w:p>
    <w:p w:rsidR="00384C5F" w:rsidRPr="006E4D71" w:rsidRDefault="00384C5F" w:rsidP="00D6137E">
      <w:pPr>
        <w:autoSpaceDE w:val="0"/>
        <w:autoSpaceDN w:val="0"/>
        <w:ind w:left="567"/>
        <w:contextualSpacing/>
        <w:jc w:val="both"/>
        <w:rPr>
          <w:rFonts w:ascii="Arial" w:hAnsi="Arial" w:cs="Arial"/>
          <w:color w:val="000000"/>
        </w:rPr>
      </w:pPr>
    </w:p>
    <w:p w:rsidR="00B32625" w:rsidRDefault="00B536D5" w:rsidP="00AF318C">
      <w:pPr>
        <w:numPr>
          <w:ilvl w:val="0"/>
          <w:numId w:val="5"/>
        </w:numPr>
        <w:autoSpaceDE w:val="0"/>
        <w:autoSpaceDN w:val="0"/>
        <w:adjustRightInd w:val="0"/>
        <w:ind w:left="851" w:hanging="284"/>
        <w:jc w:val="both"/>
        <w:rPr>
          <w:rFonts w:ascii="Arial" w:hAnsi="Arial" w:cs="Arial"/>
          <w:color w:val="000000"/>
        </w:rPr>
      </w:pPr>
      <w:r>
        <w:rPr>
          <w:rFonts w:ascii="Arial" w:hAnsi="Arial" w:cs="Arial"/>
          <w:color w:val="000000"/>
        </w:rPr>
        <w:t>The aided project shall be of interest to all undertakings active in the particular agricultural or forestry sector concerned (Art 31(2) of the Regulation).</w:t>
      </w:r>
      <w:r w:rsidR="00B32625">
        <w:rPr>
          <w:rFonts w:ascii="Arial" w:hAnsi="Arial" w:cs="Arial"/>
          <w:color w:val="000000"/>
        </w:rPr>
        <w:br/>
      </w:r>
    </w:p>
    <w:p w:rsidR="00384C5F" w:rsidRPr="00561E18" w:rsidRDefault="00682BD4" w:rsidP="00AF318C">
      <w:pPr>
        <w:numPr>
          <w:ilvl w:val="0"/>
          <w:numId w:val="5"/>
        </w:numPr>
        <w:autoSpaceDE w:val="0"/>
        <w:autoSpaceDN w:val="0"/>
        <w:adjustRightInd w:val="0"/>
        <w:ind w:left="851" w:hanging="284"/>
        <w:jc w:val="both"/>
        <w:rPr>
          <w:rFonts w:ascii="Arial" w:hAnsi="Arial" w:cs="Arial"/>
          <w:color w:val="000000"/>
        </w:rPr>
      </w:pPr>
      <w:r>
        <w:rPr>
          <w:rFonts w:ascii="Arial" w:hAnsi="Arial" w:cs="Arial"/>
          <w:color w:val="000000"/>
        </w:rPr>
        <w:t>DAERA</w:t>
      </w:r>
      <w:r w:rsidR="00B32625" w:rsidRPr="00662B7E">
        <w:rPr>
          <w:rFonts w:ascii="Arial" w:hAnsi="Arial" w:cs="Arial"/>
          <w:color w:val="000000"/>
        </w:rPr>
        <w:t xml:space="preserve"> will publish on the internet information that the research will be carried out and with which goals prior to the commencement of the research.</w:t>
      </w:r>
      <w:r w:rsidR="00662B7E" w:rsidRPr="00662B7E">
        <w:rPr>
          <w:rFonts w:ascii="Arial" w:hAnsi="Arial" w:cs="Arial"/>
          <w:color w:val="000000"/>
        </w:rPr>
        <w:t xml:space="preserve"> </w:t>
      </w:r>
      <w:r w:rsidR="00384C5F" w:rsidRPr="00662B7E">
        <w:rPr>
          <w:rFonts w:ascii="Arial" w:hAnsi="Arial" w:cs="Arial"/>
          <w:color w:val="000000"/>
        </w:rPr>
        <w:t xml:space="preserve">An indication of </w:t>
      </w:r>
      <w:r w:rsidR="00662B7E" w:rsidRPr="00662B7E">
        <w:rPr>
          <w:rFonts w:ascii="Arial" w:hAnsi="Arial" w:cs="Arial"/>
          <w:color w:val="000000"/>
        </w:rPr>
        <w:t xml:space="preserve">(a) </w:t>
      </w:r>
      <w:r w:rsidR="00384C5F" w:rsidRPr="00662B7E">
        <w:rPr>
          <w:rFonts w:ascii="Arial" w:hAnsi="Arial" w:cs="Arial"/>
          <w:color w:val="000000"/>
        </w:rPr>
        <w:t xml:space="preserve">the date when the results of the activity are expected to be published on the internet and that those results will be available </w:t>
      </w:r>
      <w:r w:rsidR="00B536D5">
        <w:rPr>
          <w:rFonts w:ascii="Arial" w:hAnsi="Arial" w:cs="Arial"/>
          <w:color w:val="000000"/>
        </w:rPr>
        <w:t xml:space="preserve">to all undertakings in the particular sector concerned </w:t>
      </w:r>
      <w:r w:rsidR="00384C5F" w:rsidRPr="00662B7E">
        <w:rPr>
          <w:rFonts w:ascii="Arial" w:hAnsi="Arial" w:cs="Arial"/>
          <w:color w:val="000000"/>
        </w:rPr>
        <w:t>at no cost</w:t>
      </w:r>
      <w:r w:rsidR="00662B7E" w:rsidRPr="00662B7E">
        <w:rPr>
          <w:rFonts w:ascii="Arial" w:hAnsi="Arial" w:cs="Arial"/>
          <w:color w:val="000000"/>
        </w:rPr>
        <w:t xml:space="preserve"> and (b) the place where those results will be published, which may be in the form of a link that will provide access to that place of publication.  The results referred to above will</w:t>
      </w:r>
      <w:r w:rsidR="00B32625" w:rsidRPr="00662B7E">
        <w:rPr>
          <w:rFonts w:ascii="Arial" w:hAnsi="Arial" w:cs="Arial"/>
          <w:color w:val="000000"/>
        </w:rPr>
        <w:t xml:space="preserve"> </w:t>
      </w:r>
      <w:r w:rsidR="00662B7E" w:rsidRPr="00662B7E">
        <w:rPr>
          <w:rFonts w:ascii="Arial" w:hAnsi="Arial" w:cs="Arial"/>
          <w:color w:val="000000"/>
        </w:rPr>
        <w:t xml:space="preserve">be made available on the internet for at least five years </w:t>
      </w:r>
      <w:r w:rsidR="00B32625" w:rsidRPr="00662B7E">
        <w:rPr>
          <w:rFonts w:ascii="Arial" w:hAnsi="Arial" w:cs="Arial"/>
          <w:color w:val="000000"/>
        </w:rPr>
        <w:t>(</w:t>
      </w:r>
      <w:r w:rsidR="00B536D5">
        <w:rPr>
          <w:rFonts w:ascii="Arial" w:hAnsi="Arial" w:cs="Arial"/>
          <w:color w:val="000000"/>
        </w:rPr>
        <w:t>Art 31 (3) &amp; (4)</w:t>
      </w:r>
      <w:r w:rsidR="00B32625" w:rsidRPr="00662B7E">
        <w:rPr>
          <w:rFonts w:ascii="Arial" w:hAnsi="Arial" w:cs="Arial"/>
          <w:color w:val="000000"/>
        </w:rPr>
        <w:t>)</w:t>
      </w:r>
      <w:r w:rsidR="00662B7E" w:rsidRPr="00662B7E">
        <w:rPr>
          <w:rFonts w:ascii="Arial" w:hAnsi="Arial" w:cs="Arial"/>
          <w:color w:val="000000"/>
        </w:rPr>
        <w:t xml:space="preserve"> of the Regulation)</w:t>
      </w:r>
      <w:r w:rsidR="006E4D71">
        <w:rPr>
          <w:rFonts w:ascii="Arial" w:hAnsi="Arial" w:cs="Arial"/>
          <w:color w:val="000000"/>
        </w:rPr>
        <w:t>.</w:t>
      </w:r>
      <w:bookmarkStart w:id="0" w:name="OLE_LINK3"/>
      <w:bookmarkStart w:id="1" w:name="OLE_LINK4"/>
      <w:r w:rsidR="00023EF8" w:rsidRPr="00561E18">
        <w:rPr>
          <w:rFonts w:ascii="Arial" w:hAnsi="Arial" w:cs="Arial"/>
          <w:color w:val="000000"/>
        </w:rPr>
        <w:br/>
      </w:r>
    </w:p>
    <w:bookmarkEnd w:id="0"/>
    <w:bookmarkEnd w:id="1"/>
    <w:p w:rsidR="00384C5F" w:rsidRDefault="00682BD4" w:rsidP="00AF318C">
      <w:pPr>
        <w:numPr>
          <w:ilvl w:val="0"/>
          <w:numId w:val="5"/>
        </w:numPr>
        <w:autoSpaceDE w:val="0"/>
        <w:autoSpaceDN w:val="0"/>
        <w:adjustRightInd w:val="0"/>
        <w:ind w:left="851" w:hanging="284"/>
        <w:jc w:val="both"/>
        <w:outlineLvl w:val="0"/>
        <w:rPr>
          <w:rFonts w:ascii="Arial" w:hAnsi="Arial" w:cs="Arial"/>
          <w:color w:val="000000"/>
        </w:rPr>
      </w:pPr>
      <w:r>
        <w:rPr>
          <w:rFonts w:ascii="Arial" w:hAnsi="Arial" w:cs="Arial"/>
          <w:color w:val="000000"/>
        </w:rPr>
        <w:t>DAERA</w:t>
      </w:r>
      <w:r w:rsidR="00384C5F" w:rsidRPr="00045D33">
        <w:rPr>
          <w:rFonts w:ascii="Arial" w:hAnsi="Arial" w:cs="Arial"/>
          <w:color w:val="000000"/>
        </w:rPr>
        <w:t xml:space="preserve"> will grant aid under this scheme directly to the research </w:t>
      </w:r>
      <w:r w:rsidR="00DC32CC">
        <w:rPr>
          <w:rFonts w:ascii="Arial" w:hAnsi="Arial" w:cs="Arial"/>
          <w:color w:val="000000"/>
        </w:rPr>
        <w:t xml:space="preserve">and knowledge dissemination </w:t>
      </w:r>
      <w:r w:rsidR="00384C5F" w:rsidRPr="00045D33">
        <w:rPr>
          <w:rFonts w:ascii="Arial" w:hAnsi="Arial" w:cs="Arial"/>
          <w:color w:val="000000"/>
        </w:rPr>
        <w:t>organisation</w:t>
      </w:r>
      <w:r w:rsidR="00DC32CC">
        <w:rPr>
          <w:rFonts w:ascii="Arial" w:hAnsi="Arial" w:cs="Arial"/>
          <w:color w:val="000000"/>
        </w:rPr>
        <w:t>s</w:t>
      </w:r>
      <w:r w:rsidR="00384C5F" w:rsidRPr="00045D33">
        <w:rPr>
          <w:rFonts w:ascii="Arial" w:hAnsi="Arial" w:cs="Arial"/>
          <w:color w:val="000000"/>
        </w:rPr>
        <w:t xml:space="preserve">. </w:t>
      </w:r>
      <w:r w:rsidR="00361B04">
        <w:rPr>
          <w:rFonts w:ascii="Arial" w:hAnsi="Arial" w:cs="Arial"/>
          <w:color w:val="000000"/>
        </w:rPr>
        <w:t>This scheme will not involve payments to undertakings active in the agricultural sector based on the price of agricultural products</w:t>
      </w:r>
      <w:r w:rsidR="00045D33" w:rsidRPr="0075392D">
        <w:rPr>
          <w:rFonts w:ascii="Arial" w:hAnsi="Arial" w:cs="Arial"/>
          <w:color w:val="000000"/>
        </w:rPr>
        <w:t xml:space="preserve"> </w:t>
      </w:r>
      <w:r w:rsidR="00045D33">
        <w:rPr>
          <w:rFonts w:ascii="Arial" w:hAnsi="Arial" w:cs="Arial"/>
          <w:color w:val="000000"/>
        </w:rPr>
        <w:t xml:space="preserve">(Art </w:t>
      </w:r>
      <w:r w:rsidR="00B536D5">
        <w:rPr>
          <w:rFonts w:ascii="Arial" w:hAnsi="Arial" w:cs="Arial"/>
          <w:color w:val="000000"/>
        </w:rPr>
        <w:t>31</w:t>
      </w:r>
      <w:r w:rsidR="00045D33">
        <w:rPr>
          <w:rFonts w:ascii="Arial" w:hAnsi="Arial" w:cs="Arial"/>
          <w:color w:val="000000"/>
        </w:rPr>
        <w:t>(</w:t>
      </w:r>
      <w:r w:rsidR="00B536D5">
        <w:rPr>
          <w:rFonts w:ascii="Arial" w:hAnsi="Arial" w:cs="Arial"/>
          <w:color w:val="000000"/>
        </w:rPr>
        <w:t>5</w:t>
      </w:r>
      <w:r w:rsidR="00045D33">
        <w:rPr>
          <w:rFonts w:ascii="Arial" w:hAnsi="Arial" w:cs="Arial"/>
          <w:color w:val="000000"/>
        </w:rPr>
        <w:t>) of the Regulation)</w:t>
      </w:r>
      <w:r w:rsidR="007D2B66">
        <w:rPr>
          <w:rFonts w:ascii="Arial" w:hAnsi="Arial" w:cs="Arial"/>
          <w:color w:val="000000"/>
        </w:rPr>
        <w:t>.</w:t>
      </w:r>
      <w:r w:rsidR="00045D33">
        <w:rPr>
          <w:rFonts w:ascii="Arial" w:hAnsi="Arial" w:cs="Arial"/>
          <w:color w:val="000000"/>
        </w:rPr>
        <w:br/>
      </w:r>
    </w:p>
    <w:p w:rsidR="00045D33" w:rsidRDefault="00045D33" w:rsidP="00AF318C">
      <w:pPr>
        <w:numPr>
          <w:ilvl w:val="0"/>
          <w:numId w:val="5"/>
        </w:numPr>
        <w:autoSpaceDE w:val="0"/>
        <w:autoSpaceDN w:val="0"/>
        <w:adjustRightInd w:val="0"/>
        <w:ind w:left="851" w:hanging="284"/>
        <w:jc w:val="both"/>
        <w:outlineLvl w:val="0"/>
        <w:rPr>
          <w:rFonts w:ascii="Arial" w:hAnsi="Arial" w:cs="Arial"/>
          <w:color w:val="000000"/>
        </w:rPr>
      </w:pPr>
      <w:r w:rsidRPr="00045D33">
        <w:rPr>
          <w:rFonts w:ascii="Arial" w:hAnsi="Arial" w:cs="Arial"/>
          <w:color w:val="000000"/>
        </w:rPr>
        <w:t>The aid intensity will not exceed</w:t>
      </w:r>
      <w:r w:rsidR="007D2B66">
        <w:rPr>
          <w:rFonts w:ascii="Arial" w:hAnsi="Arial" w:cs="Arial"/>
          <w:color w:val="000000"/>
        </w:rPr>
        <w:t xml:space="preserve"> 100% of the eligible costs and</w:t>
      </w:r>
      <w:r w:rsidRPr="00045D33">
        <w:rPr>
          <w:rFonts w:ascii="Arial" w:hAnsi="Arial" w:cs="Arial"/>
          <w:color w:val="000000"/>
        </w:rPr>
        <w:t xml:space="preserve"> will be restricted </w:t>
      </w:r>
      <w:r>
        <w:rPr>
          <w:rFonts w:ascii="Arial" w:hAnsi="Arial" w:cs="Arial"/>
          <w:color w:val="000000"/>
        </w:rPr>
        <w:t xml:space="preserve">as detailed in paragraph 9 below (Art </w:t>
      </w:r>
      <w:r w:rsidR="00B536D5">
        <w:rPr>
          <w:rFonts w:ascii="Arial" w:hAnsi="Arial" w:cs="Arial"/>
          <w:color w:val="000000"/>
        </w:rPr>
        <w:t>31(5)</w:t>
      </w:r>
      <w:r>
        <w:rPr>
          <w:rFonts w:ascii="Arial" w:hAnsi="Arial" w:cs="Arial"/>
          <w:color w:val="000000"/>
        </w:rPr>
        <w:t xml:space="preserve"> of the Regulation)</w:t>
      </w:r>
      <w:r w:rsidR="007D2B66">
        <w:rPr>
          <w:rFonts w:ascii="Arial" w:hAnsi="Arial" w:cs="Arial"/>
          <w:color w:val="000000"/>
        </w:rPr>
        <w:t>.</w:t>
      </w:r>
      <w:r>
        <w:rPr>
          <w:rFonts w:ascii="Arial" w:hAnsi="Arial" w:cs="Arial"/>
          <w:color w:val="000000"/>
        </w:rPr>
        <w:br/>
      </w:r>
    </w:p>
    <w:p w:rsidR="00045D33" w:rsidRPr="00045D33" w:rsidRDefault="00045D33" w:rsidP="006E4D71">
      <w:pPr>
        <w:numPr>
          <w:ilvl w:val="0"/>
          <w:numId w:val="4"/>
        </w:numPr>
        <w:tabs>
          <w:tab w:val="left" w:pos="567"/>
        </w:tabs>
        <w:autoSpaceDE w:val="0"/>
        <w:autoSpaceDN w:val="0"/>
        <w:adjustRightInd w:val="0"/>
        <w:ind w:hanging="720"/>
        <w:outlineLvl w:val="0"/>
        <w:rPr>
          <w:rFonts w:ascii="Arial" w:hAnsi="Arial" w:cs="Arial"/>
          <w:b/>
          <w:color w:val="000000"/>
        </w:rPr>
      </w:pPr>
      <w:r>
        <w:rPr>
          <w:rFonts w:ascii="Arial" w:hAnsi="Arial" w:cs="Arial"/>
          <w:b/>
          <w:color w:val="000000"/>
        </w:rPr>
        <w:t>Eligible Costs</w:t>
      </w:r>
      <w:r>
        <w:rPr>
          <w:rFonts w:ascii="Arial" w:hAnsi="Arial" w:cs="Arial"/>
          <w:b/>
          <w:color w:val="000000"/>
        </w:rPr>
        <w:br/>
      </w:r>
    </w:p>
    <w:p w:rsidR="008B35AD" w:rsidRDefault="007306CC" w:rsidP="00D6137E">
      <w:pPr>
        <w:numPr>
          <w:ilvl w:val="1"/>
          <w:numId w:val="4"/>
        </w:numPr>
        <w:autoSpaceDE w:val="0"/>
        <w:autoSpaceDN w:val="0"/>
        <w:adjustRightInd w:val="0"/>
        <w:ind w:left="567" w:hanging="567"/>
        <w:jc w:val="both"/>
        <w:outlineLvl w:val="0"/>
        <w:rPr>
          <w:rFonts w:ascii="Arial" w:hAnsi="Arial" w:cs="Arial"/>
          <w:color w:val="000000"/>
        </w:rPr>
      </w:pPr>
      <w:r>
        <w:rPr>
          <w:rFonts w:ascii="Arial" w:hAnsi="Arial" w:cs="Arial"/>
          <w:color w:val="000000"/>
        </w:rPr>
        <w:t>I</w:t>
      </w:r>
      <w:r w:rsidR="00045D33" w:rsidRPr="00045D33">
        <w:rPr>
          <w:rFonts w:ascii="Arial" w:hAnsi="Arial" w:cs="Arial"/>
          <w:color w:val="000000"/>
        </w:rPr>
        <w:t>n accordance with Article 31(</w:t>
      </w:r>
      <w:r w:rsidR="00361B04">
        <w:rPr>
          <w:rFonts w:ascii="Arial" w:hAnsi="Arial" w:cs="Arial"/>
          <w:color w:val="000000"/>
        </w:rPr>
        <w:t>6</w:t>
      </w:r>
      <w:r w:rsidR="00045D33" w:rsidRPr="00045D33">
        <w:rPr>
          <w:rFonts w:ascii="Arial" w:hAnsi="Arial" w:cs="Arial"/>
          <w:color w:val="000000"/>
        </w:rPr>
        <w:t xml:space="preserve">) of  Regulation </w:t>
      </w:r>
      <w:r w:rsidR="00361B04">
        <w:rPr>
          <w:rFonts w:ascii="Arial" w:hAnsi="Arial" w:cs="Arial"/>
          <w:color w:val="000000"/>
        </w:rPr>
        <w:t>702/2014</w:t>
      </w:r>
      <w:r w:rsidR="00045D33">
        <w:rPr>
          <w:rFonts w:ascii="Arial" w:hAnsi="Arial" w:cs="Arial"/>
          <w:color w:val="000000"/>
        </w:rPr>
        <w:t xml:space="preserve"> the eligible costs under this Scheme are restricted to:</w:t>
      </w:r>
    </w:p>
    <w:p w:rsidR="008B35AD" w:rsidRDefault="008B35AD" w:rsidP="006E4D71">
      <w:pPr>
        <w:autoSpaceDE w:val="0"/>
        <w:autoSpaceDN w:val="0"/>
        <w:adjustRightInd w:val="0"/>
        <w:ind w:left="567" w:hanging="567"/>
        <w:outlineLvl w:val="0"/>
        <w:rPr>
          <w:rFonts w:ascii="Arial" w:hAnsi="Arial" w:cs="Arial"/>
          <w:color w:val="000000"/>
        </w:rPr>
      </w:pPr>
    </w:p>
    <w:p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lastRenderedPageBreak/>
        <w:t>personnel costs (researchers, technicians and other supporting staff</w:t>
      </w:r>
      <w:r w:rsidR="00AF318C" w:rsidRPr="00AF318C">
        <w:rPr>
          <w:rFonts w:ascii="Arial" w:hAnsi="Arial" w:cs="Arial"/>
          <w:color w:val="000000"/>
        </w:rPr>
        <w:t>)</w:t>
      </w:r>
      <w:r w:rsidRPr="00AF318C">
        <w:rPr>
          <w:rFonts w:ascii="Arial" w:hAnsi="Arial" w:cs="Arial"/>
          <w:color w:val="000000"/>
        </w:rPr>
        <w:t xml:space="preserve"> to the extent employed on the research project;</w:t>
      </w:r>
    </w:p>
    <w:p w:rsidR="008B35AD" w:rsidRPr="00045D33" w:rsidRDefault="008B35AD" w:rsidP="00D6137E">
      <w:pPr>
        <w:autoSpaceDE w:val="0"/>
        <w:autoSpaceDN w:val="0"/>
        <w:adjustRightInd w:val="0"/>
        <w:ind w:left="851"/>
        <w:jc w:val="both"/>
        <w:outlineLvl w:val="0"/>
        <w:rPr>
          <w:rFonts w:ascii="Arial" w:hAnsi="Arial" w:cs="Arial"/>
          <w:color w:val="000000"/>
        </w:rPr>
      </w:pPr>
    </w:p>
    <w:p w:rsidR="008B35AD" w:rsidRPr="00045D33"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costs of instruments and equipment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w:t>
      </w:r>
      <w:r w:rsidRPr="00AF318C">
        <w:rPr>
          <w:rFonts w:ascii="Arial" w:hAnsi="Arial" w:cs="Arial"/>
          <w:color w:val="000000"/>
        </w:rPr>
        <w:br/>
      </w:r>
    </w:p>
    <w:p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w:t>
      </w:r>
    </w:p>
    <w:p w:rsidR="008B35AD" w:rsidRPr="00045D33" w:rsidRDefault="008B35AD" w:rsidP="00D6137E">
      <w:pPr>
        <w:autoSpaceDE w:val="0"/>
        <w:autoSpaceDN w:val="0"/>
        <w:adjustRightInd w:val="0"/>
        <w:ind w:left="851"/>
        <w:jc w:val="both"/>
        <w:outlineLvl w:val="0"/>
        <w:rPr>
          <w:rFonts w:ascii="Arial" w:hAnsi="Arial" w:cs="Arial"/>
          <w:color w:val="000000"/>
        </w:rPr>
      </w:pPr>
    </w:p>
    <w:p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 xml:space="preserve">cost of contractual research, knowledge and patents bought or licensed from outside sources at </w:t>
      </w:r>
      <w:r w:rsidR="00361B04" w:rsidRPr="00AF318C">
        <w:rPr>
          <w:rFonts w:ascii="Arial" w:hAnsi="Arial" w:cs="Arial"/>
          <w:color w:val="000000"/>
        </w:rPr>
        <w:t xml:space="preserve">arm’s length conditions,  </w:t>
      </w:r>
      <w:r w:rsidRPr="00AF318C">
        <w:rPr>
          <w:rFonts w:ascii="Arial" w:hAnsi="Arial" w:cs="Arial"/>
          <w:color w:val="000000"/>
        </w:rPr>
        <w:t>as well as costs of consultancy and equivalent services used exclusively for the research activity;</w:t>
      </w:r>
    </w:p>
    <w:p w:rsidR="00D6137E" w:rsidRDefault="00D6137E" w:rsidP="00D6137E">
      <w:pPr>
        <w:pStyle w:val="ListParagraph"/>
        <w:rPr>
          <w:rFonts w:ascii="Arial" w:hAnsi="Arial" w:cs="Arial"/>
          <w:color w:val="000000"/>
        </w:rPr>
      </w:pPr>
    </w:p>
    <w:p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additional overheads incurred directly as a result of the research project;</w:t>
      </w:r>
      <w:r w:rsidR="00D6137E">
        <w:rPr>
          <w:rFonts w:ascii="Arial" w:hAnsi="Arial" w:cs="Arial"/>
          <w:color w:val="000000"/>
        </w:rPr>
        <w:t xml:space="preserve"> and</w:t>
      </w:r>
    </w:p>
    <w:p w:rsidR="00D6137E" w:rsidRDefault="00D6137E" w:rsidP="00D6137E">
      <w:pPr>
        <w:pStyle w:val="ListParagraph"/>
        <w:rPr>
          <w:rFonts w:ascii="Arial" w:hAnsi="Arial" w:cs="Arial"/>
          <w:color w:val="000000"/>
        </w:rPr>
      </w:pPr>
    </w:p>
    <w:p w:rsidR="00045D33" w:rsidRPr="008B35AD" w:rsidRDefault="008B35AD" w:rsidP="00AF318C">
      <w:pPr>
        <w:numPr>
          <w:ilvl w:val="0"/>
          <w:numId w:val="5"/>
        </w:numPr>
        <w:autoSpaceDE w:val="0"/>
        <w:autoSpaceDN w:val="0"/>
        <w:adjustRightInd w:val="0"/>
        <w:ind w:left="851" w:hanging="284"/>
        <w:jc w:val="both"/>
        <w:outlineLvl w:val="0"/>
        <w:rPr>
          <w:rFonts w:ascii="Arial" w:hAnsi="Arial" w:cs="Arial"/>
          <w:color w:val="000000"/>
        </w:rPr>
      </w:pPr>
      <w:proofErr w:type="gramStart"/>
      <w:r w:rsidRPr="00AF318C">
        <w:rPr>
          <w:rFonts w:ascii="Arial" w:hAnsi="Arial" w:cs="Arial"/>
          <w:color w:val="000000"/>
        </w:rPr>
        <w:t>ot</w:t>
      </w:r>
      <w:bookmarkStart w:id="2" w:name="_GoBack"/>
      <w:bookmarkEnd w:id="2"/>
      <w:r w:rsidRPr="00AF318C">
        <w:rPr>
          <w:rFonts w:ascii="Arial" w:hAnsi="Arial" w:cs="Arial"/>
          <w:color w:val="000000"/>
        </w:rPr>
        <w:t>her</w:t>
      </w:r>
      <w:proofErr w:type="gramEnd"/>
      <w:r w:rsidRPr="00AF318C">
        <w:rPr>
          <w:rFonts w:ascii="Arial" w:hAnsi="Arial" w:cs="Arial"/>
          <w:color w:val="000000"/>
        </w:rPr>
        <w:t xml:space="preserve"> operating costs, including costs of materials, supplies and similar products incurred directly as a result of the research activity.</w:t>
      </w:r>
      <w:r w:rsidRPr="008B35AD">
        <w:rPr>
          <w:rFonts w:ascii="Arial" w:hAnsi="Arial" w:cs="Arial"/>
          <w:color w:val="000000"/>
        </w:rPr>
        <w:br/>
      </w:r>
    </w:p>
    <w:p w:rsidR="007306CC" w:rsidRDefault="007306CC" w:rsidP="007306CC">
      <w:pPr>
        <w:autoSpaceDE w:val="0"/>
        <w:autoSpaceDN w:val="0"/>
        <w:adjustRightInd w:val="0"/>
        <w:outlineLvl w:val="0"/>
        <w:rPr>
          <w:rFonts w:ascii="Arial" w:hAnsi="Arial" w:cs="Arial"/>
          <w:color w:val="000000"/>
        </w:rPr>
      </w:pPr>
    </w:p>
    <w:p w:rsidR="007306CC" w:rsidRPr="007306CC" w:rsidRDefault="007306CC" w:rsidP="006E4D71">
      <w:pPr>
        <w:numPr>
          <w:ilvl w:val="0"/>
          <w:numId w:val="4"/>
        </w:numPr>
        <w:autoSpaceDE w:val="0"/>
        <w:autoSpaceDN w:val="0"/>
        <w:adjustRightInd w:val="0"/>
        <w:ind w:left="567" w:hanging="567"/>
        <w:outlineLvl w:val="0"/>
        <w:rPr>
          <w:rFonts w:ascii="Arial" w:hAnsi="Arial" w:cs="Arial"/>
          <w:b/>
          <w:color w:val="000000"/>
        </w:rPr>
      </w:pPr>
      <w:r w:rsidRPr="007306CC">
        <w:rPr>
          <w:rFonts w:ascii="Arial" w:hAnsi="Arial" w:cs="Arial"/>
          <w:b/>
          <w:color w:val="000000"/>
        </w:rPr>
        <w:t>State Aid</w:t>
      </w:r>
      <w:r w:rsidRPr="007306CC">
        <w:rPr>
          <w:rFonts w:ascii="Arial" w:hAnsi="Arial" w:cs="Arial"/>
          <w:b/>
          <w:color w:val="000000"/>
        </w:rPr>
        <w:br/>
      </w:r>
    </w:p>
    <w:p w:rsidR="00D6137E" w:rsidRDefault="007306CC" w:rsidP="00AF318C">
      <w:pPr>
        <w:autoSpaceDE w:val="0"/>
        <w:autoSpaceDN w:val="0"/>
        <w:adjustRightInd w:val="0"/>
        <w:ind w:left="567" w:hanging="567"/>
        <w:jc w:val="both"/>
        <w:outlineLvl w:val="0"/>
        <w:rPr>
          <w:rFonts w:ascii="Arial" w:hAnsi="Arial" w:cs="Arial"/>
          <w:color w:val="000000"/>
        </w:rPr>
      </w:pPr>
      <w:r>
        <w:rPr>
          <w:rFonts w:ascii="Arial" w:hAnsi="Arial" w:cs="Arial"/>
          <w:color w:val="000000"/>
        </w:rPr>
        <w:t xml:space="preserve">10.1 </w:t>
      </w:r>
      <w:r w:rsidR="006E4D71">
        <w:rPr>
          <w:rFonts w:ascii="Arial" w:hAnsi="Arial" w:cs="Arial"/>
          <w:color w:val="000000"/>
        </w:rPr>
        <w:tab/>
      </w:r>
      <w:r>
        <w:rPr>
          <w:rFonts w:ascii="Arial" w:hAnsi="Arial" w:cs="Arial"/>
          <w:color w:val="000000"/>
        </w:rPr>
        <w:t>Aid under this Scheme constitutes State Aid within the meaning of Articles 107 to 109 of the Treaty on the Functioning of the European Union and has been notified to the Commission as compliant with Regulation (</w:t>
      </w:r>
      <w:r w:rsidR="00361B04">
        <w:rPr>
          <w:rFonts w:ascii="Arial" w:hAnsi="Arial" w:cs="Arial"/>
          <w:color w:val="000000"/>
        </w:rPr>
        <w:t>(EU) 702/2014</w:t>
      </w:r>
      <w:r w:rsidRPr="007306CC">
        <w:rPr>
          <w:rFonts w:ascii="Arial" w:hAnsi="Arial" w:cs="Arial"/>
          <w:color w:val="000000"/>
        </w:rPr>
        <w:t xml:space="preserve">  [OJEU, </w:t>
      </w:r>
      <w:r w:rsidR="00361B04">
        <w:rPr>
          <w:rFonts w:ascii="Arial" w:hAnsi="Arial" w:cs="Arial"/>
          <w:color w:val="000000"/>
        </w:rPr>
        <w:t>193</w:t>
      </w:r>
      <w:r w:rsidRPr="007306CC">
        <w:rPr>
          <w:rFonts w:ascii="Arial" w:hAnsi="Arial" w:cs="Arial"/>
        </w:rPr>
        <w:t xml:space="preserve">, pages </w:t>
      </w:r>
      <w:r w:rsidR="00361B04">
        <w:rPr>
          <w:rFonts w:ascii="Arial" w:hAnsi="Arial" w:cs="Arial"/>
        </w:rPr>
        <w:t>1</w:t>
      </w:r>
      <w:r w:rsidR="00361B04" w:rsidRPr="007306CC">
        <w:rPr>
          <w:rFonts w:ascii="Arial" w:hAnsi="Arial" w:cs="Arial"/>
        </w:rPr>
        <w:t xml:space="preserve"> </w:t>
      </w:r>
      <w:r w:rsidRPr="007306CC">
        <w:rPr>
          <w:rFonts w:ascii="Arial" w:hAnsi="Arial" w:cs="Arial"/>
        </w:rPr>
        <w:t xml:space="preserve">– </w:t>
      </w:r>
      <w:r w:rsidR="00361B04">
        <w:rPr>
          <w:rFonts w:ascii="Arial" w:hAnsi="Arial" w:cs="Arial"/>
        </w:rPr>
        <w:t>75</w:t>
      </w:r>
      <w:r w:rsidRPr="007306CC">
        <w:rPr>
          <w:rFonts w:ascii="Arial" w:hAnsi="Arial" w:cs="Arial"/>
        </w:rPr>
        <w:t xml:space="preserve">, </w:t>
      </w:r>
      <w:r w:rsidR="00361B04">
        <w:rPr>
          <w:rFonts w:ascii="Arial" w:hAnsi="Arial" w:cs="Arial"/>
        </w:rPr>
        <w:t>1.7.2014</w:t>
      </w:r>
      <w:r>
        <w:rPr>
          <w:rFonts w:ascii="Arial" w:hAnsi="Arial" w:cs="Arial"/>
          <w:color w:val="000000"/>
        </w:rPr>
        <w:t xml:space="preserve">]. </w:t>
      </w:r>
    </w:p>
    <w:sectPr w:rsidR="00D6137E" w:rsidSect="00BF0FE1">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9E" w:rsidRDefault="0006659E">
      <w:r>
        <w:separator/>
      </w:r>
    </w:p>
  </w:endnote>
  <w:endnote w:type="continuationSeparator" w:id="0">
    <w:p w:rsidR="0006659E" w:rsidRDefault="0006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9E" w:rsidRDefault="0006659E">
      <w:r>
        <w:separator/>
      </w:r>
    </w:p>
  </w:footnote>
  <w:footnote w:type="continuationSeparator" w:id="0">
    <w:p w:rsidR="0006659E" w:rsidRDefault="0006659E">
      <w:r>
        <w:continuationSeparator/>
      </w:r>
    </w:p>
  </w:footnote>
  <w:footnote w:id="1">
    <w:p w:rsidR="00FB2571" w:rsidRDefault="00FB2571">
      <w:pPr>
        <w:pStyle w:val="FootnoteText"/>
      </w:pPr>
      <w:r>
        <w:rPr>
          <w:rStyle w:val="FootnoteReference"/>
        </w:rPr>
        <w:footnoteRef/>
      </w:r>
      <w:r>
        <w:t xml:space="preserve"> </w:t>
      </w:r>
      <w:hyperlink r:id="rId1" w:anchor=":~:text=The%20proposed%20Science%20Strategy%20Framework%20outlines%20a%20Vision,optimising%20investment%20in%20resources%20and%20having%20effective%20governance." w:history="1">
        <w:r w:rsidRPr="00FB2571">
          <w:rPr>
            <w:rFonts w:ascii="Times New Roman" w:hAnsi="Times New Roman" w:cs="Times New Roman"/>
            <w:color w:val="0000FF"/>
            <w:sz w:val="24"/>
            <w:szCs w:val="24"/>
            <w:u w:val="single"/>
            <w:lang w:eastAsia="en-GB"/>
          </w:rPr>
          <w:t>DAERA Science Strategy Framework document (daera-ni.gov.uk)</w:t>
        </w:r>
      </w:hyperlink>
    </w:p>
  </w:footnote>
  <w:footnote w:id="2">
    <w:p w:rsidR="00FB2571" w:rsidRDefault="00FB2571">
      <w:pPr>
        <w:pStyle w:val="FootnoteText"/>
      </w:pPr>
      <w:r>
        <w:rPr>
          <w:rStyle w:val="FootnoteReference"/>
        </w:rPr>
        <w:footnoteRef/>
      </w:r>
      <w:r>
        <w:t xml:space="preserve"> </w:t>
      </w:r>
      <w:hyperlink r:id="rId2" w:history="1">
        <w:r w:rsidRPr="00FB2571">
          <w:rPr>
            <w:rFonts w:ascii="Times New Roman" w:hAnsi="Times New Roman" w:cs="Times New Roman"/>
            <w:color w:val="0000FF"/>
            <w:sz w:val="24"/>
            <w:szCs w:val="24"/>
            <w:u w:val="single"/>
            <w:lang w:eastAsia="en-GB"/>
          </w:rPr>
          <w:t>DAERA Research and Development Strategy 2022-2026 | Department of Agriculture, Environment and Rural Affairs (daera-ni.gov.uk)</w:t>
        </w:r>
      </w:hyperlink>
    </w:p>
  </w:footnote>
  <w:footnote w:id="3">
    <w:p w:rsidR="003707E0" w:rsidRPr="00F466D9" w:rsidRDefault="003707E0" w:rsidP="003707E0">
      <w:pPr>
        <w:autoSpaceDE w:val="0"/>
        <w:autoSpaceDN w:val="0"/>
        <w:adjustRightInd w:val="0"/>
        <w:rPr>
          <w:rFonts w:ascii="Arial" w:hAnsi="Arial" w:cs="Arial"/>
        </w:rPr>
      </w:pPr>
      <w:r w:rsidRPr="00D06B51">
        <w:rPr>
          <w:rStyle w:val="FootnoteReference"/>
          <w:rFonts w:ascii="Arial" w:hAnsi="Arial" w:cs="Arial"/>
        </w:rPr>
        <w:footnoteRef/>
      </w:r>
      <w:r w:rsidRPr="00D06B51">
        <w:rPr>
          <w:rFonts w:ascii="Arial" w:hAnsi="Arial" w:cs="Arial"/>
        </w:rPr>
        <w:t xml:space="preserve"> </w:t>
      </w:r>
      <w:r w:rsidRPr="00F466D9">
        <w:rPr>
          <w:rFonts w:ascii="Arial" w:hAnsi="Arial" w:cs="Arial"/>
          <w:bCs/>
          <w:sz w:val="20"/>
          <w:szCs w:val="20"/>
        </w:rPr>
        <w:t xml:space="preserve">Consolidated Version of the Treaty Establishing the European Community (OJEU C321, E/37, 29.12.2006) </w:t>
      </w:r>
    </w:p>
  </w:footnote>
  <w:footnote w:id="4">
    <w:p w:rsidR="003707E0" w:rsidRDefault="003707E0" w:rsidP="003707E0">
      <w:pPr>
        <w:pStyle w:val="FootnoteText"/>
      </w:pPr>
      <w:r>
        <w:rPr>
          <w:rStyle w:val="FootnoteReference"/>
        </w:rPr>
        <w:footnoteRef/>
      </w:r>
      <w:r>
        <w:t xml:space="preserve"> Commission Regulation (EC) 800/2008 of 6 August 2008 declaring certain categories of aid compatible with the common market in application of Articles 87 and 88 of the Treaty (General block exemption Regulation) (OJ l 214, 9.8.2008, p3-47)</w:t>
      </w:r>
    </w:p>
  </w:footnote>
  <w:footnote w:id="5">
    <w:p w:rsidR="00682BD4" w:rsidRDefault="00682BD4">
      <w:pPr>
        <w:pStyle w:val="FootnoteText"/>
      </w:pPr>
      <w:r>
        <w:rPr>
          <w:rStyle w:val="FootnoteReference"/>
        </w:rPr>
        <w:footnoteRef/>
      </w:r>
      <w:r>
        <w:t xml:space="preserve"> </w:t>
      </w:r>
      <w:hyperlink r:id="rId3" w:history="1">
        <w:r w:rsidR="00AF318C" w:rsidRPr="00AF318C">
          <w:rPr>
            <w:rFonts w:ascii="Times New Roman" w:hAnsi="Times New Roman" w:cs="Times New Roman"/>
            <w:color w:val="0000FF"/>
            <w:sz w:val="24"/>
            <w:szCs w:val="24"/>
            <w:u w:val="single"/>
            <w:lang w:eastAsia="en-GB"/>
          </w:rPr>
          <w:t>Collaborative research funding | Department of Agriculture, Environment and Rural Affairs (daera-ni.gov.uk)</w:t>
        </w:r>
      </w:hyperlink>
    </w:p>
  </w:footnote>
  <w:footnote w:id="6">
    <w:p w:rsidR="008E4915" w:rsidRPr="007F0B2C" w:rsidRDefault="008E4915" w:rsidP="006E4D71">
      <w:pPr>
        <w:autoSpaceDE w:val="0"/>
        <w:autoSpaceDN w:val="0"/>
        <w:adjustRightInd w:val="0"/>
        <w:rPr>
          <w:rFonts w:ascii="Arial" w:hAnsi="Arial" w:cs="Arial"/>
          <w:sz w:val="20"/>
          <w:szCs w:val="20"/>
        </w:rPr>
      </w:pPr>
      <w:r w:rsidRPr="007F0B2C">
        <w:rPr>
          <w:rStyle w:val="FootnoteReference"/>
          <w:sz w:val="20"/>
          <w:szCs w:val="20"/>
        </w:rPr>
        <w:footnoteRef/>
      </w:r>
      <w:r w:rsidRPr="007F0B2C">
        <w:rPr>
          <w:sz w:val="20"/>
          <w:szCs w:val="20"/>
        </w:rPr>
        <w:t xml:space="preserve"> Art 2 (</w:t>
      </w:r>
      <w:r w:rsidR="00376AC2">
        <w:rPr>
          <w:sz w:val="20"/>
          <w:szCs w:val="20"/>
        </w:rPr>
        <w:t>4</w:t>
      </w:r>
      <w:r w:rsidRPr="007F0B2C">
        <w:rPr>
          <w:sz w:val="20"/>
          <w:szCs w:val="20"/>
        </w:rPr>
        <w:t>) of Commission Regulation (</w:t>
      </w:r>
      <w:r w:rsidR="00376AC2" w:rsidRPr="007F0B2C">
        <w:rPr>
          <w:sz w:val="20"/>
          <w:szCs w:val="20"/>
        </w:rPr>
        <w:t>E</w:t>
      </w:r>
      <w:r w:rsidR="00376AC2">
        <w:rPr>
          <w:sz w:val="20"/>
          <w:szCs w:val="20"/>
        </w:rPr>
        <w:t>U</w:t>
      </w:r>
      <w:r w:rsidRPr="007F0B2C">
        <w:rPr>
          <w:sz w:val="20"/>
          <w:szCs w:val="20"/>
        </w:rPr>
        <w:t xml:space="preserve">) </w:t>
      </w:r>
      <w:r w:rsidR="00376AC2">
        <w:rPr>
          <w:sz w:val="20"/>
          <w:szCs w:val="20"/>
        </w:rPr>
        <w:t>702/2014</w:t>
      </w:r>
      <w:r w:rsidRPr="007F0B2C">
        <w:rPr>
          <w:sz w:val="20"/>
          <w:szCs w:val="20"/>
        </w:rPr>
        <w:t xml:space="preserve"> defines “</w:t>
      </w:r>
      <w:r w:rsidRPr="007F0B2C">
        <w:rPr>
          <w:rFonts w:ascii="Arial" w:hAnsi="Arial" w:cs="Arial"/>
          <w:sz w:val="20"/>
          <w:szCs w:val="20"/>
        </w:rPr>
        <w:t>Agricultural products’ as::</w:t>
      </w:r>
    </w:p>
    <w:p w:rsidR="008E4915" w:rsidRPr="007F0B2C" w:rsidRDefault="008E4915" w:rsidP="006E4D71">
      <w:pPr>
        <w:autoSpaceDE w:val="0"/>
        <w:autoSpaceDN w:val="0"/>
        <w:adjustRightInd w:val="0"/>
        <w:rPr>
          <w:rFonts w:ascii="Arial" w:hAnsi="Arial" w:cs="Arial"/>
          <w:sz w:val="20"/>
          <w:szCs w:val="20"/>
        </w:rPr>
      </w:pPr>
    </w:p>
    <w:p w:rsidR="008E4915" w:rsidRPr="006E4D71" w:rsidRDefault="008E4915" w:rsidP="006E4D71">
      <w:pPr>
        <w:autoSpaceDE w:val="0"/>
        <w:autoSpaceDN w:val="0"/>
        <w:adjustRightInd w:val="0"/>
        <w:rPr>
          <w:rFonts w:ascii="Arial" w:hAnsi="Arial" w:cs="Arial"/>
          <w:sz w:val="20"/>
          <w:szCs w:val="20"/>
        </w:rPr>
      </w:pPr>
      <w:r>
        <w:rPr>
          <w:rFonts w:ascii="Arial" w:hAnsi="Arial" w:cs="Arial"/>
          <w:sz w:val="20"/>
          <w:szCs w:val="20"/>
        </w:rPr>
        <w:t>“</w:t>
      </w:r>
      <w:r w:rsidRPr="007F0B2C">
        <w:rPr>
          <w:rFonts w:ascii="Arial" w:hAnsi="Arial" w:cs="Arial"/>
          <w:sz w:val="20"/>
          <w:szCs w:val="20"/>
        </w:rPr>
        <w:t xml:space="preserve">(a) the products listed in Annex I to the Treaty, except fishery and aquaculture products </w:t>
      </w:r>
      <w:r w:rsidR="00376AC2">
        <w:rPr>
          <w:rFonts w:ascii="Arial" w:hAnsi="Arial" w:cs="Arial"/>
          <w:sz w:val="20"/>
          <w:szCs w:val="20"/>
        </w:rPr>
        <w:t xml:space="preserve">listed in Annex I to </w:t>
      </w:r>
      <w:r w:rsidRPr="007F0B2C">
        <w:rPr>
          <w:rFonts w:ascii="Arial" w:hAnsi="Arial" w:cs="Arial"/>
          <w:sz w:val="20"/>
          <w:szCs w:val="20"/>
        </w:rPr>
        <w:t xml:space="preserve"> Regulation (</w:t>
      </w:r>
      <w:r w:rsidR="00376AC2">
        <w:rPr>
          <w:rFonts w:ascii="Arial" w:hAnsi="Arial" w:cs="Arial"/>
          <w:sz w:val="20"/>
          <w:szCs w:val="20"/>
        </w:rPr>
        <w:t>EU</w:t>
      </w:r>
      <w:r w:rsidRPr="007F0B2C">
        <w:rPr>
          <w:rFonts w:ascii="Arial" w:hAnsi="Arial" w:cs="Arial"/>
          <w:sz w:val="20"/>
          <w:szCs w:val="20"/>
        </w:rPr>
        <w:t xml:space="preserve">) No </w:t>
      </w:r>
      <w:r w:rsidR="00B536D5">
        <w:rPr>
          <w:rFonts w:ascii="Arial" w:hAnsi="Arial" w:cs="Arial"/>
          <w:sz w:val="20"/>
          <w:szCs w:val="20"/>
        </w:rPr>
        <w:t xml:space="preserve"> 1379/2013 of the European Parliament and of the Council</w:t>
      </w:r>
      <w:r w:rsidRPr="006E4D71">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15" w:rsidRDefault="008E4915" w:rsidP="003940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2E88B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FB"/>
    <w:multiLevelType w:val="multilevel"/>
    <w:tmpl w:val="2346A842"/>
    <w:lvl w:ilvl="0">
      <w:start w:val="1"/>
      <w:numFmt w:val="decimal"/>
      <w:pStyle w:val="Heading1"/>
      <w:lvlText w:val="%1."/>
      <w:legacy w:legacy="1" w:legacySpace="0" w:legacyIndent="482"/>
      <w:lvlJc w:val="left"/>
      <w:pPr>
        <w:ind w:left="482" w:hanging="482"/>
      </w:pPr>
      <w:rPr>
        <w:rFonts w:cs="Times New Roman"/>
      </w:rPr>
    </w:lvl>
    <w:lvl w:ilvl="1">
      <w:start w:val="1"/>
      <w:numFmt w:val="decimal"/>
      <w:pStyle w:val="Heading2"/>
      <w:lvlText w:val="%1.%2."/>
      <w:legacy w:legacy="1" w:legacySpace="0" w:legacyIndent="595"/>
      <w:lvlJc w:val="left"/>
      <w:pPr>
        <w:ind w:left="1077" w:hanging="595"/>
      </w:pPr>
      <w:rPr>
        <w:rFonts w:cs="Times New Roman"/>
      </w:rPr>
    </w:lvl>
    <w:lvl w:ilvl="2">
      <w:start w:val="1"/>
      <w:numFmt w:val="decimal"/>
      <w:pStyle w:val="Heading3"/>
      <w:lvlText w:val="%1.%2.%3."/>
      <w:legacy w:legacy="1" w:legacySpace="0" w:legacyIndent="839"/>
      <w:lvlJc w:val="left"/>
      <w:pPr>
        <w:ind w:left="1916" w:hanging="839"/>
      </w:pPr>
      <w:rPr>
        <w:rFonts w:cs="Times New Roman"/>
      </w:rPr>
    </w:lvl>
    <w:lvl w:ilvl="3">
      <w:start w:val="1"/>
      <w:numFmt w:val="decimal"/>
      <w:pStyle w:val="Heading4"/>
      <w:lvlText w:val="%1.%2.%3.%4."/>
      <w:legacy w:legacy="1" w:legacySpace="0" w:legacyIndent="708"/>
      <w:lvlJc w:val="left"/>
      <w:pPr>
        <w:ind w:left="2880" w:hanging="708"/>
      </w:pPr>
      <w:rPr>
        <w:rFonts w:cs="Times New Roman"/>
      </w:rPr>
    </w:lvl>
    <w:lvl w:ilvl="4">
      <w:start w:val="1"/>
      <w:numFmt w:val="decimal"/>
      <w:pStyle w:val="Heading5"/>
      <w:lvlText w:val="%1.%2.%3.%4.%5."/>
      <w:legacy w:legacy="1" w:legacySpace="0" w:legacyIndent="708"/>
      <w:lvlJc w:val="left"/>
      <w:pPr>
        <w:ind w:left="3332" w:hanging="708"/>
      </w:pPr>
      <w:rPr>
        <w:rFonts w:cs="Times New Roman"/>
      </w:rPr>
    </w:lvl>
    <w:lvl w:ilvl="5">
      <w:start w:val="1"/>
      <w:numFmt w:val="decimal"/>
      <w:pStyle w:val="Heading6"/>
      <w:lvlText w:val="%1.%2.%3.%4.%5.%6."/>
      <w:legacy w:legacy="1" w:legacySpace="0" w:legacyIndent="708"/>
      <w:lvlJc w:val="left"/>
      <w:pPr>
        <w:ind w:left="4040" w:hanging="708"/>
      </w:pPr>
      <w:rPr>
        <w:rFonts w:cs="Times New Roman"/>
      </w:rPr>
    </w:lvl>
    <w:lvl w:ilvl="6">
      <w:start w:val="1"/>
      <w:numFmt w:val="decimal"/>
      <w:pStyle w:val="Heading7"/>
      <w:lvlText w:val="%1.%2.%3.%4.%5.%6.%7."/>
      <w:legacy w:legacy="1" w:legacySpace="0" w:legacyIndent="708"/>
      <w:lvlJc w:val="left"/>
      <w:pPr>
        <w:ind w:left="4748" w:hanging="708"/>
      </w:pPr>
      <w:rPr>
        <w:rFonts w:cs="Times New Roman"/>
      </w:rPr>
    </w:lvl>
    <w:lvl w:ilvl="7">
      <w:start w:val="1"/>
      <w:numFmt w:val="decimal"/>
      <w:pStyle w:val="Heading8"/>
      <w:lvlText w:val="%1.%2.%3.%4.%5.%6.%7.%8."/>
      <w:legacy w:legacy="1" w:legacySpace="0" w:legacyIndent="708"/>
      <w:lvlJc w:val="left"/>
      <w:pPr>
        <w:ind w:left="5456" w:hanging="708"/>
      </w:pPr>
      <w:rPr>
        <w:rFonts w:cs="Times New Roman"/>
      </w:rPr>
    </w:lvl>
    <w:lvl w:ilvl="8">
      <w:start w:val="1"/>
      <w:numFmt w:val="decimal"/>
      <w:pStyle w:val="Heading9"/>
      <w:lvlText w:val="%1.%2.%3.%4.%5.%6.%7.%8.%9."/>
      <w:legacy w:legacy="1" w:legacySpace="0" w:legacyIndent="708"/>
      <w:lvlJc w:val="left"/>
      <w:pPr>
        <w:ind w:left="6164" w:hanging="708"/>
      </w:pPr>
      <w:rPr>
        <w:rFonts w:cs="Times New Roman"/>
      </w:rPr>
    </w:lvl>
  </w:abstractNum>
  <w:abstractNum w:abstractNumId="2" w15:restartNumberingAfterBreak="0">
    <w:nsid w:val="0A790485"/>
    <w:multiLevelType w:val="hybridMultilevel"/>
    <w:tmpl w:val="2C7A9C54"/>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3" w15:restartNumberingAfterBreak="0">
    <w:nsid w:val="1E34782F"/>
    <w:multiLevelType w:val="multilevel"/>
    <w:tmpl w:val="A6824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3E496C"/>
    <w:multiLevelType w:val="hybridMultilevel"/>
    <w:tmpl w:val="95962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3D7320"/>
    <w:multiLevelType w:val="hybridMultilevel"/>
    <w:tmpl w:val="BA4EC5CA"/>
    <w:lvl w:ilvl="0" w:tplc="0809000F">
      <w:start w:val="1"/>
      <w:numFmt w:val="decimal"/>
      <w:pStyle w:val="ListBullet"/>
      <w:lvlText w:val="%1."/>
      <w:lvlJc w:val="left"/>
      <w:pPr>
        <w:tabs>
          <w:tab w:val="num" w:pos="720"/>
        </w:tabs>
        <w:ind w:left="720" w:hanging="360"/>
      </w:pPr>
      <w:rPr>
        <w:rFonts w:hint="default"/>
      </w:rPr>
    </w:lvl>
    <w:lvl w:ilvl="1" w:tplc="136C9BEE">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C23F8"/>
    <w:rsid w:val="00023EF8"/>
    <w:rsid w:val="00030D3E"/>
    <w:rsid w:val="00036DB7"/>
    <w:rsid w:val="00045D33"/>
    <w:rsid w:val="000613D0"/>
    <w:rsid w:val="0006659E"/>
    <w:rsid w:val="000774C1"/>
    <w:rsid w:val="000C12F2"/>
    <w:rsid w:val="000C23F8"/>
    <w:rsid w:val="000D5734"/>
    <w:rsid w:val="001055DD"/>
    <w:rsid w:val="00121680"/>
    <w:rsid w:val="001236D0"/>
    <w:rsid w:val="00153FD4"/>
    <w:rsid w:val="001E4D72"/>
    <w:rsid w:val="001E69FE"/>
    <w:rsid w:val="00210AD0"/>
    <w:rsid w:val="00216BDC"/>
    <w:rsid w:val="0022278D"/>
    <w:rsid w:val="00243549"/>
    <w:rsid w:val="0025222E"/>
    <w:rsid w:val="00255C30"/>
    <w:rsid w:val="00257BA8"/>
    <w:rsid w:val="0027444A"/>
    <w:rsid w:val="002B14A5"/>
    <w:rsid w:val="002F154E"/>
    <w:rsid w:val="0030127E"/>
    <w:rsid w:val="00343914"/>
    <w:rsid w:val="00361B04"/>
    <w:rsid w:val="003707E0"/>
    <w:rsid w:val="00376A3E"/>
    <w:rsid w:val="00376AC2"/>
    <w:rsid w:val="00384C5F"/>
    <w:rsid w:val="00394017"/>
    <w:rsid w:val="003C6BCC"/>
    <w:rsid w:val="004013FE"/>
    <w:rsid w:val="00414B4F"/>
    <w:rsid w:val="0043743D"/>
    <w:rsid w:val="004D18E0"/>
    <w:rsid w:val="005045AB"/>
    <w:rsid w:val="00510B50"/>
    <w:rsid w:val="00512897"/>
    <w:rsid w:val="00553A0C"/>
    <w:rsid w:val="00561E18"/>
    <w:rsid w:val="0057154A"/>
    <w:rsid w:val="00585884"/>
    <w:rsid w:val="005C449E"/>
    <w:rsid w:val="0063458B"/>
    <w:rsid w:val="00644408"/>
    <w:rsid w:val="00662B7E"/>
    <w:rsid w:val="00682BD4"/>
    <w:rsid w:val="006A489A"/>
    <w:rsid w:val="006A7820"/>
    <w:rsid w:val="006E4D71"/>
    <w:rsid w:val="006F3C69"/>
    <w:rsid w:val="007306CC"/>
    <w:rsid w:val="00773274"/>
    <w:rsid w:val="00776443"/>
    <w:rsid w:val="007778D5"/>
    <w:rsid w:val="00790BEB"/>
    <w:rsid w:val="007A3527"/>
    <w:rsid w:val="007D2B66"/>
    <w:rsid w:val="007E7D3C"/>
    <w:rsid w:val="00805B58"/>
    <w:rsid w:val="00807122"/>
    <w:rsid w:val="00813625"/>
    <w:rsid w:val="008538EC"/>
    <w:rsid w:val="008A656C"/>
    <w:rsid w:val="008A7905"/>
    <w:rsid w:val="008B35AD"/>
    <w:rsid w:val="008C24EA"/>
    <w:rsid w:val="008E4915"/>
    <w:rsid w:val="008F0E0B"/>
    <w:rsid w:val="00942BC3"/>
    <w:rsid w:val="00944BF9"/>
    <w:rsid w:val="0095424C"/>
    <w:rsid w:val="009B02FB"/>
    <w:rsid w:val="009C22E8"/>
    <w:rsid w:val="009C4DFF"/>
    <w:rsid w:val="009E233B"/>
    <w:rsid w:val="00A20483"/>
    <w:rsid w:val="00A2554C"/>
    <w:rsid w:val="00A85AAA"/>
    <w:rsid w:val="00AD6403"/>
    <w:rsid w:val="00AF318C"/>
    <w:rsid w:val="00B039D2"/>
    <w:rsid w:val="00B32625"/>
    <w:rsid w:val="00B536D5"/>
    <w:rsid w:val="00B71A7F"/>
    <w:rsid w:val="00B97012"/>
    <w:rsid w:val="00BA7F9F"/>
    <w:rsid w:val="00BC3420"/>
    <w:rsid w:val="00BF0FE1"/>
    <w:rsid w:val="00C94AC5"/>
    <w:rsid w:val="00CE7E39"/>
    <w:rsid w:val="00CF0550"/>
    <w:rsid w:val="00D06284"/>
    <w:rsid w:val="00D54664"/>
    <w:rsid w:val="00D555AF"/>
    <w:rsid w:val="00D6137E"/>
    <w:rsid w:val="00DC32CC"/>
    <w:rsid w:val="00E217BF"/>
    <w:rsid w:val="00E303DF"/>
    <w:rsid w:val="00E84255"/>
    <w:rsid w:val="00EA2DE5"/>
    <w:rsid w:val="00EC2BA2"/>
    <w:rsid w:val="00EF71AC"/>
    <w:rsid w:val="00F227DD"/>
    <w:rsid w:val="00F56175"/>
    <w:rsid w:val="00FB19B0"/>
    <w:rsid w:val="00FB2571"/>
    <w:rsid w:val="00FD75E6"/>
    <w:rsid w:val="00FE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FCA15E"/>
  <w15:docId w15:val="{B0FCFB49-41AE-49D0-B615-F6A3C308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F8"/>
    <w:rPr>
      <w:sz w:val="24"/>
      <w:szCs w:val="24"/>
    </w:rPr>
  </w:style>
  <w:style w:type="paragraph" w:styleId="Heading1">
    <w:name w:val="heading 1"/>
    <w:basedOn w:val="Normal"/>
    <w:next w:val="Normal"/>
    <w:link w:val="Heading1Char"/>
    <w:uiPriority w:val="99"/>
    <w:qFormat/>
    <w:rsid w:val="006A7820"/>
    <w:pPr>
      <w:keepNext/>
      <w:numPr>
        <w:numId w:val="3"/>
      </w:numPr>
      <w:overflowPunct w:val="0"/>
      <w:autoSpaceDE w:val="0"/>
      <w:autoSpaceDN w:val="0"/>
      <w:adjustRightInd w:val="0"/>
      <w:spacing w:before="240" w:after="240"/>
      <w:jc w:val="both"/>
      <w:outlineLvl w:val="0"/>
    </w:pPr>
    <w:rPr>
      <w:b/>
      <w:smallCaps/>
    </w:rPr>
  </w:style>
  <w:style w:type="paragraph" w:styleId="Heading2">
    <w:name w:val="heading 2"/>
    <w:basedOn w:val="Normal"/>
    <w:next w:val="Normal"/>
    <w:link w:val="Heading2Char"/>
    <w:uiPriority w:val="99"/>
    <w:qFormat/>
    <w:rsid w:val="006A7820"/>
    <w:pPr>
      <w:keepNext/>
      <w:numPr>
        <w:ilvl w:val="1"/>
        <w:numId w:val="3"/>
      </w:numPr>
      <w:overflowPunct w:val="0"/>
      <w:autoSpaceDE w:val="0"/>
      <w:autoSpaceDN w:val="0"/>
      <w:adjustRightInd w:val="0"/>
      <w:spacing w:after="240"/>
      <w:jc w:val="both"/>
      <w:outlineLvl w:val="1"/>
    </w:pPr>
    <w:rPr>
      <w:b/>
      <w:szCs w:val="20"/>
    </w:rPr>
  </w:style>
  <w:style w:type="paragraph" w:styleId="Heading3">
    <w:name w:val="heading 3"/>
    <w:basedOn w:val="Normal"/>
    <w:next w:val="Normal"/>
    <w:link w:val="Heading3Char"/>
    <w:uiPriority w:val="99"/>
    <w:qFormat/>
    <w:rsid w:val="006A7820"/>
    <w:pPr>
      <w:keepNext/>
      <w:numPr>
        <w:ilvl w:val="2"/>
        <w:numId w:val="3"/>
      </w:numPr>
      <w:overflowPunct w:val="0"/>
      <w:autoSpaceDE w:val="0"/>
      <w:autoSpaceDN w:val="0"/>
      <w:adjustRightInd w:val="0"/>
      <w:spacing w:after="240"/>
      <w:jc w:val="both"/>
      <w:outlineLvl w:val="2"/>
    </w:pPr>
    <w:rPr>
      <w:i/>
      <w:sz w:val="20"/>
      <w:szCs w:val="20"/>
    </w:rPr>
  </w:style>
  <w:style w:type="paragraph" w:styleId="Heading4">
    <w:name w:val="heading 4"/>
    <w:basedOn w:val="Normal"/>
    <w:next w:val="Normal"/>
    <w:link w:val="Heading4Char"/>
    <w:uiPriority w:val="99"/>
    <w:qFormat/>
    <w:rsid w:val="006A7820"/>
    <w:pPr>
      <w:keepNext/>
      <w:numPr>
        <w:ilvl w:val="3"/>
        <w:numId w:val="3"/>
      </w:numPr>
      <w:overflowPunct w:val="0"/>
      <w:autoSpaceDE w:val="0"/>
      <w:autoSpaceDN w:val="0"/>
      <w:adjustRightInd w:val="0"/>
      <w:spacing w:after="240"/>
      <w:ind w:left="1418" w:hanging="851"/>
      <w:outlineLvl w:val="3"/>
    </w:pPr>
    <w:rPr>
      <w:kern w:val="36"/>
      <w:sz w:val="20"/>
      <w:szCs w:val="20"/>
    </w:rPr>
  </w:style>
  <w:style w:type="paragraph" w:styleId="Heading5">
    <w:name w:val="heading 5"/>
    <w:basedOn w:val="Normal"/>
    <w:next w:val="Normal"/>
    <w:link w:val="Heading5Char"/>
    <w:uiPriority w:val="99"/>
    <w:qFormat/>
    <w:rsid w:val="006A7820"/>
    <w:pPr>
      <w:numPr>
        <w:ilvl w:val="4"/>
        <w:numId w:val="3"/>
      </w:numPr>
      <w:overflowPunct w:val="0"/>
      <w:autoSpaceDE w:val="0"/>
      <w:autoSpaceDN w:val="0"/>
      <w:adjustRightInd w:val="0"/>
      <w:spacing w:before="240" w:after="60"/>
      <w:outlineLvl w:val="4"/>
    </w:pPr>
  </w:style>
  <w:style w:type="paragraph" w:styleId="Heading6">
    <w:name w:val="heading 6"/>
    <w:basedOn w:val="Normal"/>
    <w:next w:val="Normal"/>
    <w:link w:val="Heading6Char"/>
    <w:uiPriority w:val="99"/>
    <w:qFormat/>
    <w:rsid w:val="006A7820"/>
    <w:pPr>
      <w:numPr>
        <w:ilvl w:val="5"/>
        <w:numId w:val="3"/>
      </w:numPr>
      <w:overflowPunct w:val="0"/>
      <w:autoSpaceDE w:val="0"/>
      <w:autoSpaceDN w:val="0"/>
      <w:adjustRightInd w:val="0"/>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6A7820"/>
    <w:pPr>
      <w:numPr>
        <w:ilvl w:val="6"/>
        <w:numId w:val="3"/>
      </w:numPr>
      <w:overflowPunct w:val="0"/>
      <w:autoSpaceDE w:val="0"/>
      <w:autoSpaceDN w:val="0"/>
      <w:adjustRightInd w:val="0"/>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6A7820"/>
    <w:pPr>
      <w:numPr>
        <w:ilvl w:val="7"/>
        <w:numId w:val="3"/>
      </w:numPr>
      <w:overflowPunct w:val="0"/>
      <w:autoSpaceDE w:val="0"/>
      <w:autoSpaceDN w:val="0"/>
      <w:adjustRightInd w:val="0"/>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6A7820"/>
    <w:pPr>
      <w:numPr>
        <w:ilvl w:val="8"/>
        <w:numId w:val="3"/>
      </w:numPr>
      <w:overflowPunct w:val="0"/>
      <w:autoSpaceDE w:val="0"/>
      <w:autoSpaceDN w:val="0"/>
      <w:adjustRightInd w:val="0"/>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23F8"/>
    <w:pPr>
      <w:tabs>
        <w:tab w:val="center" w:pos="4153"/>
        <w:tab w:val="right" w:pos="8306"/>
      </w:tabs>
    </w:pPr>
  </w:style>
  <w:style w:type="character" w:styleId="Hyperlink">
    <w:name w:val="Hyperlink"/>
    <w:basedOn w:val="DefaultParagraphFont"/>
    <w:uiPriority w:val="99"/>
    <w:rsid w:val="000C23F8"/>
    <w:rPr>
      <w:color w:val="0000FF"/>
      <w:u w:val="single"/>
    </w:rPr>
  </w:style>
  <w:style w:type="paragraph" w:styleId="NormalWeb">
    <w:name w:val="Normal (Web)"/>
    <w:basedOn w:val="Normal"/>
    <w:uiPriority w:val="99"/>
    <w:rsid w:val="000C23F8"/>
    <w:pPr>
      <w:spacing w:before="100" w:beforeAutospacing="1" w:after="100" w:afterAutospacing="1"/>
    </w:pPr>
  </w:style>
  <w:style w:type="paragraph" w:styleId="FootnoteText">
    <w:name w:val="footnote text"/>
    <w:aliases w:val="Footnote"/>
    <w:basedOn w:val="Normal"/>
    <w:link w:val="FootnoteTextChar"/>
    <w:semiHidden/>
    <w:rsid w:val="000C23F8"/>
    <w:rPr>
      <w:rFonts w:ascii="Arial" w:hAnsi="Arial" w:cs="Arial"/>
      <w:sz w:val="20"/>
      <w:szCs w:val="20"/>
      <w:lang w:eastAsia="en-US"/>
    </w:rPr>
  </w:style>
  <w:style w:type="character" w:styleId="FootnoteReference">
    <w:name w:val="footnote reference"/>
    <w:basedOn w:val="DefaultParagraphFont"/>
    <w:rsid w:val="000C23F8"/>
    <w:rPr>
      <w:vertAlign w:val="superscript"/>
    </w:rPr>
  </w:style>
  <w:style w:type="paragraph" w:customStyle="1" w:styleId="Default">
    <w:name w:val="Default"/>
    <w:rsid w:val="000C23F8"/>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ootnote Char"/>
    <w:basedOn w:val="DefaultParagraphFont"/>
    <w:link w:val="FootnoteText"/>
    <w:semiHidden/>
    <w:locked/>
    <w:rsid w:val="000C23F8"/>
    <w:rPr>
      <w:rFonts w:ascii="Arial" w:hAnsi="Arial" w:cs="Arial"/>
      <w:lang w:val="en-GB" w:eastAsia="en-US" w:bidi="ar-SA"/>
    </w:rPr>
  </w:style>
  <w:style w:type="paragraph" w:styleId="BalloonText">
    <w:name w:val="Balloon Text"/>
    <w:basedOn w:val="Normal"/>
    <w:semiHidden/>
    <w:rsid w:val="00036DB7"/>
    <w:rPr>
      <w:rFonts w:ascii="Tahoma" w:hAnsi="Tahoma" w:cs="Tahoma"/>
      <w:sz w:val="16"/>
      <w:szCs w:val="16"/>
    </w:rPr>
  </w:style>
  <w:style w:type="character" w:styleId="FollowedHyperlink">
    <w:name w:val="FollowedHyperlink"/>
    <w:basedOn w:val="DefaultParagraphFont"/>
    <w:rsid w:val="00D555AF"/>
    <w:rPr>
      <w:color w:val="800080"/>
      <w:u w:val="single"/>
    </w:rPr>
  </w:style>
  <w:style w:type="paragraph" w:styleId="BodyTextIndent">
    <w:name w:val="Body Text Indent"/>
    <w:basedOn w:val="Normal"/>
    <w:link w:val="BodyTextIndentChar"/>
    <w:rsid w:val="000C12F2"/>
    <w:pPr>
      <w:spacing w:after="120"/>
      <w:ind w:left="283"/>
    </w:pPr>
    <w:rPr>
      <w:lang w:val="en-US" w:eastAsia="en-US"/>
    </w:rPr>
  </w:style>
  <w:style w:type="character" w:customStyle="1" w:styleId="BodyTextIndentChar">
    <w:name w:val="Body Text Indent Char"/>
    <w:basedOn w:val="DefaultParagraphFont"/>
    <w:link w:val="BodyTextIndent"/>
    <w:semiHidden/>
    <w:locked/>
    <w:rsid w:val="000C12F2"/>
    <w:rPr>
      <w:sz w:val="24"/>
      <w:szCs w:val="24"/>
      <w:lang w:val="en-US" w:eastAsia="en-US" w:bidi="ar-SA"/>
    </w:rPr>
  </w:style>
  <w:style w:type="character" w:styleId="Emphasis">
    <w:name w:val="Emphasis"/>
    <w:basedOn w:val="DefaultParagraphFont"/>
    <w:uiPriority w:val="20"/>
    <w:qFormat/>
    <w:rsid w:val="000C12F2"/>
    <w:rPr>
      <w:rFonts w:cs="Times New Roman"/>
      <w:i/>
      <w:iCs/>
    </w:rPr>
  </w:style>
  <w:style w:type="table" w:styleId="TableGrid">
    <w:name w:val="Table Grid"/>
    <w:basedOn w:val="TableNormal"/>
    <w:rsid w:val="004D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21">
    <w:name w:val="style221"/>
    <w:basedOn w:val="DefaultParagraphFont"/>
    <w:rsid w:val="004D18E0"/>
    <w:rPr>
      <w:rFonts w:ascii="Arial" w:hAnsi="Arial" w:cs="Arial" w:hint="default"/>
      <w:b/>
      <w:bCs/>
      <w:sz w:val="20"/>
      <w:szCs w:val="20"/>
    </w:rPr>
  </w:style>
  <w:style w:type="paragraph" w:styleId="Footer">
    <w:name w:val="footer"/>
    <w:basedOn w:val="Normal"/>
    <w:link w:val="FooterChar"/>
    <w:rsid w:val="006A7820"/>
    <w:pPr>
      <w:tabs>
        <w:tab w:val="center" w:pos="4513"/>
        <w:tab w:val="right" w:pos="9026"/>
      </w:tabs>
    </w:pPr>
  </w:style>
  <w:style w:type="character" w:customStyle="1" w:styleId="FooterChar">
    <w:name w:val="Footer Char"/>
    <w:basedOn w:val="DefaultParagraphFont"/>
    <w:link w:val="Footer"/>
    <w:rsid w:val="006A7820"/>
    <w:rPr>
      <w:sz w:val="24"/>
      <w:szCs w:val="24"/>
    </w:rPr>
  </w:style>
  <w:style w:type="character" w:customStyle="1" w:styleId="Heading1Char">
    <w:name w:val="Heading 1 Char"/>
    <w:basedOn w:val="DefaultParagraphFont"/>
    <w:link w:val="Heading1"/>
    <w:uiPriority w:val="99"/>
    <w:rsid w:val="006A7820"/>
    <w:rPr>
      <w:b/>
      <w:smallCaps/>
      <w:sz w:val="24"/>
      <w:szCs w:val="24"/>
    </w:rPr>
  </w:style>
  <w:style w:type="character" w:customStyle="1" w:styleId="Heading2Char">
    <w:name w:val="Heading 2 Char"/>
    <w:basedOn w:val="DefaultParagraphFont"/>
    <w:link w:val="Heading2"/>
    <w:uiPriority w:val="99"/>
    <w:rsid w:val="006A7820"/>
    <w:rPr>
      <w:b/>
      <w:sz w:val="24"/>
    </w:rPr>
  </w:style>
  <w:style w:type="character" w:customStyle="1" w:styleId="Heading3Char">
    <w:name w:val="Heading 3 Char"/>
    <w:basedOn w:val="DefaultParagraphFont"/>
    <w:link w:val="Heading3"/>
    <w:uiPriority w:val="99"/>
    <w:rsid w:val="006A7820"/>
    <w:rPr>
      <w:i/>
    </w:rPr>
  </w:style>
  <w:style w:type="character" w:customStyle="1" w:styleId="Heading4Char">
    <w:name w:val="Heading 4 Char"/>
    <w:basedOn w:val="DefaultParagraphFont"/>
    <w:link w:val="Heading4"/>
    <w:uiPriority w:val="99"/>
    <w:rsid w:val="006A7820"/>
    <w:rPr>
      <w:kern w:val="36"/>
    </w:rPr>
  </w:style>
  <w:style w:type="character" w:customStyle="1" w:styleId="Heading5Char">
    <w:name w:val="Heading 5 Char"/>
    <w:basedOn w:val="DefaultParagraphFont"/>
    <w:link w:val="Heading5"/>
    <w:uiPriority w:val="99"/>
    <w:rsid w:val="006A7820"/>
    <w:rPr>
      <w:sz w:val="24"/>
      <w:szCs w:val="24"/>
    </w:rPr>
  </w:style>
  <w:style w:type="character" w:customStyle="1" w:styleId="Heading6Char">
    <w:name w:val="Heading 6 Char"/>
    <w:basedOn w:val="DefaultParagraphFont"/>
    <w:link w:val="Heading6"/>
    <w:uiPriority w:val="99"/>
    <w:rsid w:val="006A7820"/>
    <w:rPr>
      <w:rFonts w:ascii="Arial" w:hAnsi="Arial"/>
      <w:i/>
      <w:sz w:val="22"/>
    </w:rPr>
  </w:style>
  <w:style w:type="character" w:customStyle="1" w:styleId="Heading7Char">
    <w:name w:val="Heading 7 Char"/>
    <w:basedOn w:val="DefaultParagraphFont"/>
    <w:link w:val="Heading7"/>
    <w:uiPriority w:val="99"/>
    <w:rsid w:val="006A7820"/>
    <w:rPr>
      <w:rFonts w:ascii="Arial" w:hAnsi="Arial"/>
    </w:rPr>
  </w:style>
  <w:style w:type="character" w:customStyle="1" w:styleId="Heading8Char">
    <w:name w:val="Heading 8 Char"/>
    <w:basedOn w:val="DefaultParagraphFont"/>
    <w:link w:val="Heading8"/>
    <w:uiPriority w:val="99"/>
    <w:rsid w:val="006A7820"/>
    <w:rPr>
      <w:rFonts w:ascii="Arial" w:hAnsi="Arial"/>
      <w:i/>
    </w:rPr>
  </w:style>
  <w:style w:type="character" w:customStyle="1" w:styleId="Heading9Char">
    <w:name w:val="Heading 9 Char"/>
    <w:basedOn w:val="DefaultParagraphFont"/>
    <w:link w:val="Heading9"/>
    <w:uiPriority w:val="99"/>
    <w:rsid w:val="006A7820"/>
    <w:rPr>
      <w:rFonts w:ascii="Arial" w:hAnsi="Arial"/>
      <w:i/>
      <w:sz w:val="18"/>
    </w:rPr>
  </w:style>
  <w:style w:type="paragraph" w:styleId="ListBullet">
    <w:name w:val="List Bullet"/>
    <w:basedOn w:val="Normal"/>
    <w:uiPriority w:val="99"/>
    <w:rsid w:val="006A7820"/>
    <w:pPr>
      <w:numPr>
        <w:numId w:val="1"/>
      </w:numPr>
      <w:spacing w:before="120" w:after="120"/>
    </w:pPr>
    <w:rPr>
      <w:rFonts w:ascii="Optima LT Std" w:hAnsi="Optima LT Std"/>
      <w:bCs/>
      <w:iCs/>
      <w:sz w:val="20"/>
      <w:szCs w:val="20"/>
      <w:lang w:eastAsia="en-US"/>
    </w:rPr>
  </w:style>
  <w:style w:type="paragraph" w:styleId="ListNumber">
    <w:name w:val="List Number"/>
    <w:basedOn w:val="Normal"/>
    <w:uiPriority w:val="99"/>
    <w:rsid w:val="006A7820"/>
    <w:pPr>
      <w:numPr>
        <w:numId w:val="2"/>
      </w:numPr>
      <w:tabs>
        <w:tab w:val="clear" w:pos="360"/>
        <w:tab w:val="num" w:pos="709"/>
      </w:tabs>
      <w:spacing w:after="240"/>
      <w:ind w:left="709" w:hanging="709"/>
      <w:jc w:val="both"/>
    </w:pPr>
    <w:rPr>
      <w:szCs w:val="20"/>
      <w:lang w:eastAsia="en-US"/>
    </w:rPr>
  </w:style>
  <w:style w:type="paragraph" w:styleId="ListParagraph">
    <w:name w:val="List Paragraph"/>
    <w:basedOn w:val="Normal"/>
    <w:uiPriority w:val="34"/>
    <w:qFormat/>
    <w:rsid w:val="003C6BCC"/>
    <w:pPr>
      <w:ind w:left="720"/>
    </w:pPr>
    <w:rPr>
      <w:rFonts w:ascii="Calibri" w:eastAsia="Calibri" w:hAnsi="Calibri" w:cs="Calibri"/>
      <w:sz w:val="22"/>
      <w:szCs w:val="22"/>
    </w:rPr>
  </w:style>
  <w:style w:type="paragraph" w:customStyle="1" w:styleId="legclearfix2">
    <w:name w:val="legclearfix2"/>
    <w:basedOn w:val="Normal"/>
    <w:rsid w:val="00384C5F"/>
    <w:pPr>
      <w:shd w:val="clear" w:color="auto" w:fill="FFFFFF"/>
      <w:spacing w:after="120" w:line="360" w:lineRule="atLeast"/>
    </w:pPr>
    <w:rPr>
      <w:color w:val="000000"/>
      <w:sz w:val="19"/>
      <w:szCs w:val="19"/>
    </w:rPr>
  </w:style>
  <w:style w:type="character" w:customStyle="1" w:styleId="legaddition5">
    <w:name w:val="legaddition5"/>
    <w:basedOn w:val="DefaultParagraphFont"/>
    <w:rsid w:val="0038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2536">
      <w:bodyDiv w:val="1"/>
      <w:marLeft w:val="0"/>
      <w:marRight w:val="0"/>
      <w:marTop w:val="0"/>
      <w:marBottom w:val="0"/>
      <w:divBdr>
        <w:top w:val="none" w:sz="0" w:space="0" w:color="auto"/>
        <w:left w:val="none" w:sz="0" w:space="0" w:color="auto"/>
        <w:bottom w:val="none" w:sz="0" w:space="0" w:color="auto"/>
        <w:right w:val="none" w:sz="0" w:space="0" w:color="auto"/>
      </w:divBdr>
    </w:div>
    <w:div w:id="541329576">
      <w:bodyDiv w:val="1"/>
      <w:marLeft w:val="0"/>
      <w:marRight w:val="0"/>
      <w:marTop w:val="0"/>
      <w:marBottom w:val="0"/>
      <w:divBdr>
        <w:top w:val="none" w:sz="0" w:space="0" w:color="auto"/>
        <w:left w:val="none" w:sz="0" w:space="0" w:color="auto"/>
        <w:bottom w:val="none" w:sz="0" w:space="0" w:color="auto"/>
        <w:right w:val="none" w:sz="0" w:space="0" w:color="auto"/>
      </w:divBdr>
    </w:div>
    <w:div w:id="1175339931">
      <w:bodyDiv w:val="1"/>
      <w:marLeft w:val="0"/>
      <w:marRight w:val="0"/>
      <w:marTop w:val="0"/>
      <w:marBottom w:val="0"/>
      <w:divBdr>
        <w:top w:val="none" w:sz="0" w:space="0" w:color="auto"/>
        <w:left w:val="none" w:sz="0" w:space="0" w:color="auto"/>
        <w:bottom w:val="none" w:sz="0" w:space="0" w:color="auto"/>
        <w:right w:val="none" w:sz="0" w:space="0" w:color="auto"/>
      </w:divBdr>
    </w:div>
    <w:div w:id="1388070379">
      <w:bodyDiv w:val="1"/>
      <w:marLeft w:val="0"/>
      <w:marRight w:val="0"/>
      <w:marTop w:val="0"/>
      <w:marBottom w:val="0"/>
      <w:divBdr>
        <w:top w:val="none" w:sz="0" w:space="0" w:color="auto"/>
        <w:left w:val="none" w:sz="0" w:space="0" w:color="auto"/>
        <w:bottom w:val="none" w:sz="0" w:space="0" w:color="auto"/>
        <w:right w:val="none" w:sz="0" w:space="0" w:color="auto"/>
      </w:divBdr>
    </w:div>
    <w:div w:id="1703557991">
      <w:bodyDiv w:val="1"/>
      <w:marLeft w:val="0"/>
      <w:marRight w:val="0"/>
      <w:marTop w:val="0"/>
      <w:marBottom w:val="0"/>
      <w:divBdr>
        <w:top w:val="none" w:sz="0" w:space="0" w:color="auto"/>
        <w:left w:val="none" w:sz="0" w:space="0" w:color="auto"/>
        <w:bottom w:val="none" w:sz="0" w:space="0" w:color="auto"/>
        <w:right w:val="none" w:sz="0" w:space="0" w:color="auto"/>
      </w:divBdr>
    </w:div>
    <w:div w:id="1909030567">
      <w:bodyDiv w:val="1"/>
      <w:marLeft w:val="0"/>
      <w:marRight w:val="0"/>
      <w:marTop w:val="0"/>
      <w:marBottom w:val="0"/>
      <w:divBdr>
        <w:top w:val="none" w:sz="0" w:space="0" w:color="auto"/>
        <w:left w:val="none" w:sz="0" w:space="0" w:color="auto"/>
        <w:bottom w:val="none" w:sz="0" w:space="0" w:color="auto"/>
        <w:right w:val="none" w:sz="0" w:space="0" w:color="auto"/>
      </w:divBdr>
    </w:div>
    <w:div w:id="2110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daera-directed-agri-food-and-biosciences-institute-afbi-research-work-progra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bini.gov.uk/index/about-u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articles/collaborative-research-funding" TargetMode="External"/><Relationship Id="rId2" Type="http://schemas.openxmlformats.org/officeDocument/2006/relationships/hyperlink" Target="https://www.daera-ni.gov.uk/publications/daera-research-and-development-strategy-2022-2026" TargetMode="External"/><Relationship Id="rId1" Type="http://schemas.openxmlformats.org/officeDocument/2006/relationships/hyperlink" Target="https://www.daera-ni.gov.uk/sites/default/files/consultations/daera/daera-science-strategy-framework-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45B0-4A06-495C-AA2A-106C050F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8564</Characters>
  <Application>Microsoft Office Word</Application>
  <DocSecurity>0</DocSecurity>
  <Lines>214</Lines>
  <Paragraphs>43</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10119</CharactersWithSpaces>
  <SharedDoc>false</SharedDoc>
  <HLinks>
    <vt:vector size="18" baseType="variant">
      <vt:variant>
        <vt:i4>7340094</vt:i4>
      </vt:variant>
      <vt:variant>
        <vt:i4>6</vt:i4>
      </vt:variant>
      <vt:variant>
        <vt:i4>0</vt:i4>
      </vt:variant>
      <vt:variant>
        <vt:i4>5</vt:i4>
      </vt:variant>
      <vt:variant>
        <vt:lpwstr>http://www.dardni.gov.uk/index/strategies-reports-accounts/dard-research-section/dard-directed-agri-food-and-biosciences-institute-_afbi_-research-work-programme-2013-14.htm</vt:lpwstr>
      </vt:variant>
      <vt:variant>
        <vt:lpwstr/>
      </vt:variant>
      <vt:variant>
        <vt:i4>6422648</vt:i4>
      </vt:variant>
      <vt:variant>
        <vt:i4>3</vt:i4>
      </vt:variant>
      <vt:variant>
        <vt:i4>0</vt:i4>
      </vt:variant>
      <vt:variant>
        <vt:i4>5</vt:i4>
      </vt:variant>
      <vt:variant>
        <vt:lpwstr>http://www.afbini.gov.uk/index/about-us.htm</vt:lpwstr>
      </vt:variant>
      <vt:variant>
        <vt:lpwstr/>
      </vt:variant>
      <vt:variant>
        <vt:i4>983049</vt:i4>
      </vt:variant>
      <vt:variant>
        <vt:i4>0</vt:i4>
      </vt:variant>
      <vt:variant>
        <vt:i4>0</vt:i4>
      </vt:variant>
      <vt:variant>
        <vt:i4>5</vt:i4>
      </vt:variant>
      <vt:variant>
        <vt:lpwstr>http://www.dardni.gov.uk/index/publications/pubs-dard-strategies-reports-and-accounts/publications_strategies_newpage-2/publications_dard-research/business_area_-_research_and_education_policy_branch-newpage-10.htm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Fletcher</dc:creator>
  <cp:lastModifiedBy>O'Neill, Sharon (DAERA CSA’s Office)</cp:lastModifiedBy>
  <cp:revision>2</cp:revision>
  <cp:lastPrinted>2011-06-01T12:16:00Z</cp:lastPrinted>
  <dcterms:created xsi:type="dcterms:W3CDTF">2023-10-13T09:02:00Z</dcterms:created>
  <dcterms:modified xsi:type="dcterms:W3CDTF">2023-10-13T09:02:00Z</dcterms:modified>
</cp:coreProperties>
</file>