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EC77DE9" wp14:editId="26363906">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t xml:space="preserve"> </w:t>
      </w:r>
      <w:r w:rsidR="0058579E">
        <w:rPr>
          <w:noProof/>
          <w:lang w:eastAsia="en-GB"/>
        </w:rPr>
        <mc:AlternateContent>
          <mc:Choice Requires="wpc">
            <w:drawing>
              <wp:inline distT="0" distB="0" distL="0" distR="0" wp14:anchorId="09366BCE" wp14:editId="07D28266">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B11F36" w:rsidRDefault="00B11F36" w:rsidP="00E91D60">
                              <w:pPr>
                                <w:jc w:val="center"/>
                              </w:pPr>
                              <w:r>
                                <w:t>Policy Scoping</w:t>
                              </w:r>
                            </w:p>
                            <w:p w:rsidR="00B11F36" w:rsidRDefault="00B11F36" w:rsidP="00E91D60">
                              <w:pPr>
                                <w:numPr>
                                  <w:ilvl w:val="1"/>
                                  <w:numId w:val="7"/>
                                </w:numPr>
                              </w:pPr>
                              <w:r>
                                <w:t>Policy</w:t>
                              </w:r>
                            </w:p>
                            <w:p w:rsidR="00B11F36" w:rsidRDefault="00B11F36"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B11F36" w:rsidRDefault="00B11F36" w:rsidP="00E91D60">
                              <w:pPr>
                                <w:jc w:val="center"/>
                              </w:pPr>
                              <w:r>
                                <w:t>Screening Questions</w:t>
                              </w:r>
                            </w:p>
                            <w:p w:rsidR="00B11F36" w:rsidRDefault="00B11F36" w:rsidP="00E91D60">
                              <w:pPr>
                                <w:numPr>
                                  <w:ilvl w:val="0"/>
                                  <w:numId w:val="8"/>
                                </w:numPr>
                              </w:pPr>
                              <w:r>
                                <w:t>Apply screening questions</w:t>
                              </w:r>
                            </w:p>
                            <w:p w:rsidR="00B11F36" w:rsidRDefault="00B11F36"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B11F36" w:rsidRDefault="00B11F36"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B11F36" w:rsidRDefault="00B11F36"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B11F36" w:rsidRDefault="00B11F36"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B11F36" w:rsidRDefault="00B11F36"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B11F36" w:rsidRDefault="00B11F36" w:rsidP="00E91D60">
                              <w:r>
                                <w:t>Publish Template</w:t>
                              </w:r>
                            </w:p>
                            <w:p w:rsidR="00B11F36" w:rsidRDefault="00B11F36"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B11F36" w:rsidRDefault="00B11F36"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B11F36" w:rsidRDefault="00B11F36"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B11F36" w:rsidRDefault="00B11F36"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F36" w:rsidRPr="004D02B0" w:rsidRDefault="00B11F36" w:rsidP="00E91D60">
                              <w:pPr>
                                <w:rPr>
                                  <w:b/>
                                  <w:sz w:val="22"/>
                                  <w:szCs w:val="22"/>
                                </w:rPr>
                              </w:pPr>
                              <w:r w:rsidRPr="004D02B0">
                                <w:rPr>
                                  <w:b/>
                                  <w:sz w:val="22"/>
                                  <w:szCs w:val="22"/>
                                </w:rPr>
                                <w:t>‘None’</w:t>
                              </w:r>
                            </w:p>
                            <w:p w:rsidR="00B11F36" w:rsidRPr="00526D0F" w:rsidRDefault="00B11F36" w:rsidP="00E91D60">
                              <w:pPr>
                                <w:rPr>
                                  <w:sz w:val="22"/>
                                  <w:szCs w:val="22"/>
                                </w:rPr>
                              </w:pPr>
                              <w:r w:rsidRPr="00526D0F">
                                <w:rPr>
                                  <w:sz w:val="22"/>
                                  <w:szCs w:val="22"/>
                                </w:rPr>
                                <w:t>Screened out</w:t>
                              </w:r>
                            </w:p>
                            <w:p w:rsidR="00B11F36" w:rsidRDefault="00B11F36"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F36" w:rsidRPr="004D02B0" w:rsidRDefault="00B11F36" w:rsidP="00E91D60">
                              <w:pPr>
                                <w:rPr>
                                  <w:b/>
                                  <w:sz w:val="22"/>
                                  <w:szCs w:val="22"/>
                                </w:rPr>
                              </w:pPr>
                              <w:r>
                                <w:rPr>
                                  <w:b/>
                                  <w:sz w:val="22"/>
                                  <w:szCs w:val="22"/>
                                </w:rPr>
                                <w:t>‘</w:t>
                              </w:r>
                              <w:r w:rsidRPr="004D02B0">
                                <w:rPr>
                                  <w:b/>
                                  <w:sz w:val="22"/>
                                  <w:szCs w:val="22"/>
                                </w:rPr>
                                <w:t>Major</w:t>
                              </w:r>
                              <w:r>
                                <w:rPr>
                                  <w:b/>
                                  <w:sz w:val="22"/>
                                  <w:szCs w:val="22"/>
                                </w:rPr>
                                <w:t>’</w:t>
                              </w:r>
                            </w:p>
                            <w:p w:rsidR="00B11F36" w:rsidRPr="00526D0F" w:rsidRDefault="00B11F36"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F36" w:rsidRPr="004D02B0" w:rsidRDefault="00B11F36" w:rsidP="00E91D60">
                              <w:pPr>
                                <w:rPr>
                                  <w:b/>
                                  <w:sz w:val="22"/>
                                  <w:szCs w:val="22"/>
                                </w:rPr>
                              </w:pPr>
                              <w:r>
                                <w:rPr>
                                  <w:b/>
                                  <w:sz w:val="22"/>
                                  <w:szCs w:val="22"/>
                                </w:rPr>
                                <w:t>‘</w:t>
                              </w:r>
                              <w:r w:rsidRPr="004D02B0">
                                <w:rPr>
                                  <w:b/>
                                  <w:sz w:val="22"/>
                                  <w:szCs w:val="22"/>
                                </w:rPr>
                                <w:t>Minor</w:t>
                              </w:r>
                              <w:r>
                                <w:rPr>
                                  <w:b/>
                                  <w:sz w:val="22"/>
                                  <w:szCs w:val="22"/>
                                </w:rPr>
                                <w:t>’</w:t>
                              </w:r>
                            </w:p>
                            <w:p w:rsidR="00B11F36" w:rsidRPr="00526D0F" w:rsidRDefault="00B11F36"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F36" w:rsidRPr="00305E79" w:rsidRDefault="00B11F36"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F36" w:rsidRDefault="00B11F3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9366BC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B11F36" w:rsidRDefault="00B11F36" w:rsidP="00E91D60">
                        <w:pPr>
                          <w:jc w:val="center"/>
                        </w:pPr>
                        <w:r>
                          <w:t>Policy Scoping</w:t>
                        </w:r>
                      </w:p>
                      <w:p w:rsidR="00B11F36" w:rsidRDefault="00B11F36" w:rsidP="00E91D60">
                        <w:pPr>
                          <w:numPr>
                            <w:ilvl w:val="1"/>
                            <w:numId w:val="7"/>
                          </w:numPr>
                        </w:pPr>
                        <w:r>
                          <w:t>Policy</w:t>
                        </w:r>
                      </w:p>
                      <w:p w:rsidR="00B11F36" w:rsidRDefault="00B11F36"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11F36" w:rsidRDefault="00B11F36" w:rsidP="00E91D60">
                        <w:pPr>
                          <w:jc w:val="center"/>
                        </w:pPr>
                        <w:r>
                          <w:t>Screening Questions</w:t>
                        </w:r>
                      </w:p>
                      <w:p w:rsidR="00B11F36" w:rsidRDefault="00B11F36" w:rsidP="00E91D60">
                        <w:pPr>
                          <w:numPr>
                            <w:ilvl w:val="0"/>
                            <w:numId w:val="8"/>
                          </w:numPr>
                        </w:pPr>
                        <w:r>
                          <w:t>Apply screening questions</w:t>
                        </w:r>
                      </w:p>
                      <w:p w:rsidR="00B11F36" w:rsidRDefault="00B11F36"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11F36" w:rsidRDefault="00B11F36"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11F36" w:rsidRDefault="00B11F36"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11F36" w:rsidRDefault="00B11F36"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11F36" w:rsidRDefault="00B11F36"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11F36" w:rsidRDefault="00B11F36" w:rsidP="00E91D60">
                        <w:r>
                          <w:t>Publish Template</w:t>
                        </w:r>
                      </w:p>
                      <w:p w:rsidR="00B11F36" w:rsidRDefault="00B11F36"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11F36" w:rsidRDefault="00B11F36"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11F36" w:rsidRDefault="00B11F36"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11F36" w:rsidRDefault="00B11F36"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B11F36" w:rsidRPr="004D02B0" w:rsidRDefault="00B11F36" w:rsidP="00E91D60">
                        <w:pPr>
                          <w:rPr>
                            <w:b/>
                            <w:sz w:val="22"/>
                            <w:szCs w:val="22"/>
                          </w:rPr>
                        </w:pPr>
                        <w:r w:rsidRPr="004D02B0">
                          <w:rPr>
                            <w:b/>
                            <w:sz w:val="22"/>
                            <w:szCs w:val="22"/>
                          </w:rPr>
                          <w:t>‘None’</w:t>
                        </w:r>
                      </w:p>
                      <w:p w:rsidR="00B11F36" w:rsidRPr="00526D0F" w:rsidRDefault="00B11F36" w:rsidP="00E91D60">
                        <w:pPr>
                          <w:rPr>
                            <w:sz w:val="22"/>
                            <w:szCs w:val="22"/>
                          </w:rPr>
                        </w:pPr>
                        <w:r w:rsidRPr="00526D0F">
                          <w:rPr>
                            <w:sz w:val="22"/>
                            <w:szCs w:val="22"/>
                          </w:rPr>
                          <w:t>Screened out</w:t>
                        </w:r>
                      </w:p>
                      <w:p w:rsidR="00B11F36" w:rsidRDefault="00B11F36"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11F36" w:rsidRPr="004D02B0" w:rsidRDefault="00B11F36" w:rsidP="00E91D60">
                        <w:pPr>
                          <w:rPr>
                            <w:b/>
                            <w:sz w:val="22"/>
                            <w:szCs w:val="22"/>
                          </w:rPr>
                        </w:pPr>
                        <w:r>
                          <w:rPr>
                            <w:b/>
                            <w:sz w:val="22"/>
                            <w:szCs w:val="22"/>
                          </w:rPr>
                          <w:t>‘</w:t>
                        </w:r>
                        <w:r w:rsidRPr="004D02B0">
                          <w:rPr>
                            <w:b/>
                            <w:sz w:val="22"/>
                            <w:szCs w:val="22"/>
                          </w:rPr>
                          <w:t>Major</w:t>
                        </w:r>
                        <w:r>
                          <w:rPr>
                            <w:b/>
                            <w:sz w:val="22"/>
                            <w:szCs w:val="22"/>
                          </w:rPr>
                          <w:t>’</w:t>
                        </w:r>
                      </w:p>
                      <w:p w:rsidR="00B11F36" w:rsidRPr="00526D0F" w:rsidRDefault="00B11F36"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B11F36" w:rsidRPr="004D02B0" w:rsidRDefault="00B11F36" w:rsidP="00E91D60">
                        <w:pPr>
                          <w:rPr>
                            <w:b/>
                            <w:sz w:val="22"/>
                            <w:szCs w:val="22"/>
                          </w:rPr>
                        </w:pPr>
                        <w:r>
                          <w:rPr>
                            <w:b/>
                            <w:sz w:val="22"/>
                            <w:szCs w:val="22"/>
                          </w:rPr>
                          <w:t>‘</w:t>
                        </w:r>
                        <w:r w:rsidRPr="004D02B0">
                          <w:rPr>
                            <w:b/>
                            <w:sz w:val="22"/>
                            <w:szCs w:val="22"/>
                          </w:rPr>
                          <w:t>Minor</w:t>
                        </w:r>
                        <w:r>
                          <w:rPr>
                            <w:b/>
                            <w:sz w:val="22"/>
                            <w:szCs w:val="22"/>
                          </w:rPr>
                          <w:t>’</w:t>
                        </w:r>
                      </w:p>
                      <w:p w:rsidR="00B11F36" w:rsidRPr="00526D0F" w:rsidRDefault="00B11F36"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11F36" w:rsidRPr="00305E79" w:rsidRDefault="00B11F36"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B11F36" w:rsidRDefault="00B11F3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586C69" w:rsidRDefault="00586C69" w:rsidP="004E3127">
      <w:pPr>
        <w:rPr>
          <w:rFonts w:cs="Arial"/>
          <w:sz w:val="28"/>
          <w:szCs w:val="28"/>
        </w:rPr>
      </w:pPr>
    </w:p>
    <w:p w:rsidR="004E3127" w:rsidRPr="00586C69" w:rsidRDefault="00586C69" w:rsidP="00586C69">
      <w:pPr>
        <w:pStyle w:val="DARDEqualityTextBold"/>
        <w:spacing w:before="20"/>
        <w:rPr>
          <w:b w:val="0"/>
          <w:color w:val="auto"/>
          <w:sz w:val="24"/>
        </w:rPr>
      </w:pPr>
      <w:r w:rsidRPr="00295B5D">
        <w:rPr>
          <w:b w:val="0"/>
          <w:color w:val="auto"/>
          <w:sz w:val="24"/>
        </w:rPr>
        <w:t>Public consultation on The Single Use Carrier Bags Charge Regulations (Northern Ireland) 2013</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Pr="00DB4D6B" w:rsidRDefault="00586C69" w:rsidP="004E3127">
      <w:pPr>
        <w:rPr>
          <w:szCs w:val="24"/>
        </w:rPr>
      </w:pPr>
      <w:r w:rsidRPr="00DB4D6B">
        <w:rPr>
          <w:rFonts w:cs="Arial"/>
          <w:szCs w:val="24"/>
        </w:rPr>
        <w:t>This is an existing policy.</w:t>
      </w:r>
    </w:p>
    <w:p w:rsidR="004E3127" w:rsidRPr="00DB4D6B" w:rsidRDefault="004E3127" w:rsidP="004E3127">
      <w:pPr>
        <w:rPr>
          <w:rFonts w:cs="Arial"/>
          <w:szCs w:val="24"/>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586C69" w:rsidRPr="0008711A" w:rsidRDefault="00586C69" w:rsidP="004B7552">
      <w:pPr>
        <w:pStyle w:val="DARDEqualityTextBold"/>
        <w:spacing w:line="240" w:lineRule="auto"/>
        <w:jc w:val="both"/>
        <w:rPr>
          <w:b w:val="0"/>
          <w:sz w:val="24"/>
          <w:szCs w:val="24"/>
        </w:rPr>
      </w:pPr>
      <w:r w:rsidRPr="0008711A">
        <w:rPr>
          <w:b w:val="0"/>
          <w:color w:val="auto"/>
          <w:sz w:val="24"/>
          <w:szCs w:val="24"/>
        </w:rPr>
        <w:t xml:space="preserve">This public consultation will seek to make changes to the existing Carrier Bags Charge Regulations to reduce the number of carrier bags in circulation throughout Northern Ireland </w:t>
      </w:r>
      <w:r w:rsidR="006E62A7">
        <w:rPr>
          <w:b w:val="0"/>
          <w:color w:val="auto"/>
          <w:sz w:val="24"/>
          <w:szCs w:val="24"/>
        </w:rPr>
        <w:t xml:space="preserve">(NI) </w:t>
      </w:r>
      <w:r w:rsidRPr="0008711A">
        <w:rPr>
          <w:b w:val="0"/>
          <w:color w:val="auto"/>
          <w:sz w:val="24"/>
          <w:szCs w:val="24"/>
        </w:rPr>
        <w:t xml:space="preserve">by increasing the levy, removing the threshold and by removing, amending and simplifying some exemptions for both retailers and </w:t>
      </w:r>
      <w:r>
        <w:rPr>
          <w:b w:val="0"/>
          <w:color w:val="auto"/>
          <w:sz w:val="24"/>
          <w:szCs w:val="24"/>
        </w:rPr>
        <w:t>consumers</w:t>
      </w:r>
      <w:r w:rsidRPr="0008711A">
        <w:rPr>
          <w:b w:val="0"/>
          <w:color w:val="auto"/>
          <w:sz w:val="24"/>
          <w:szCs w:val="24"/>
        </w:rPr>
        <w:t xml:space="preserve">.  </w:t>
      </w:r>
      <w:r>
        <w:rPr>
          <w:b w:val="0"/>
          <w:color w:val="auto"/>
          <w:sz w:val="24"/>
          <w:szCs w:val="24"/>
        </w:rPr>
        <w:t>There may be an impact to citizens, therefore the public consultation will be open to all</w:t>
      </w:r>
      <w:r w:rsidR="00B11F36">
        <w:rPr>
          <w:b w:val="0"/>
          <w:color w:val="auto"/>
          <w:sz w:val="24"/>
          <w:szCs w:val="24"/>
        </w:rPr>
        <w:t>.</w:t>
      </w:r>
      <w:r>
        <w:rPr>
          <w:b w:val="0"/>
          <w:color w:val="auto"/>
          <w:sz w:val="24"/>
          <w:szCs w:val="24"/>
        </w:rPr>
        <w:t xml:space="preserve">  </w:t>
      </w:r>
      <w:r w:rsidRPr="0008711A">
        <w:rPr>
          <w:b w:val="0"/>
          <w:color w:val="auto"/>
          <w:sz w:val="24"/>
          <w:szCs w:val="24"/>
        </w:rPr>
        <w:t xml:space="preserve">A change to legislation will be required and will be laid before the NI Assembly by the DAERA Minister.  There will be financial implications </w:t>
      </w:r>
      <w:r w:rsidR="006E62A7">
        <w:rPr>
          <w:b w:val="0"/>
          <w:color w:val="auto"/>
          <w:sz w:val="24"/>
          <w:szCs w:val="24"/>
        </w:rPr>
        <w:t>if approved as</w:t>
      </w:r>
      <w:r w:rsidRPr="0008711A">
        <w:rPr>
          <w:b w:val="0"/>
          <w:color w:val="auto"/>
          <w:sz w:val="24"/>
          <w:szCs w:val="24"/>
        </w:rPr>
        <w:t xml:space="preserve"> it is expected that the levy will increase</w:t>
      </w:r>
      <w:r w:rsidR="006E62A7">
        <w:rPr>
          <w:b w:val="0"/>
          <w:color w:val="auto"/>
          <w:sz w:val="24"/>
          <w:szCs w:val="24"/>
        </w:rPr>
        <w:t>, although the levy is not a tax and can be avoided if consumers bring their own bag</w:t>
      </w:r>
      <w:r w:rsidRPr="0008711A">
        <w:rPr>
          <w:b w:val="0"/>
          <w:color w:val="auto"/>
          <w:sz w:val="24"/>
          <w:szCs w:val="24"/>
        </w:rPr>
        <w:t xml:space="preserve">.  </w:t>
      </w:r>
      <w:r w:rsidR="00E10E3E">
        <w:rPr>
          <w:b w:val="0"/>
          <w:color w:val="auto"/>
          <w:sz w:val="24"/>
          <w:szCs w:val="24"/>
        </w:rPr>
        <w:t xml:space="preserve">DAERA have consulted with economists in regard to any increase and this information will be taken into consideration, as will the views and any concerns of consultees following the public consultation. </w:t>
      </w:r>
      <w:r w:rsidR="00E10E3E" w:rsidRPr="00E10E3E">
        <w:rPr>
          <w:b w:val="0"/>
          <w:color w:val="auto"/>
          <w:sz w:val="24"/>
          <w:szCs w:val="24"/>
        </w:rPr>
        <w:t>The Continuous Household Survey compiled by NISRA for the period 2012-2019 shows that in 2019, 78% of households surveyed are concerned for the environment</w:t>
      </w:r>
      <w:r w:rsidR="00E10E3E">
        <w:rPr>
          <w:b w:val="0"/>
          <w:color w:val="auto"/>
          <w:sz w:val="24"/>
          <w:szCs w:val="24"/>
        </w:rPr>
        <w:t xml:space="preserve"> and that 83% of households reuse plastic bags</w:t>
      </w:r>
      <w:r w:rsidR="002C720A">
        <w:rPr>
          <w:rStyle w:val="FootnoteReference"/>
          <w:b w:val="0"/>
          <w:color w:val="auto"/>
          <w:sz w:val="24"/>
          <w:szCs w:val="24"/>
        </w:rPr>
        <w:footnoteReference w:id="1"/>
      </w:r>
      <w:r w:rsidR="00E10E3E">
        <w:rPr>
          <w:b w:val="0"/>
          <w:color w:val="auto"/>
          <w:sz w:val="24"/>
          <w:szCs w:val="24"/>
        </w:rPr>
        <w:t xml:space="preserve">.  </w:t>
      </w:r>
    </w:p>
    <w:p w:rsidR="004E3127" w:rsidRPr="00495BF0" w:rsidRDefault="004E3127" w:rsidP="004E3127">
      <w:pPr>
        <w:rPr>
          <w:rFonts w:cs="Arial"/>
          <w:sz w:val="28"/>
          <w:szCs w:val="28"/>
        </w:rPr>
      </w:pPr>
    </w:p>
    <w:p w:rsidR="002C720A" w:rsidRDefault="002C720A" w:rsidP="004E3127">
      <w:pPr>
        <w:rPr>
          <w:rFonts w:cs="Arial"/>
          <w:b/>
          <w:sz w:val="28"/>
          <w:szCs w:val="28"/>
        </w:rPr>
      </w:pPr>
    </w:p>
    <w:p w:rsidR="002C720A" w:rsidRDefault="002C720A" w:rsidP="004E3127">
      <w:pPr>
        <w:rPr>
          <w:rFonts w:cs="Arial"/>
          <w:b/>
          <w:sz w:val="28"/>
          <w:szCs w:val="28"/>
        </w:rPr>
      </w:pPr>
    </w:p>
    <w:p w:rsidR="002C720A" w:rsidRDefault="002C720A"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Default="004E3127" w:rsidP="004E3127">
      <w:pPr>
        <w:rPr>
          <w:rFonts w:cs="Arial"/>
          <w:b/>
          <w:sz w:val="28"/>
          <w:szCs w:val="28"/>
        </w:rPr>
      </w:pPr>
      <w:r w:rsidRPr="00DC4732">
        <w:rPr>
          <w:rFonts w:cs="Arial"/>
          <w:b/>
          <w:sz w:val="28"/>
          <w:szCs w:val="28"/>
        </w:rPr>
        <w:t xml:space="preserve">If so, explain how. </w:t>
      </w:r>
    </w:p>
    <w:p w:rsidR="0083603E" w:rsidRDefault="0083603E" w:rsidP="004E3127">
      <w:pPr>
        <w:rPr>
          <w:rFonts w:cs="Arial"/>
          <w:b/>
          <w:sz w:val="28"/>
          <w:szCs w:val="28"/>
        </w:rPr>
      </w:pPr>
    </w:p>
    <w:p w:rsidR="0083603E" w:rsidRDefault="0083603E" w:rsidP="004E3127">
      <w:pPr>
        <w:rPr>
          <w:rFonts w:cs="Arial"/>
          <w:b/>
          <w:sz w:val="28"/>
          <w:szCs w:val="28"/>
        </w:rPr>
      </w:pPr>
    </w:p>
    <w:p w:rsidR="0083603E" w:rsidRDefault="0083603E" w:rsidP="004B7552">
      <w:pPr>
        <w:jc w:val="both"/>
        <w:rPr>
          <w:szCs w:val="24"/>
        </w:rPr>
      </w:pPr>
      <w:r>
        <w:rPr>
          <w:szCs w:val="24"/>
        </w:rPr>
        <w:t xml:space="preserve">All categories may be expected to benefit generally from the policy.  </w:t>
      </w:r>
    </w:p>
    <w:p w:rsidR="0083603E" w:rsidRDefault="0083603E" w:rsidP="004B7552">
      <w:pPr>
        <w:jc w:val="both"/>
        <w:rPr>
          <w:szCs w:val="24"/>
        </w:rPr>
      </w:pPr>
      <w:r>
        <w:rPr>
          <w:szCs w:val="24"/>
        </w:rPr>
        <w:t xml:space="preserve">It is intended that all citizens will benefit from the policy, as it gathers views on the use and reuse of carrier bags in </w:t>
      </w:r>
      <w:r w:rsidR="006E62A7">
        <w:rPr>
          <w:szCs w:val="24"/>
        </w:rPr>
        <w:t>NI</w:t>
      </w:r>
      <w:r>
        <w:rPr>
          <w:szCs w:val="24"/>
        </w:rPr>
        <w:t xml:space="preserve">.  The sustainability of our natural resources is dependent on environmental initiatives and policies to benefit wider society.  The policy specifically aims to encourage reuse of carrier bags in NI, reduce waste, promote better understanding of environmental issues, and to make our resources more sustainable for the future.  </w:t>
      </w:r>
    </w:p>
    <w:p w:rsidR="00DA1137" w:rsidRDefault="0083603E" w:rsidP="004B7552">
      <w:pPr>
        <w:jc w:val="both"/>
        <w:rPr>
          <w:szCs w:val="24"/>
        </w:rPr>
      </w:pPr>
      <w:r>
        <w:rPr>
          <w:szCs w:val="24"/>
        </w:rPr>
        <w:t xml:space="preserve">In this sense, </w:t>
      </w:r>
      <w:r w:rsidR="00835A28">
        <w:rPr>
          <w:szCs w:val="24"/>
        </w:rPr>
        <w:t>all citizens and therefore all categories</w:t>
      </w:r>
      <w:r>
        <w:rPr>
          <w:szCs w:val="24"/>
        </w:rPr>
        <w:t xml:space="preserve"> would be expected to benefit from the intended policy as it promotes greater societal awareness of environmental and sustainability issues.</w:t>
      </w:r>
    </w:p>
    <w:p w:rsidR="0083603E" w:rsidRPr="0083603E" w:rsidRDefault="00DA1137" w:rsidP="004B7552">
      <w:pPr>
        <w:jc w:val="both"/>
        <w:rPr>
          <w:rFonts w:cs="Arial"/>
          <w:sz w:val="28"/>
          <w:szCs w:val="28"/>
        </w:rPr>
      </w:pPr>
      <w:r>
        <w:rPr>
          <w:szCs w:val="24"/>
        </w:rPr>
        <w:t xml:space="preserve">The Continuous Household Survey compiled by NISRA for the period 2012-2019 shows that </w:t>
      </w:r>
      <w:r w:rsidR="00700DA1">
        <w:rPr>
          <w:szCs w:val="24"/>
        </w:rPr>
        <w:t xml:space="preserve">in 2019, </w:t>
      </w:r>
      <w:r>
        <w:rPr>
          <w:szCs w:val="24"/>
        </w:rPr>
        <w:t xml:space="preserve">78% of </w:t>
      </w:r>
      <w:r w:rsidR="00700DA1">
        <w:rPr>
          <w:szCs w:val="24"/>
        </w:rPr>
        <w:t>households</w:t>
      </w:r>
      <w:r>
        <w:rPr>
          <w:szCs w:val="24"/>
        </w:rPr>
        <w:t xml:space="preserve"> surveyed are concerned for the environment</w:t>
      </w:r>
      <w:r w:rsidR="00700DA1">
        <w:rPr>
          <w:szCs w:val="24"/>
        </w:rPr>
        <w:t xml:space="preserve"> and that 69% had heard the term ‘Reduce, Reuse, Recycle</w:t>
      </w:r>
      <w:r w:rsidR="00700DA1">
        <w:rPr>
          <w:rStyle w:val="FootnoteReference"/>
          <w:szCs w:val="24"/>
        </w:rPr>
        <w:footnoteReference w:id="2"/>
      </w:r>
      <w:r w:rsidR="00700DA1">
        <w:rPr>
          <w:szCs w:val="24"/>
        </w:rPr>
        <w:t>’.</w:t>
      </w:r>
    </w:p>
    <w:p w:rsidR="0083603E" w:rsidRDefault="0083603E" w:rsidP="00586C69">
      <w:pPr>
        <w:rPr>
          <w:rFonts w:cs="Arial"/>
          <w:b/>
          <w:i/>
          <w:sz w:val="28"/>
          <w:szCs w:val="28"/>
        </w:rPr>
      </w:pPr>
    </w:p>
    <w:p w:rsidR="0083603E" w:rsidRDefault="0083603E" w:rsidP="00586C69">
      <w:pPr>
        <w:rPr>
          <w:rFonts w:cs="Arial"/>
          <w:b/>
          <w:i/>
          <w:sz w:val="28"/>
          <w:szCs w:val="28"/>
        </w:rPr>
      </w:pP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Pr="002C720A" w:rsidRDefault="00586C69" w:rsidP="004E3127">
      <w:pPr>
        <w:rPr>
          <w:szCs w:val="24"/>
        </w:rPr>
      </w:pPr>
      <w:r w:rsidRPr="002C720A">
        <w:rPr>
          <w:rFonts w:cs="Arial"/>
          <w:szCs w:val="24"/>
        </w:rPr>
        <w:t xml:space="preserve">The Department of Agriculture, Environment and Rural Affairs (DAERA) initiated and wrote the policy on behalf of the devolved administration. </w:t>
      </w:r>
    </w:p>
    <w:p w:rsidR="004E3127" w:rsidRPr="002C720A" w:rsidRDefault="004E3127" w:rsidP="004E3127">
      <w:pPr>
        <w:rPr>
          <w:rFonts w:cs="Arial"/>
          <w:szCs w:val="24"/>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E91D60" w:rsidRPr="002C720A" w:rsidRDefault="00586C69" w:rsidP="00E91D60">
      <w:pPr>
        <w:rPr>
          <w:rFonts w:cs="Arial"/>
          <w:b/>
          <w:szCs w:val="24"/>
        </w:rPr>
      </w:pPr>
      <w:r w:rsidRPr="002C720A">
        <w:rPr>
          <w:rFonts w:cs="Arial"/>
          <w:szCs w:val="24"/>
        </w:rPr>
        <w:t xml:space="preserve">The Department of Agriculture, Environment and Rural Affairs (DAERA) owns and implements the policy. </w:t>
      </w: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w:t>
      </w:r>
      <w:r w:rsidR="002C720A">
        <w:rPr>
          <w:rFonts w:cs="Arial"/>
          <w:b/>
          <w:sz w:val="28"/>
          <w:szCs w:val="28"/>
        </w:rPr>
        <w:t xml:space="preserve"> </w:t>
      </w:r>
    </w:p>
    <w:p w:rsidR="00E91D60" w:rsidRPr="008925FE" w:rsidRDefault="00E91D60" w:rsidP="00E91D60">
      <w:pPr>
        <w:rPr>
          <w:rFonts w:cs="Arial"/>
          <w:b/>
          <w:sz w:val="28"/>
          <w:szCs w:val="28"/>
        </w:rPr>
      </w:pPr>
    </w:p>
    <w:p w:rsidR="00E91D60" w:rsidRPr="008925FE" w:rsidRDefault="00DC4732" w:rsidP="00480690">
      <w:pPr>
        <w:jc w:val="both"/>
        <w:rPr>
          <w:rFonts w:cs="Arial"/>
          <w:b/>
          <w:sz w:val="28"/>
          <w:szCs w:val="28"/>
        </w:rPr>
      </w:pPr>
      <w:r w:rsidRPr="008925FE">
        <w:rPr>
          <w:rFonts w:cs="Arial"/>
          <w:b/>
          <w:sz w:val="28"/>
          <w:szCs w:val="28"/>
        </w:rPr>
        <w:t>F</w:t>
      </w:r>
      <w:r w:rsidR="00E91D60" w:rsidRPr="008925FE">
        <w:rPr>
          <w:rFonts w:cs="Arial"/>
          <w:b/>
          <w:sz w:val="28"/>
          <w:szCs w:val="28"/>
        </w:rPr>
        <w:t>inancial</w:t>
      </w:r>
      <w:r w:rsidR="002C720A">
        <w:rPr>
          <w:rFonts w:cs="Arial"/>
          <w:b/>
          <w:sz w:val="28"/>
          <w:szCs w:val="28"/>
        </w:rPr>
        <w:t xml:space="preserve"> – </w:t>
      </w:r>
      <w:r w:rsidR="002C720A" w:rsidRPr="002C720A">
        <w:rPr>
          <w:rFonts w:cs="Arial"/>
          <w:szCs w:val="24"/>
        </w:rPr>
        <w:t>the</w:t>
      </w:r>
      <w:r w:rsidR="006E62A7">
        <w:rPr>
          <w:rFonts w:cs="Arial"/>
          <w:szCs w:val="24"/>
        </w:rPr>
        <w:t xml:space="preserve">re is a </w:t>
      </w:r>
      <w:r w:rsidR="002C720A" w:rsidRPr="002C720A">
        <w:rPr>
          <w:rFonts w:cs="Arial"/>
          <w:szCs w:val="24"/>
        </w:rPr>
        <w:t xml:space="preserve">possible increased </w:t>
      </w:r>
      <w:r w:rsidR="006E62A7">
        <w:rPr>
          <w:rFonts w:cs="Arial"/>
          <w:szCs w:val="24"/>
        </w:rPr>
        <w:t>cost to consumers, although t</w:t>
      </w:r>
      <w:r w:rsidR="004B7552">
        <w:rPr>
          <w:szCs w:val="24"/>
        </w:rPr>
        <w:t>he levy is not a tax</w:t>
      </w:r>
      <w:r w:rsidR="006E62A7" w:rsidRPr="006E62A7">
        <w:rPr>
          <w:b/>
          <w:szCs w:val="24"/>
        </w:rPr>
        <w:t xml:space="preserve"> </w:t>
      </w:r>
      <w:r w:rsidR="006E62A7" w:rsidRPr="006E62A7">
        <w:rPr>
          <w:szCs w:val="24"/>
        </w:rPr>
        <w:t xml:space="preserve">and can be avoided if consumers bring their own bag.  </w:t>
      </w:r>
      <w:r w:rsidR="002C720A" w:rsidRPr="002C720A">
        <w:rPr>
          <w:rFonts w:cs="Arial"/>
          <w:szCs w:val="24"/>
        </w:rPr>
        <w:t>The department are conducting a public consultation to gather views on the policy and will consider all responses.</w:t>
      </w:r>
      <w:r w:rsidR="002C720A">
        <w:rPr>
          <w:rFonts w:cs="Arial"/>
          <w:b/>
          <w:sz w:val="28"/>
          <w:szCs w:val="28"/>
        </w:rPr>
        <w:t xml:space="preserve"> </w:t>
      </w:r>
    </w:p>
    <w:p w:rsidR="00E91D60" w:rsidRPr="008925FE" w:rsidRDefault="00E91D60" w:rsidP="00480690">
      <w:pPr>
        <w:jc w:val="both"/>
        <w:rPr>
          <w:rFonts w:cs="Arial"/>
          <w:b/>
          <w:sz w:val="28"/>
          <w:szCs w:val="28"/>
        </w:rPr>
      </w:pPr>
    </w:p>
    <w:p w:rsidR="00E91D60" w:rsidRPr="002C720A" w:rsidRDefault="00DC4732" w:rsidP="007067B2">
      <w:pPr>
        <w:rPr>
          <w:rFonts w:cs="Arial"/>
          <w:szCs w:val="24"/>
        </w:rPr>
      </w:pPr>
      <w:r w:rsidRPr="008925FE">
        <w:rPr>
          <w:rFonts w:cs="Arial"/>
          <w:b/>
          <w:sz w:val="28"/>
          <w:szCs w:val="28"/>
        </w:rPr>
        <w:t>L</w:t>
      </w:r>
      <w:r w:rsidR="00E91D60" w:rsidRPr="008925FE">
        <w:rPr>
          <w:rFonts w:cs="Arial"/>
          <w:b/>
          <w:sz w:val="28"/>
          <w:szCs w:val="28"/>
        </w:rPr>
        <w:t>egislative</w:t>
      </w:r>
      <w:r w:rsidR="002C720A">
        <w:rPr>
          <w:rFonts w:cs="Arial"/>
          <w:b/>
          <w:sz w:val="28"/>
          <w:szCs w:val="28"/>
        </w:rPr>
        <w:t xml:space="preserve"> - </w:t>
      </w:r>
      <w:r w:rsidR="002C720A" w:rsidRPr="002C720A">
        <w:rPr>
          <w:rFonts w:cs="Arial"/>
          <w:szCs w:val="24"/>
        </w:rPr>
        <w:t>none</w:t>
      </w:r>
    </w:p>
    <w:p w:rsidR="00E91D60" w:rsidRPr="008925FE" w:rsidRDefault="00E91D60" w:rsidP="007067B2">
      <w:pPr>
        <w:rPr>
          <w:rFonts w:cs="Arial"/>
          <w:b/>
          <w:sz w:val="28"/>
          <w:szCs w:val="28"/>
        </w:rPr>
      </w:pPr>
    </w:p>
    <w:p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w:t>
      </w:r>
      <w:r w:rsidR="002C720A">
        <w:rPr>
          <w:rFonts w:cs="Arial"/>
          <w:sz w:val="28"/>
          <w:szCs w:val="28"/>
        </w:rPr>
        <w:t>n/a</w:t>
      </w:r>
      <w:r>
        <w:rPr>
          <w:rFonts w:cs="Arial"/>
          <w:sz w:val="28"/>
          <w:szCs w:val="28"/>
        </w:rPr>
        <w:t>______________________________</w:t>
      </w:r>
    </w:p>
    <w:p w:rsidR="00E91D60" w:rsidRDefault="00E91D60" w:rsidP="00E91D60">
      <w:pPr>
        <w:rPr>
          <w:rFonts w:cs="Arial"/>
          <w:b/>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
    <w:p w:rsidR="00E91D60" w:rsidRPr="00CC0740" w:rsidRDefault="00E91D60" w:rsidP="00E91D60">
      <w:pPr>
        <w:spacing w:before="120"/>
        <w:ind w:left="301"/>
        <w:rPr>
          <w:rFonts w:cs="Arial"/>
          <w:sz w:val="28"/>
          <w:szCs w:val="28"/>
        </w:rPr>
      </w:pPr>
    </w:p>
    <w:p w:rsidR="00601B23" w:rsidRPr="002C720A" w:rsidRDefault="00680382" w:rsidP="00480690">
      <w:pPr>
        <w:jc w:val="both"/>
        <w:rPr>
          <w:rFonts w:cs="Arial"/>
          <w:szCs w:val="24"/>
        </w:rPr>
      </w:pPr>
      <w:r w:rsidRPr="002C720A">
        <w:rPr>
          <w:rFonts w:cs="Arial"/>
          <w:szCs w:val="24"/>
        </w:rPr>
        <w:t>There is a potential impact on citizens includ</w:t>
      </w:r>
      <w:r w:rsidR="00B11F36">
        <w:rPr>
          <w:rFonts w:cs="Arial"/>
          <w:szCs w:val="24"/>
        </w:rPr>
        <w:t>ing</w:t>
      </w:r>
      <w:r w:rsidRPr="002C720A">
        <w:rPr>
          <w:rFonts w:cs="Arial"/>
          <w:szCs w:val="24"/>
        </w:rPr>
        <w:t xml:space="preserve"> the main stakeholders wh</w:t>
      </w:r>
      <w:r w:rsidR="00B11F36">
        <w:rPr>
          <w:rFonts w:cs="Arial"/>
          <w:szCs w:val="24"/>
        </w:rPr>
        <w:t>o</w:t>
      </w:r>
      <w:r w:rsidRPr="002C720A">
        <w:rPr>
          <w:rFonts w:cs="Arial"/>
          <w:szCs w:val="24"/>
        </w:rPr>
        <w:t xml:space="preserve"> are consumers and retailers. The potential impact on consumers is financial and availability of choice</w:t>
      </w:r>
      <w:r w:rsidR="00B11F36">
        <w:rPr>
          <w:rFonts w:cs="Arial"/>
          <w:szCs w:val="24"/>
        </w:rPr>
        <w:t xml:space="preserve"> as s</w:t>
      </w:r>
      <w:r w:rsidR="00E10E3E" w:rsidRPr="002C720A">
        <w:rPr>
          <w:rFonts w:cs="Arial"/>
          <w:szCs w:val="24"/>
        </w:rPr>
        <w:t>ome</w:t>
      </w:r>
      <w:r w:rsidRPr="002C720A">
        <w:rPr>
          <w:rFonts w:cs="Arial"/>
          <w:szCs w:val="24"/>
        </w:rPr>
        <w:t xml:space="preserve"> choice </w:t>
      </w:r>
      <w:r w:rsidR="00E10E3E" w:rsidRPr="002C720A">
        <w:rPr>
          <w:rFonts w:cs="Arial"/>
          <w:szCs w:val="24"/>
        </w:rPr>
        <w:t>in</w:t>
      </w:r>
      <w:r w:rsidRPr="002C720A">
        <w:rPr>
          <w:rFonts w:cs="Arial"/>
          <w:szCs w:val="24"/>
        </w:rPr>
        <w:t xml:space="preserve"> carrier bags will be removed if the policy is amended.  </w:t>
      </w:r>
      <w:r w:rsidR="004B7552">
        <w:rPr>
          <w:szCs w:val="24"/>
        </w:rPr>
        <w:t>The levy is not a tax</w:t>
      </w:r>
      <w:r w:rsidR="00B11F36">
        <w:rPr>
          <w:szCs w:val="24"/>
        </w:rPr>
        <w:t xml:space="preserve"> as</w:t>
      </w:r>
      <w:r w:rsidR="004B7552">
        <w:rPr>
          <w:szCs w:val="24"/>
        </w:rPr>
        <w:t xml:space="preserve"> consumers can avoid the levy by bringing their own bags.  </w:t>
      </w:r>
      <w:r w:rsidRPr="002C720A">
        <w:rPr>
          <w:rFonts w:cs="Arial"/>
          <w:szCs w:val="24"/>
        </w:rPr>
        <w:t xml:space="preserve">There will be increased pricing points for </w:t>
      </w:r>
      <w:r w:rsidR="00E10E3E" w:rsidRPr="002C720A">
        <w:rPr>
          <w:rFonts w:cs="Arial"/>
          <w:szCs w:val="24"/>
        </w:rPr>
        <w:t xml:space="preserve">all </w:t>
      </w:r>
      <w:r w:rsidRPr="002C720A">
        <w:rPr>
          <w:rFonts w:cs="Arial"/>
          <w:szCs w:val="24"/>
        </w:rPr>
        <w:t xml:space="preserve">carrier bags, which may impact those with no prior stock of bags priced below </w:t>
      </w:r>
      <w:r w:rsidR="004B7552">
        <w:rPr>
          <w:rFonts w:cs="Arial"/>
          <w:szCs w:val="24"/>
        </w:rPr>
        <w:t>any</w:t>
      </w:r>
      <w:r w:rsidRPr="002C720A">
        <w:rPr>
          <w:rFonts w:cs="Arial"/>
          <w:szCs w:val="24"/>
        </w:rPr>
        <w:t xml:space="preserve"> increased levy.  </w:t>
      </w:r>
    </w:p>
    <w:p w:rsidR="00E91D60" w:rsidRPr="002C720A" w:rsidRDefault="00680382" w:rsidP="00480690">
      <w:pPr>
        <w:jc w:val="both"/>
        <w:rPr>
          <w:rFonts w:cs="Arial"/>
          <w:szCs w:val="24"/>
        </w:rPr>
      </w:pPr>
      <w:r w:rsidRPr="002C720A">
        <w:rPr>
          <w:rFonts w:cs="Arial"/>
          <w:szCs w:val="24"/>
        </w:rPr>
        <w:t xml:space="preserve">The Continuous Household Survey </w:t>
      </w:r>
      <w:r w:rsidR="00601B23" w:rsidRPr="002C720A">
        <w:rPr>
          <w:rFonts w:cs="Arial"/>
          <w:szCs w:val="24"/>
        </w:rPr>
        <w:t>showed that in 2019, 83% of households surveyed stated they reused plastic bags</w:t>
      </w:r>
      <w:r w:rsidR="002C720A">
        <w:rPr>
          <w:rStyle w:val="FootnoteReference"/>
          <w:rFonts w:cs="Arial"/>
          <w:szCs w:val="24"/>
        </w:rPr>
        <w:footnoteReference w:id="3"/>
      </w:r>
      <w:r w:rsidR="00601B23" w:rsidRPr="002C720A">
        <w:rPr>
          <w:rFonts w:cs="Arial"/>
          <w:szCs w:val="24"/>
        </w:rPr>
        <w:t xml:space="preserve">.  This would suggest that these households retain carrier bags for reuse.  This same survey also showed that 25% of the households surveyed avoided buying products you throw away.  The policy is </w:t>
      </w:r>
      <w:r w:rsidR="004B7552">
        <w:rPr>
          <w:rFonts w:cs="Arial"/>
          <w:szCs w:val="24"/>
        </w:rPr>
        <w:t xml:space="preserve">intended to encourage citizens </w:t>
      </w:r>
      <w:r w:rsidR="00601B23" w:rsidRPr="002C720A">
        <w:rPr>
          <w:rFonts w:cs="Arial"/>
          <w:szCs w:val="24"/>
        </w:rPr>
        <w:t xml:space="preserve">to retain or purchase carrier bags which are not then thrown away. </w:t>
      </w:r>
    </w:p>
    <w:p w:rsidR="00E10E3E" w:rsidRPr="002C720A" w:rsidRDefault="00E10E3E" w:rsidP="00480690">
      <w:pPr>
        <w:jc w:val="both"/>
        <w:rPr>
          <w:rFonts w:cs="Arial"/>
          <w:szCs w:val="24"/>
        </w:rPr>
      </w:pPr>
      <w:r w:rsidRPr="002C720A">
        <w:rPr>
          <w:rFonts w:cs="Arial"/>
          <w:szCs w:val="24"/>
        </w:rPr>
        <w:t xml:space="preserve">Retailers will be affected, as they will be required to implement the revised policy.  </w:t>
      </w:r>
    </w:p>
    <w:p w:rsidR="00E10E3E" w:rsidRDefault="00E10E3E" w:rsidP="00480690">
      <w:pPr>
        <w:jc w:val="both"/>
        <w:rPr>
          <w:rFonts w:cs="Arial"/>
          <w:szCs w:val="24"/>
        </w:rPr>
      </w:pPr>
      <w:r w:rsidRPr="002C720A">
        <w:rPr>
          <w:rFonts w:cs="Arial"/>
          <w:szCs w:val="24"/>
        </w:rPr>
        <w:t xml:space="preserve">An economic impact assessment has been completed to determine any financial costs or benefits of the revised policy.  </w:t>
      </w:r>
      <w:r w:rsidR="002C720A">
        <w:rPr>
          <w:rFonts w:cs="Arial"/>
          <w:szCs w:val="24"/>
        </w:rPr>
        <w:t xml:space="preserve">A public consultation is planned which will be open to all stakeholders / citizens.  </w:t>
      </w:r>
      <w:r w:rsidRPr="002C720A">
        <w:rPr>
          <w:rFonts w:cs="Arial"/>
          <w:szCs w:val="24"/>
        </w:rPr>
        <w:t xml:space="preserve">The detail of </w:t>
      </w:r>
      <w:r w:rsidR="002C720A">
        <w:rPr>
          <w:rFonts w:cs="Arial"/>
          <w:szCs w:val="24"/>
        </w:rPr>
        <w:t>the economic impact assessment</w:t>
      </w:r>
      <w:r w:rsidRPr="002C720A">
        <w:rPr>
          <w:rFonts w:cs="Arial"/>
          <w:szCs w:val="24"/>
        </w:rPr>
        <w:t xml:space="preserve"> will be considered alongside the results of the public consultation. </w:t>
      </w: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w:t>
      </w:r>
      <w:r w:rsidR="00CD3E81">
        <w:rPr>
          <w:rFonts w:ascii="Arial Bold" w:hAnsi="Arial Bold" w:cs="Arial"/>
          <w:bCs/>
          <w:color w:val="2F5496" w:themeColor="accent1" w:themeShade="BF"/>
          <w:sz w:val="28"/>
          <w:szCs w:val="28"/>
        </w:rPr>
        <w:t>y</w:t>
      </w:r>
    </w:p>
    <w:p w:rsidR="007067B2" w:rsidRPr="00E91D60" w:rsidRDefault="007067B2" w:rsidP="0017404D"/>
    <w:p w:rsidR="00E91D60" w:rsidRPr="00FA0121" w:rsidRDefault="00E91D60" w:rsidP="00E91D60">
      <w:pPr>
        <w:rPr>
          <w:rFonts w:cs="Arial"/>
          <w:sz w:val="28"/>
          <w:szCs w:val="28"/>
          <w:lang w:val="en-US"/>
        </w:rPr>
      </w:pPr>
    </w:p>
    <w:p w:rsidR="00B11F36"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C170A2">
        <w:rPr>
          <w:rFonts w:cs="Arial"/>
          <w:b/>
          <w:bCs/>
          <w:sz w:val="28"/>
          <w:szCs w:val="28"/>
        </w:rPr>
        <w:t xml:space="preserve"> </w:t>
      </w:r>
    </w:p>
    <w:p w:rsidR="00E91D60" w:rsidRPr="00B11F36" w:rsidRDefault="00B11F36" w:rsidP="00B11F36">
      <w:pPr>
        <w:spacing w:line="240" w:lineRule="atLeast"/>
        <w:ind w:left="540"/>
        <w:rPr>
          <w:rFonts w:cs="Arial"/>
          <w:bCs/>
          <w:szCs w:val="24"/>
        </w:rPr>
      </w:pPr>
      <w:r w:rsidRPr="00B11F36">
        <w:rPr>
          <w:rFonts w:cs="Arial"/>
          <w:bCs/>
          <w:szCs w:val="24"/>
        </w:rPr>
        <w:t xml:space="preserve">DAERA </w:t>
      </w:r>
      <w:r>
        <w:rPr>
          <w:rFonts w:cs="Arial"/>
          <w:bCs/>
          <w:szCs w:val="24"/>
        </w:rPr>
        <w:t>are clear in their mission to deliver a cleaner and greener Northern Ireland where all possible steps have and are being taken to protect our natural environment. The overarching UK wide and NI specific environmental strategies coupled with sustainable waste management</w:t>
      </w:r>
      <w:r w:rsidR="003475E8">
        <w:rPr>
          <w:rFonts w:cs="Arial"/>
          <w:bCs/>
          <w:szCs w:val="24"/>
        </w:rPr>
        <w:t xml:space="preserve"> policy</w:t>
      </w:r>
      <w:r>
        <w:rPr>
          <w:rFonts w:cs="Arial"/>
          <w:bCs/>
          <w:szCs w:val="24"/>
        </w:rPr>
        <w:t xml:space="preserve"> and green growth </w:t>
      </w:r>
      <w:r w:rsidR="003475E8">
        <w:rPr>
          <w:rFonts w:cs="Arial"/>
          <w:bCs/>
          <w:szCs w:val="24"/>
        </w:rPr>
        <w:t xml:space="preserve">strategy has informed the development of this proposed intervention. Existing and proposed Single Use Plastics legislation have also informed this policy. </w:t>
      </w:r>
      <w:r>
        <w:rPr>
          <w:rFonts w:cs="Arial"/>
          <w:bCs/>
          <w:szCs w:val="24"/>
        </w:rPr>
        <w:t xml:space="preserve">    </w:t>
      </w:r>
    </w:p>
    <w:p w:rsidR="00E91D60" w:rsidRPr="00FA0121" w:rsidRDefault="00E91D60" w:rsidP="00E91D60">
      <w:pPr>
        <w:spacing w:line="240" w:lineRule="atLeast"/>
        <w:ind w:hanging="180"/>
        <w:rPr>
          <w:rFonts w:cs="Arial"/>
          <w:bCs/>
          <w:sz w:val="28"/>
          <w:szCs w:val="28"/>
        </w:rPr>
      </w:pPr>
    </w:p>
    <w:p w:rsidR="00E91D60" w:rsidRDefault="00E91D60" w:rsidP="00E91D60">
      <w:pPr>
        <w:spacing w:line="240" w:lineRule="atLeast"/>
        <w:ind w:hanging="180"/>
        <w:rPr>
          <w:rFonts w:cs="Arial"/>
          <w:bCs/>
          <w:sz w:val="28"/>
          <w:szCs w:val="28"/>
        </w:rPr>
      </w:pPr>
    </w:p>
    <w:p w:rsidR="00E91D60" w:rsidRPr="00FA0121" w:rsidRDefault="00E91D60" w:rsidP="00E91D60">
      <w:pPr>
        <w:spacing w:line="240" w:lineRule="atLeast"/>
        <w:ind w:hanging="180"/>
        <w:rPr>
          <w:rFonts w:cs="Arial"/>
          <w:bCs/>
          <w:sz w:val="28"/>
          <w:szCs w:val="28"/>
        </w:rPr>
      </w:pPr>
    </w:p>
    <w:p w:rsidR="003475E8" w:rsidRDefault="003475E8" w:rsidP="003475E8">
      <w:pPr>
        <w:spacing w:line="240" w:lineRule="atLeast"/>
        <w:ind w:left="360"/>
        <w:rPr>
          <w:rFonts w:cs="Arial"/>
          <w:b/>
          <w:bCs/>
          <w:sz w:val="28"/>
          <w:szCs w:val="28"/>
        </w:rPr>
      </w:pPr>
    </w:p>
    <w:p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C170A2">
        <w:rPr>
          <w:rFonts w:cs="Arial"/>
          <w:b/>
          <w:bCs/>
          <w:sz w:val="28"/>
          <w:szCs w:val="28"/>
        </w:rPr>
        <w:t xml:space="preserve"> </w:t>
      </w:r>
    </w:p>
    <w:p w:rsidR="003475E8" w:rsidRPr="003475E8" w:rsidRDefault="003475E8" w:rsidP="003475E8">
      <w:pPr>
        <w:spacing w:line="240" w:lineRule="atLeast"/>
        <w:ind w:left="360"/>
        <w:rPr>
          <w:rFonts w:cs="Arial"/>
          <w:bCs/>
          <w:szCs w:val="24"/>
        </w:rPr>
      </w:pPr>
      <w:r w:rsidRPr="003475E8">
        <w:rPr>
          <w:rFonts w:cs="Arial"/>
          <w:bCs/>
          <w:szCs w:val="24"/>
        </w:rPr>
        <w:t>The</w:t>
      </w:r>
      <w:r>
        <w:rPr>
          <w:rFonts w:cs="Arial"/>
          <w:bCs/>
          <w:szCs w:val="24"/>
        </w:rPr>
        <w:t xml:space="preserve"> NI </w:t>
      </w:r>
      <w:r w:rsidRPr="003475E8">
        <w:rPr>
          <w:rFonts w:cs="Arial"/>
          <w:bCs/>
          <w:szCs w:val="24"/>
        </w:rPr>
        <w:t xml:space="preserve">Department </w:t>
      </w:r>
      <w:r>
        <w:rPr>
          <w:rFonts w:cs="Arial"/>
          <w:bCs/>
          <w:szCs w:val="24"/>
        </w:rPr>
        <w:t xml:space="preserve">of Agriculture, Environment and Rural Affairs (DAERA) owns the above policies with some dual responsibility with DEFRA and EU legislation.      </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B92E4E" w:rsidRDefault="00B92E4E" w:rsidP="00480690">
      <w:pPr>
        <w:rPr>
          <w:rFonts w:cs="Arial"/>
          <w:szCs w:val="24"/>
          <w:lang w:eastAsia="en-GB"/>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601B23" w:rsidRPr="00864E32">
        <w:rPr>
          <w:rFonts w:cs="Arial"/>
          <w:szCs w:val="24"/>
          <w:lang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002C720A">
        <w:rPr>
          <w:rStyle w:val="FootnoteReference"/>
          <w:rFonts w:cs="Arial"/>
          <w:szCs w:val="24"/>
          <w:lang w:eastAsia="en-GB"/>
        </w:rPr>
        <w:footnoteReference w:id="4"/>
      </w:r>
      <w:r w:rsidR="00601B23">
        <w:rPr>
          <w:rFonts w:cs="Arial"/>
          <w:szCs w:val="24"/>
          <w:lang w:eastAsia="en-GB"/>
        </w:rPr>
        <w:t>.</w:t>
      </w:r>
    </w:p>
    <w:p w:rsidR="00E10E3E" w:rsidRPr="005862D9" w:rsidRDefault="00E10E3E" w:rsidP="00480690">
      <w:pPr>
        <w:jc w:val="both"/>
      </w:pPr>
      <w:r>
        <w:rPr>
          <w:rFonts w:cs="Arial"/>
          <w:szCs w:val="24"/>
          <w:lang w:eastAsia="en-GB"/>
        </w:rPr>
        <w:t xml:space="preserve">There will be no specific </w:t>
      </w:r>
      <w:r w:rsidR="0018617A">
        <w:rPr>
          <w:rFonts w:cs="Arial"/>
          <w:szCs w:val="24"/>
          <w:lang w:eastAsia="en-GB"/>
        </w:rPr>
        <w:t>reference to</w:t>
      </w:r>
      <w:r>
        <w:rPr>
          <w:rFonts w:cs="Arial"/>
          <w:szCs w:val="24"/>
          <w:lang w:eastAsia="en-GB"/>
        </w:rPr>
        <w:t xml:space="preserve"> religious belief included in this consultation document as it would not be proportionate to gather such information.  However, </w:t>
      </w:r>
      <w:r w:rsidR="005862D9" w:rsidRPr="005862D9">
        <w:t>the policy is subject to public consultation and should any section 75 issues be raised they will be considered</w:t>
      </w:r>
      <w:r w:rsidRPr="005862D9">
        <w:rPr>
          <w:rFonts w:cs="Arial"/>
          <w:szCs w:val="24"/>
          <w:lang w:eastAsia="en-GB"/>
        </w:rPr>
        <w:t>.</w:t>
      </w:r>
    </w:p>
    <w:p w:rsidR="00B92E4E" w:rsidRPr="00B92E4E" w:rsidRDefault="00B92E4E" w:rsidP="00480690">
      <w:pPr>
        <w:jc w:val="both"/>
        <w:rPr>
          <w:rFonts w:cs="Arial"/>
          <w:sz w:val="28"/>
          <w:szCs w:val="28"/>
        </w:rPr>
      </w:pPr>
    </w:p>
    <w:p w:rsidR="00601B23" w:rsidRPr="007775BD" w:rsidRDefault="00B92E4E" w:rsidP="00601B23">
      <w:pPr>
        <w:pStyle w:val="Default"/>
        <w:rPr>
          <w:color w:val="auto"/>
        </w:rPr>
      </w:pPr>
      <w:r w:rsidRPr="00B92E4E">
        <w:rPr>
          <w:b/>
          <w:sz w:val="28"/>
          <w:szCs w:val="28"/>
        </w:rPr>
        <w:t>Political Opinion</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601B23" w:rsidRPr="007775BD">
        <w:rPr>
          <w:color w:val="auto"/>
        </w:rPr>
        <w:t>The Northern Ireland Life and Times Survey 2013</w:t>
      </w:r>
      <w:r w:rsidR="00601B23" w:rsidRPr="007775BD">
        <w:rPr>
          <w:rStyle w:val="FootnoteReference"/>
          <w:color w:val="auto"/>
        </w:rPr>
        <w:footnoteReference w:id="5"/>
      </w:r>
      <w:r w:rsidR="00601B23" w:rsidRPr="007775BD">
        <w:rPr>
          <w:color w:val="auto"/>
        </w:rPr>
        <w:t xml:space="preserve"> found that 25% of the Northern Ireland population describe themselves as nationalist, 29% as unionist and 43% held neither political opinion. </w:t>
      </w:r>
    </w:p>
    <w:p w:rsidR="00E10E3E" w:rsidRPr="00B92E4E" w:rsidRDefault="00E10E3E" w:rsidP="00E10E3E">
      <w:r>
        <w:rPr>
          <w:rFonts w:cs="Arial"/>
          <w:szCs w:val="24"/>
          <w:lang w:eastAsia="en-GB"/>
        </w:rPr>
        <w:t xml:space="preserve">There will be no specific </w:t>
      </w:r>
      <w:r w:rsidR="0018617A">
        <w:rPr>
          <w:rFonts w:cs="Arial"/>
          <w:szCs w:val="24"/>
          <w:lang w:eastAsia="en-GB"/>
        </w:rPr>
        <w:t>reference to</w:t>
      </w:r>
      <w:r>
        <w:rPr>
          <w:rFonts w:cs="Arial"/>
          <w:szCs w:val="24"/>
          <w:lang w:eastAsia="en-GB"/>
        </w:rPr>
        <w:t xml:space="preserve"> political opinion included in this consultation document as it would not be proportionate to gather such information.  However</w:t>
      </w:r>
      <w:r w:rsidRPr="005862D9">
        <w:rPr>
          <w:rFonts w:cs="Arial"/>
          <w:szCs w:val="24"/>
          <w:lang w:eastAsia="en-GB"/>
        </w:rPr>
        <w:t xml:space="preserve">, </w:t>
      </w:r>
      <w:r w:rsidR="005862D9" w:rsidRPr="005862D9">
        <w:t>the policy is subject to public consultation and should any section 75 issues be raised they will be considered</w:t>
      </w:r>
      <w:r>
        <w:rPr>
          <w:rFonts w:cs="Arial"/>
          <w:szCs w:val="24"/>
          <w:lang w:eastAsia="en-GB"/>
        </w:rPr>
        <w:t>.</w:t>
      </w:r>
    </w:p>
    <w:p w:rsidR="00601B23" w:rsidRPr="007775BD" w:rsidRDefault="00601B23" w:rsidP="00601B23">
      <w:pPr>
        <w:pStyle w:val="Default"/>
        <w:rPr>
          <w:color w:val="auto"/>
        </w:rPr>
      </w:pPr>
    </w:p>
    <w:p w:rsidR="00B92E4E" w:rsidRPr="00B92E4E" w:rsidRDefault="00B92E4E" w:rsidP="00B92E4E">
      <w:pPr>
        <w:rPr>
          <w:rFonts w:cs="Arial"/>
          <w:sz w:val="28"/>
          <w:szCs w:val="28"/>
        </w:rPr>
      </w:pPr>
    </w:p>
    <w:p w:rsidR="002D2691" w:rsidRDefault="00B92E4E" w:rsidP="002D2691">
      <w:pPr>
        <w:pStyle w:val="Default"/>
        <w:rPr>
          <w:color w:val="auto"/>
        </w:rPr>
      </w:pPr>
      <w:r w:rsidRPr="00B92E4E">
        <w:rPr>
          <w:b/>
          <w:sz w:val="28"/>
          <w:szCs w:val="28"/>
        </w:rPr>
        <w:t>Racial Group</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2D2691" w:rsidRPr="00D25A9D">
        <w:rPr>
          <w:color w:val="auto"/>
        </w:rPr>
        <w:t>The 2011 Census found that over 98% of the population state their ethnic origin to be white</w:t>
      </w:r>
      <w:r w:rsidR="002D2691">
        <w:rPr>
          <w:color w:val="auto"/>
        </w:rPr>
        <w:t>;</w:t>
      </w:r>
      <w:r w:rsidR="002D2691" w:rsidRPr="00D25A9D">
        <w:rPr>
          <w:color w:val="auto"/>
        </w:rPr>
        <w:t xml:space="preserve"> in rural areas, the population is almost entirely classified as white (99.4%)</w:t>
      </w:r>
      <w:r w:rsidR="002C720A">
        <w:rPr>
          <w:rStyle w:val="FootnoteReference"/>
          <w:color w:val="auto"/>
        </w:rPr>
        <w:footnoteReference w:id="6"/>
      </w:r>
      <w:r w:rsidR="002D2691" w:rsidRPr="00D25A9D">
        <w:rPr>
          <w:color w:val="auto"/>
        </w:rPr>
        <w:t>.</w:t>
      </w:r>
    </w:p>
    <w:p w:rsidR="002D2691" w:rsidRPr="00B92E4E" w:rsidRDefault="002D2691" w:rsidP="002D2691">
      <w:r>
        <w:rPr>
          <w:rFonts w:cs="Arial"/>
          <w:szCs w:val="24"/>
          <w:lang w:eastAsia="en-GB"/>
        </w:rPr>
        <w:t xml:space="preserve">There will be no specific </w:t>
      </w:r>
      <w:r w:rsidR="0018617A">
        <w:rPr>
          <w:rFonts w:cs="Arial"/>
          <w:szCs w:val="24"/>
          <w:lang w:eastAsia="en-GB"/>
        </w:rPr>
        <w:t>reference to</w:t>
      </w:r>
      <w:r>
        <w:rPr>
          <w:rFonts w:cs="Arial"/>
          <w:szCs w:val="24"/>
          <w:lang w:eastAsia="en-GB"/>
        </w:rPr>
        <w:t xml:space="preserve"> racial groups included in this consultation document as it would not be proportionate to gather such information.  However, </w:t>
      </w:r>
      <w:r w:rsidR="005862D9" w:rsidRPr="005862D9">
        <w:t>the policy is subject to public consultation and should any section 75 issues be raised they will be considered</w:t>
      </w:r>
      <w:r>
        <w:rPr>
          <w:rFonts w:cs="Arial"/>
          <w:szCs w:val="24"/>
          <w:lang w:eastAsia="en-GB"/>
        </w:rPr>
        <w:t>.</w:t>
      </w:r>
    </w:p>
    <w:p w:rsidR="002D2691" w:rsidRDefault="002D2691" w:rsidP="002D2691">
      <w:pPr>
        <w:pStyle w:val="Default"/>
        <w:rPr>
          <w:color w:val="auto"/>
        </w:rPr>
      </w:pPr>
    </w:p>
    <w:p w:rsidR="00B92E4E" w:rsidRPr="00B92E4E" w:rsidRDefault="00B92E4E" w:rsidP="00B92E4E">
      <w:pPr>
        <w:rPr>
          <w:rFonts w:cs="Arial"/>
          <w:sz w:val="28"/>
          <w:szCs w:val="28"/>
        </w:rPr>
      </w:pPr>
    </w:p>
    <w:p w:rsidR="002D2691" w:rsidRDefault="00B92E4E" w:rsidP="002D2691">
      <w:pPr>
        <w:pStyle w:val="Default"/>
        <w:rPr>
          <w:color w:val="auto"/>
        </w:rPr>
      </w:pPr>
      <w:r w:rsidRPr="00B92E4E">
        <w:rPr>
          <w:b/>
          <w:sz w:val="28"/>
          <w:szCs w:val="28"/>
        </w:rPr>
        <w:t>Age</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2D2691" w:rsidRPr="00D25A9D">
        <w:rPr>
          <w:color w:val="auto"/>
        </w:rPr>
        <w:t>The 2011 Census showed that around 25% of the population was 55 years or older and around 47% were under 35 years old</w:t>
      </w:r>
      <w:r w:rsidR="002C720A">
        <w:rPr>
          <w:rStyle w:val="FootnoteReference"/>
          <w:color w:val="auto"/>
        </w:rPr>
        <w:footnoteReference w:id="7"/>
      </w:r>
      <w:r w:rsidR="002D2691" w:rsidRPr="00D25A9D">
        <w:rPr>
          <w:color w:val="auto"/>
        </w:rPr>
        <w:t xml:space="preserve">. </w:t>
      </w:r>
    </w:p>
    <w:p w:rsidR="002D2691" w:rsidRPr="005862D9" w:rsidRDefault="002D2691" w:rsidP="002D2691">
      <w:r>
        <w:rPr>
          <w:rFonts w:cs="Arial"/>
          <w:szCs w:val="24"/>
          <w:lang w:eastAsia="en-GB"/>
        </w:rPr>
        <w:t xml:space="preserve">Age groups will be included in this consultation, as an indicator of attitudes and opinions for certain age groups.  </w:t>
      </w:r>
      <w:r w:rsidR="005862D9" w:rsidRPr="005862D9">
        <w:t>The policy is subject to public consultation and should any section 75 issues be raised they will be considered</w:t>
      </w:r>
      <w:r w:rsidRPr="005862D9">
        <w:rPr>
          <w:rFonts w:cs="Arial"/>
          <w:szCs w:val="24"/>
          <w:lang w:eastAsia="en-GB"/>
        </w:rPr>
        <w:t>.</w:t>
      </w:r>
    </w:p>
    <w:p w:rsidR="002D2691" w:rsidRDefault="002D2691" w:rsidP="002D2691">
      <w:pPr>
        <w:pStyle w:val="Default"/>
        <w:rPr>
          <w:color w:val="auto"/>
        </w:rPr>
      </w:pPr>
    </w:p>
    <w:p w:rsidR="00B92E4E" w:rsidRPr="00B92E4E" w:rsidRDefault="00B92E4E" w:rsidP="00B92E4E">
      <w:pPr>
        <w:rPr>
          <w:rFonts w:cs="Arial"/>
          <w:sz w:val="28"/>
          <w:szCs w:val="28"/>
        </w:rPr>
      </w:pPr>
    </w:p>
    <w:p w:rsidR="002D2691" w:rsidRDefault="00B92E4E" w:rsidP="002D2691">
      <w:pPr>
        <w:pStyle w:val="Default"/>
        <w:rPr>
          <w:color w:val="auto"/>
        </w:rPr>
      </w:pPr>
      <w:r w:rsidRPr="00B92E4E">
        <w:rPr>
          <w:b/>
          <w:sz w:val="28"/>
          <w:szCs w:val="28"/>
        </w:rPr>
        <w:t>Marital Status</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2D2691" w:rsidRPr="00D25A9D">
        <w:rPr>
          <w:color w:val="auto"/>
        </w:rPr>
        <w:t>The 2011 Census showed that around 48% of the population were married or in a civil partnership, and 36% were single</w:t>
      </w:r>
      <w:r w:rsidR="00480AE5">
        <w:rPr>
          <w:rStyle w:val="FootnoteReference"/>
          <w:color w:val="auto"/>
        </w:rPr>
        <w:footnoteReference w:id="8"/>
      </w:r>
      <w:r w:rsidR="002D2691" w:rsidRPr="00D25A9D">
        <w:rPr>
          <w:color w:val="auto"/>
        </w:rPr>
        <w:t>.</w:t>
      </w:r>
    </w:p>
    <w:p w:rsidR="002D2691" w:rsidRPr="00B92E4E" w:rsidRDefault="002D2691" w:rsidP="002D2691">
      <w:r>
        <w:rPr>
          <w:rFonts w:cs="Arial"/>
          <w:szCs w:val="24"/>
          <w:lang w:eastAsia="en-GB"/>
        </w:rPr>
        <w:t xml:space="preserve">There will be no specific </w:t>
      </w:r>
      <w:r w:rsidR="0018617A">
        <w:rPr>
          <w:rFonts w:cs="Arial"/>
          <w:szCs w:val="24"/>
          <w:lang w:eastAsia="en-GB"/>
        </w:rPr>
        <w:t>reference to</w:t>
      </w:r>
      <w:r>
        <w:rPr>
          <w:rFonts w:cs="Arial"/>
          <w:szCs w:val="24"/>
          <w:lang w:eastAsia="en-GB"/>
        </w:rPr>
        <w:t xml:space="preserve"> marital status included in this consultation document as it would not be proportionate to gather such information.  However, </w:t>
      </w:r>
      <w:r w:rsidR="005862D9" w:rsidRPr="005862D9">
        <w:t>the policy is subject to public consultation and should any section 75 issues be raised they will be considered</w:t>
      </w:r>
      <w:r w:rsidRPr="005862D9">
        <w:rPr>
          <w:rFonts w:cs="Arial"/>
          <w:szCs w:val="24"/>
          <w:lang w:eastAsia="en-GB"/>
        </w:rPr>
        <w:t>.</w:t>
      </w:r>
    </w:p>
    <w:p w:rsidR="002D2691" w:rsidRDefault="002D2691" w:rsidP="002D2691">
      <w:pPr>
        <w:pStyle w:val="Default"/>
        <w:rPr>
          <w:color w:val="auto"/>
        </w:rPr>
      </w:pPr>
    </w:p>
    <w:p w:rsidR="00B92E4E" w:rsidRDefault="00B92E4E" w:rsidP="00B92E4E">
      <w:pPr>
        <w:rPr>
          <w:rFonts w:cs="Arial"/>
          <w:b/>
          <w:sz w:val="28"/>
          <w:szCs w:val="28"/>
        </w:rPr>
      </w:pPr>
    </w:p>
    <w:p w:rsidR="002D2691" w:rsidRDefault="00B92E4E" w:rsidP="002D2691">
      <w:pPr>
        <w:pStyle w:val="Default"/>
        <w:rPr>
          <w:color w:val="auto"/>
        </w:rPr>
      </w:pPr>
      <w:r w:rsidRPr="00B92E4E">
        <w:rPr>
          <w:b/>
          <w:sz w:val="28"/>
          <w:szCs w:val="28"/>
        </w:rPr>
        <w:t>Sexual Orientation</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2D2691" w:rsidRPr="00D25A9D">
        <w:rPr>
          <w:color w:val="auto"/>
        </w:rPr>
        <w:t xml:space="preserve">There are no data on the number of lesbian, gay or bisexual (LGB) persons in NI as no national census has ever asked people to define their sexuality. </w:t>
      </w:r>
    </w:p>
    <w:p w:rsidR="0018617A" w:rsidRPr="00D25A9D" w:rsidRDefault="0018617A" w:rsidP="002D2691">
      <w:pPr>
        <w:pStyle w:val="Default"/>
        <w:rPr>
          <w:color w:val="auto"/>
        </w:rPr>
      </w:pPr>
      <w:r w:rsidRPr="00D25A9D">
        <w:rPr>
          <w:color w:val="auto"/>
        </w:rPr>
        <w:t>The 2011 Census showed that</w:t>
      </w:r>
      <w:r>
        <w:rPr>
          <w:color w:val="auto"/>
        </w:rPr>
        <w:t xml:space="preserve"> those in a </w:t>
      </w:r>
      <w:r>
        <w:t>registered same-sex civil partnership</w:t>
      </w:r>
      <w:r>
        <w:rPr>
          <w:color w:val="auto"/>
        </w:rPr>
        <w:t xml:space="preserve"> was 0.09%.</w:t>
      </w:r>
    </w:p>
    <w:p w:rsidR="00B92E4E" w:rsidRPr="0042555C" w:rsidRDefault="0018617A" w:rsidP="00B92E4E">
      <w:pPr>
        <w:rPr>
          <w:rFonts w:cs="Arial"/>
          <w:szCs w:val="24"/>
        </w:rPr>
      </w:pPr>
      <w:r w:rsidRPr="0042555C">
        <w:rPr>
          <w:rFonts w:cs="Arial"/>
          <w:szCs w:val="24"/>
        </w:rPr>
        <w:t>The Office for National Statistics (ONS) show that, f</w:t>
      </w:r>
      <w:r w:rsidRPr="0042555C">
        <w:rPr>
          <w:rFonts w:cs="Arial"/>
          <w:szCs w:val="24"/>
          <w:shd w:val="clear" w:color="auto" w:fill="FFFFFF"/>
        </w:rPr>
        <w:t>or Northern Ireland, the percentage of people identifying themselves as LGB in 2018 was 1.2%</w:t>
      </w:r>
      <w:r w:rsidR="00480AE5" w:rsidRPr="0042555C">
        <w:rPr>
          <w:rStyle w:val="FootnoteReference"/>
          <w:rFonts w:cs="Arial"/>
          <w:szCs w:val="24"/>
          <w:shd w:val="clear" w:color="auto" w:fill="FFFFFF"/>
        </w:rPr>
        <w:footnoteReference w:id="9"/>
      </w:r>
      <w:r w:rsidRPr="0042555C">
        <w:rPr>
          <w:rFonts w:cs="Arial"/>
          <w:szCs w:val="24"/>
          <w:shd w:val="clear" w:color="auto" w:fill="FFFFFF"/>
        </w:rPr>
        <w:t>.</w:t>
      </w:r>
      <w:r w:rsidRPr="0042555C">
        <w:rPr>
          <w:rStyle w:val="EndnoteReference"/>
          <w:rFonts w:cs="Arial"/>
          <w:szCs w:val="24"/>
        </w:rPr>
        <w:t xml:space="preserve"> </w:t>
      </w:r>
    </w:p>
    <w:p w:rsidR="0018617A" w:rsidRPr="005862D9" w:rsidRDefault="0018617A" w:rsidP="00B92E4E">
      <w:r>
        <w:rPr>
          <w:rFonts w:cs="Arial"/>
          <w:szCs w:val="24"/>
          <w:lang w:eastAsia="en-GB"/>
        </w:rPr>
        <w:t xml:space="preserve">There will be no specific reference to sexual orientation included in this consultation document as it would not be proportionate to gather such information.  However, </w:t>
      </w:r>
      <w:r w:rsidR="005862D9" w:rsidRPr="005862D9">
        <w:t>the policy is subject to public consultation and should any section 75 issues be raised they will be considered.</w:t>
      </w:r>
    </w:p>
    <w:p w:rsidR="002D2691" w:rsidRPr="00B92E4E" w:rsidRDefault="002D2691" w:rsidP="00B92E4E"/>
    <w:p w:rsidR="00B92E4E" w:rsidRPr="00B92E4E" w:rsidRDefault="00B92E4E" w:rsidP="00B92E4E">
      <w:pPr>
        <w:rPr>
          <w:rFonts w:cs="Arial"/>
          <w:sz w:val="28"/>
          <w:szCs w:val="28"/>
        </w:rPr>
      </w:pPr>
    </w:p>
    <w:p w:rsidR="0018617A" w:rsidRDefault="00B92E4E" w:rsidP="0018617A">
      <w:pPr>
        <w:pStyle w:val="Default"/>
        <w:rPr>
          <w:color w:val="auto"/>
        </w:rPr>
      </w:pPr>
      <w:r w:rsidRPr="008519EB">
        <w:rPr>
          <w:b/>
          <w:sz w:val="28"/>
          <w:szCs w:val="28"/>
        </w:rPr>
        <w:t>Men &amp; Women generally</w:t>
      </w:r>
      <w:r w:rsidRPr="00B92E4E">
        <w:rPr>
          <w:sz w:val="28"/>
          <w:szCs w:val="28"/>
        </w:rPr>
        <w:t xml:space="preserve"> </w:t>
      </w:r>
      <w:r w:rsidR="00625F15">
        <w:rPr>
          <w:sz w:val="28"/>
          <w:szCs w:val="28"/>
        </w:rPr>
        <w:t>evidence</w:t>
      </w:r>
      <w:r w:rsidR="00625F15" w:rsidRPr="00B92E4E">
        <w:rPr>
          <w:sz w:val="28"/>
          <w:szCs w:val="28"/>
        </w:rPr>
        <w:t>/information:</w:t>
      </w:r>
      <w:r w:rsidRPr="00B92E4E">
        <w:rPr>
          <w:sz w:val="28"/>
          <w:szCs w:val="28"/>
        </w:rPr>
        <w:br w:type="textWrapping" w:clear="all"/>
      </w:r>
      <w:r w:rsidR="0018617A" w:rsidRPr="00480690">
        <w:rPr>
          <w:color w:val="auto"/>
        </w:rPr>
        <w:t xml:space="preserve">The 2011 Census showed that </w:t>
      </w:r>
      <w:r w:rsidR="00480690" w:rsidRPr="00480690">
        <w:rPr>
          <w:color w:val="auto"/>
        </w:rPr>
        <w:t>49</w:t>
      </w:r>
      <w:r w:rsidR="0018617A" w:rsidRPr="00480690">
        <w:rPr>
          <w:color w:val="auto"/>
        </w:rPr>
        <w:t xml:space="preserve">% of the population were male and </w:t>
      </w:r>
      <w:r w:rsidR="00480690" w:rsidRPr="00480690">
        <w:rPr>
          <w:color w:val="auto"/>
        </w:rPr>
        <w:t>51</w:t>
      </w:r>
      <w:r w:rsidR="0018617A" w:rsidRPr="00480690">
        <w:rPr>
          <w:color w:val="auto"/>
        </w:rPr>
        <w:t>% female</w:t>
      </w:r>
      <w:r w:rsidR="00480AE5" w:rsidRPr="00480690">
        <w:rPr>
          <w:rStyle w:val="FootnoteReference"/>
          <w:color w:val="auto"/>
        </w:rPr>
        <w:footnoteReference w:id="10"/>
      </w:r>
      <w:r w:rsidR="0018617A" w:rsidRPr="00480690">
        <w:rPr>
          <w:color w:val="auto"/>
        </w:rPr>
        <w:t>.</w:t>
      </w:r>
      <w:r w:rsidR="0018617A" w:rsidRPr="00D25A9D">
        <w:rPr>
          <w:color w:val="auto"/>
        </w:rPr>
        <w:t xml:space="preserve"> </w:t>
      </w:r>
    </w:p>
    <w:p w:rsidR="0018617A" w:rsidRPr="005862D9" w:rsidRDefault="0018617A" w:rsidP="0018617A">
      <w:r>
        <w:rPr>
          <w:rFonts w:cs="Arial"/>
          <w:szCs w:val="24"/>
          <w:lang w:eastAsia="en-GB"/>
        </w:rPr>
        <w:t xml:space="preserve">There will be no specific reference to whether a respondent is male or female included in this consultation document as it would not be proportionate to gather such information.  However, </w:t>
      </w:r>
      <w:r w:rsidR="005862D9" w:rsidRPr="005862D9">
        <w:t>the policy is subject to public consultation and should any section 75 issues be raised they will be considered</w:t>
      </w:r>
      <w:r w:rsidRPr="005862D9">
        <w:rPr>
          <w:rFonts w:cs="Arial"/>
          <w:szCs w:val="24"/>
          <w:lang w:eastAsia="en-GB"/>
        </w:rPr>
        <w:t>.</w:t>
      </w:r>
    </w:p>
    <w:p w:rsidR="0018617A" w:rsidRDefault="0018617A" w:rsidP="00B92E4E">
      <w:pPr>
        <w:rPr>
          <w:rFonts w:cs="Arial"/>
          <w:sz w:val="28"/>
          <w:szCs w:val="28"/>
        </w:rPr>
      </w:pPr>
    </w:p>
    <w:p w:rsidR="0018617A" w:rsidRPr="00B92E4E" w:rsidRDefault="0018617A" w:rsidP="00B92E4E">
      <w:pPr>
        <w:rPr>
          <w:rFonts w:cs="Arial"/>
          <w:sz w:val="28"/>
          <w:szCs w:val="28"/>
        </w:rPr>
      </w:pPr>
    </w:p>
    <w:p w:rsidR="0018617A"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18617A" w:rsidRPr="00D25A9D">
        <w:t>The 2011 Census of Northern Ireland showed that around 12% of the population found their day to day activities to be limited a lot due to a disability and around 9% found their activities limited a little</w:t>
      </w:r>
      <w:r w:rsidR="00480AE5">
        <w:rPr>
          <w:rStyle w:val="FootnoteReference"/>
        </w:rPr>
        <w:footnoteReference w:id="11"/>
      </w:r>
      <w:r w:rsidR="0018617A">
        <w:t>.</w:t>
      </w:r>
    </w:p>
    <w:p w:rsidR="0018617A" w:rsidRPr="005862D9" w:rsidRDefault="0018617A" w:rsidP="00B92E4E">
      <w:r>
        <w:rPr>
          <w:rFonts w:cs="Arial"/>
          <w:szCs w:val="24"/>
          <w:lang w:eastAsia="en-GB"/>
        </w:rPr>
        <w:t xml:space="preserve">There will be no specific reference to whether a respondent considers themselves to have a disability included in this consultation document as it would not be proportionate to gather such information.  However, </w:t>
      </w:r>
      <w:r w:rsidR="005862D9" w:rsidRPr="005862D9">
        <w:t>the policy is subject to public consultation and should any section 75 issues be raised they will be considered</w:t>
      </w:r>
      <w:r w:rsidR="005862D9">
        <w:t>.</w:t>
      </w:r>
    </w:p>
    <w:p w:rsidR="00B92E4E" w:rsidRPr="00B92E4E" w:rsidRDefault="00B92E4E" w:rsidP="00B92E4E">
      <w:pPr>
        <w:rPr>
          <w:rFonts w:cs="Arial"/>
          <w:sz w:val="28"/>
          <w:szCs w:val="28"/>
        </w:rPr>
      </w:pPr>
    </w:p>
    <w:p w:rsidR="00625F15" w:rsidRDefault="008519EB" w:rsidP="00B92E4E">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18617A" w:rsidRPr="00D25A9D">
        <w:t>The 2011 Census of Northern Ireland showed that 34% of family households contained dependent children</w:t>
      </w:r>
      <w:r w:rsidR="00480AE5">
        <w:rPr>
          <w:rStyle w:val="FootnoteReference"/>
        </w:rPr>
        <w:footnoteReference w:id="12"/>
      </w:r>
      <w:r w:rsidR="00DB4D6B">
        <w:t>.</w:t>
      </w:r>
    </w:p>
    <w:p w:rsidR="00E3242D" w:rsidRDefault="00E3242D" w:rsidP="00B92E4E">
      <w:pPr>
        <w:rPr>
          <w:rFonts w:cs="Arial"/>
          <w:szCs w:val="24"/>
        </w:rPr>
      </w:pPr>
      <w:r w:rsidRPr="004B1BAA">
        <w:rPr>
          <w:rFonts w:cs="Arial"/>
          <w:szCs w:val="24"/>
        </w:rPr>
        <w:t xml:space="preserve">NISRA household projections by size show that by 2027, when a further review of this policy is anticipated, one person households are projected to increase by 5.65% and two person households are projected to increase by 6.5%, while five or more person households </w:t>
      </w:r>
      <w:r w:rsidR="004B1BAA">
        <w:rPr>
          <w:rFonts w:cs="Arial"/>
          <w:szCs w:val="24"/>
        </w:rPr>
        <w:t>are projected to</w:t>
      </w:r>
      <w:r w:rsidRPr="004B1BAA">
        <w:rPr>
          <w:rFonts w:cs="Arial"/>
          <w:szCs w:val="24"/>
        </w:rPr>
        <w:t xml:space="preserve"> have decreased by 1.5%.</w:t>
      </w:r>
      <w:r w:rsidR="004B1BAA">
        <w:rPr>
          <w:rFonts w:cs="Arial"/>
          <w:szCs w:val="24"/>
        </w:rPr>
        <w:t xml:space="preserve">  The birth rate in NI has consistently fallen from 2012 to 2018</w:t>
      </w:r>
      <w:r w:rsidR="00480AE5">
        <w:rPr>
          <w:rStyle w:val="FootnoteReference"/>
          <w:rFonts w:cs="Arial"/>
          <w:szCs w:val="24"/>
        </w:rPr>
        <w:footnoteReference w:id="13"/>
      </w:r>
      <w:r w:rsidR="004B1BAA">
        <w:rPr>
          <w:rFonts w:cs="Arial"/>
          <w:szCs w:val="24"/>
        </w:rPr>
        <w:t xml:space="preserve">. </w:t>
      </w:r>
    </w:p>
    <w:p w:rsidR="004B1BAA" w:rsidRPr="004B1BAA" w:rsidRDefault="004B1BAA" w:rsidP="00B92E4E">
      <w:pPr>
        <w:rPr>
          <w:rFonts w:cs="Arial"/>
          <w:szCs w:val="24"/>
        </w:rPr>
      </w:pPr>
      <w:r>
        <w:rPr>
          <w:rFonts w:cs="Arial"/>
          <w:szCs w:val="24"/>
        </w:rPr>
        <w:t xml:space="preserve">The existing policy has been in place since 2013, during which time the department have always encouraged citizens to bring their own bags, and to reuse and recycle carrier bags.  Consumers are able to avoid any increase in charge by bringing their own bags.  </w:t>
      </w:r>
    </w:p>
    <w:p w:rsidR="00B92E4E" w:rsidRDefault="00BB0132" w:rsidP="00B92E4E">
      <w:pPr>
        <w:rPr>
          <w:rFonts w:cs="Arial"/>
          <w:sz w:val="28"/>
          <w:szCs w:val="28"/>
        </w:rPr>
      </w:pPr>
      <w:r>
        <w:t>T</w:t>
      </w:r>
      <w:r w:rsidRPr="005862D9">
        <w:t>he policy is subject to public consultation and should any section 75 issues be raised they will be considered</w:t>
      </w:r>
      <w:r>
        <w:t>.</w:t>
      </w: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BB0132" w:rsidRPr="00BB0132" w:rsidRDefault="00914890" w:rsidP="00BB0132">
      <w:pPr>
        <w:rPr>
          <w:rFonts w:cs="Arial"/>
          <w:szCs w:val="24"/>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BB0132" w:rsidRPr="00BB0132">
        <w:rPr>
          <w:rFonts w:cs="Arial"/>
          <w:szCs w:val="24"/>
        </w:rPr>
        <w:t xml:space="preserve">None.  No equality issues identified.  </w:t>
      </w:r>
      <w:r w:rsidR="00BB0132" w:rsidRPr="00BB0132">
        <w:rPr>
          <w:szCs w:val="24"/>
        </w:rPr>
        <w:t>The policy is subject to public consultation and should any religious belief issues be raised they will be considered.</w:t>
      </w:r>
    </w:p>
    <w:p w:rsidR="0072544B" w:rsidRPr="0072544B" w:rsidRDefault="0072544B" w:rsidP="0072544B"/>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 xml:space="preserve">The policy is subject to public consultation and should any </w:t>
      </w:r>
      <w:r>
        <w:rPr>
          <w:szCs w:val="24"/>
        </w:rPr>
        <w:t>political opinion</w:t>
      </w:r>
      <w:r w:rsidRPr="00BB0132">
        <w:rPr>
          <w:szCs w:val="24"/>
        </w:rPr>
        <w:t xml:space="preserve"> issues be raised they will be considered.</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 xml:space="preserve">The policy is subject to public consultation and should any </w:t>
      </w:r>
      <w:r>
        <w:rPr>
          <w:szCs w:val="24"/>
        </w:rPr>
        <w:t>racial group</w:t>
      </w:r>
      <w:r w:rsidRPr="00BB0132">
        <w:rPr>
          <w:szCs w:val="24"/>
        </w:rPr>
        <w:t xml:space="preserve"> issues be raised they will be considered.</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 xml:space="preserve">The policy is subject to public consultation and should any issues </w:t>
      </w:r>
      <w:r>
        <w:rPr>
          <w:szCs w:val="24"/>
        </w:rPr>
        <w:t xml:space="preserve">surrounding certain age groups </w:t>
      </w:r>
      <w:r w:rsidRPr="00BB0132">
        <w:rPr>
          <w:szCs w:val="24"/>
        </w:rPr>
        <w:t>be raised they will be considered.</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 xml:space="preserve">The policy is subject to public consultation and should any </w:t>
      </w:r>
      <w:r>
        <w:rPr>
          <w:szCs w:val="24"/>
        </w:rPr>
        <w:t>marital status</w:t>
      </w:r>
      <w:r w:rsidRPr="00BB0132">
        <w:rPr>
          <w:szCs w:val="24"/>
        </w:rPr>
        <w:t xml:space="preserve"> issues be raised they will be considered.</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 xml:space="preserve">The policy is subject to public consultation and should any </w:t>
      </w:r>
      <w:r>
        <w:rPr>
          <w:szCs w:val="24"/>
        </w:rPr>
        <w:t>sexual orientation</w:t>
      </w:r>
      <w:r w:rsidRPr="00BB0132">
        <w:rPr>
          <w:szCs w:val="24"/>
        </w:rPr>
        <w:t xml:space="preserve"> issues be raised they will be considered.</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The policy is subject to public consultation and should any issues be raised they will be considered.</w:t>
      </w:r>
    </w:p>
    <w:p w:rsidR="0072544B" w:rsidRDefault="0072544B" w:rsidP="0072544B">
      <w:pPr>
        <w:rPr>
          <w:rFonts w:cs="Arial"/>
          <w:sz w:val="28"/>
          <w:szCs w:val="28"/>
        </w:rPr>
      </w:pP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BB0132" w:rsidRPr="00BB0132" w:rsidRDefault="00BB0132" w:rsidP="00BB0132">
      <w:pPr>
        <w:rPr>
          <w:rFonts w:cs="Arial"/>
          <w:szCs w:val="24"/>
        </w:rPr>
      </w:pPr>
      <w:r w:rsidRPr="00BB0132">
        <w:rPr>
          <w:rFonts w:cs="Arial"/>
          <w:szCs w:val="24"/>
        </w:rPr>
        <w:t xml:space="preserve">None.  No equality issues identified.  </w:t>
      </w:r>
      <w:r w:rsidRPr="00BB0132">
        <w:rPr>
          <w:szCs w:val="24"/>
        </w:rPr>
        <w:t>The policy is subject to pub</w:t>
      </w:r>
      <w:r>
        <w:rPr>
          <w:szCs w:val="24"/>
        </w:rPr>
        <w:t xml:space="preserve">lic consultation and should any issues </w:t>
      </w:r>
      <w:r w:rsidRPr="00BB0132">
        <w:rPr>
          <w:szCs w:val="24"/>
        </w:rPr>
        <w:t>be raised they will be considered.</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42209D" w:rsidRPr="00BB0132" w:rsidRDefault="0042209D" w:rsidP="0042209D">
      <w:pPr>
        <w:rPr>
          <w:rFonts w:cs="Arial"/>
          <w:szCs w:val="24"/>
        </w:rPr>
      </w:pPr>
      <w:r w:rsidRPr="00BB0132">
        <w:rPr>
          <w:rFonts w:cs="Arial"/>
          <w:szCs w:val="24"/>
        </w:rPr>
        <w:t xml:space="preserve">None.  No equality issues identified.  </w:t>
      </w:r>
      <w:r w:rsidRPr="00BB0132">
        <w:rPr>
          <w:szCs w:val="24"/>
        </w:rPr>
        <w:t>The policy is subject to pub</w:t>
      </w:r>
      <w:r>
        <w:rPr>
          <w:szCs w:val="24"/>
        </w:rPr>
        <w:t xml:space="preserve">lic consultation and should any issues </w:t>
      </w:r>
      <w:r w:rsidRPr="00BB0132">
        <w:rPr>
          <w:szCs w:val="24"/>
        </w:rPr>
        <w:t>be raised they will be considered.</w:t>
      </w:r>
    </w:p>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0E729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E42C80" w:rsidRDefault="00E42C80" w:rsidP="00E42C80">
      <w:pPr>
        <w:pStyle w:val="ListParagraph"/>
        <w:autoSpaceDE w:val="0"/>
        <w:autoSpaceDN w:val="0"/>
        <w:adjustRightInd w:val="0"/>
        <w:ind w:left="360"/>
        <w:rPr>
          <w:rFonts w:cs="Arial"/>
          <w:bCs/>
          <w:sz w:val="28"/>
          <w:szCs w:val="28"/>
        </w:rPr>
      </w:pPr>
    </w:p>
    <w:p w:rsidR="00530FFE" w:rsidRDefault="00530FFE" w:rsidP="00E42C80">
      <w:pPr>
        <w:pStyle w:val="ListParagraph"/>
        <w:autoSpaceDE w:val="0"/>
        <w:autoSpaceDN w:val="0"/>
        <w:adjustRightInd w:val="0"/>
        <w:ind w:left="360"/>
        <w:rPr>
          <w:rFonts w:cs="Arial"/>
          <w:bCs/>
          <w:sz w:val="28"/>
          <w:szCs w:val="28"/>
        </w:rPr>
      </w:pPr>
    </w:p>
    <w:p w:rsidR="00530FFE" w:rsidRPr="00530FFE" w:rsidRDefault="00530FFE" w:rsidP="00E42C80">
      <w:pPr>
        <w:pStyle w:val="ListParagraph"/>
        <w:autoSpaceDE w:val="0"/>
        <w:autoSpaceDN w:val="0"/>
        <w:adjustRightInd w:val="0"/>
        <w:ind w:left="360"/>
        <w:rPr>
          <w:rFonts w:cs="Arial"/>
          <w:b/>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530FFE" w:rsidRDefault="00530FFE" w:rsidP="00127EA5">
      <w:pPr>
        <w:pStyle w:val="ListParagraph"/>
        <w:autoSpaceDE w:val="0"/>
        <w:autoSpaceDN w:val="0"/>
        <w:adjustRightInd w:val="0"/>
        <w:ind w:left="360"/>
        <w:rPr>
          <w:rFonts w:cs="Arial"/>
          <w:bCs/>
          <w:sz w:val="28"/>
          <w:szCs w:val="28"/>
        </w:rPr>
      </w:pPr>
    </w:p>
    <w:p w:rsidR="00916FA1" w:rsidRDefault="00916FA1"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916FA1">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bCs/>
          <w:sz w:val="28"/>
          <w:szCs w:val="28"/>
        </w:rPr>
      </w:pPr>
    </w:p>
    <w:p w:rsidR="00530FFE" w:rsidRDefault="00530FFE" w:rsidP="00127EA5">
      <w:pPr>
        <w:autoSpaceDE w:val="0"/>
        <w:autoSpaceDN w:val="0"/>
        <w:adjustRightInd w:val="0"/>
        <w:ind w:left="360"/>
        <w:rPr>
          <w:rFonts w:cs="Arial"/>
          <w:bCs/>
          <w:sz w:val="28"/>
          <w:szCs w:val="28"/>
        </w:rPr>
      </w:pP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0E7290" w:rsidRDefault="00DD62F3"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DD62F3" w:rsidRPr="00530FFE" w:rsidRDefault="00DD62F3"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bCs/>
          <w:sz w:val="28"/>
          <w:szCs w:val="28"/>
        </w:rPr>
      </w:pPr>
    </w:p>
    <w:p w:rsidR="00530FFE" w:rsidRPr="0096413F" w:rsidRDefault="00530FFE" w:rsidP="00127EA5">
      <w:pPr>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0E7290" w:rsidRDefault="0096413F" w:rsidP="000E729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0E7290">
        <w:t>The changes will have no impact on equality of opportunity for those affected and no differential impacts on the S.75 category are anticipated</w:t>
      </w:r>
      <w:r w:rsidR="000E7290">
        <w:rPr>
          <w:rFonts w:cs="Arial"/>
          <w:bCs/>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42209D" w:rsidRDefault="0096413F" w:rsidP="0042209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42209D">
        <w:t>The changes will have no impact on equality of opportunity for those affected and no differential impacts on the S.75 category are anticipated</w:t>
      </w:r>
      <w:r w:rsidR="0042209D">
        <w:rPr>
          <w:rFonts w:cs="Arial"/>
          <w:bCs/>
          <w:sz w:val="28"/>
          <w:szCs w:val="28"/>
        </w:rPr>
        <w:t>.</w:t>
      </w: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42209D">
        <w:rPr>
          <w:rFonts w:cs="Arial"/>
          <w:sz w:val="28"/>
          <w:szCs w:val="28"/>
        </w:rPr>
        <w:t>None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066ADE" w:rsidRDefault="00FA2356" w:rsidP="00740E50">
      <w:pPr>
        <w:pStyle w:val="ListParagraph"/>
        <w:numPr>
          <w:ilvl w:val="0"/>
          <w:numId w:val="14"/>
        </w:numPr>
        <w:rPr>
          <w:b/>
          <w:bCs/>
        </w:rPr>
      </w:pPr>
      <w:r w:rsidRPr="00740E50">
        <w:rPr>
          <w:rFonts w:cs="Arial"/>
          <w:b/>
          <w:bCs/>
          <w:sz w:val="28"/>
          <w:szCs w:val="28"/>
        </w:rPr>
        <w:t>Are there opportunities to better promote equality of opportunity for people within the Section 75 equalities categories?</w:t>
      </w:r>
      <w:r w:rsidR="00127EA5" w:rsidRPr="00740E50">
        <w:rPr>
          <w:rFonts w:cs="Arial"/>
          <w:b/>
          <w:bCs/>
          <w:sz w:val="28"/>
          <w:szCs w:val="28"/>
        </w:rPr>
        <w:t xml:space="preserve"> </w:t>
      </w:r>
      <w:r w:rsidR="00127EA5" w:rsidRPr="00740E50">
        <w:rPr>
          <w:rFonts w:cs="Arial"/>
          <w:bCs/>
          <w:sz w:val="28"/>
          <w:szCs w:val="28"/>
        </w:rPr>
        <w:t>No</w:t>
      </w:r>
      <w:r w:rsidR="00CD4C1B" w:rsidRPr="00740E50">
        <w:rPr>
          <w:rFonts w:cs="Arial"/>
          <w:bCs/>
          <w:sz w:val="28"/>
          <w:szCs w:val="28"/>
        </w:rPr>
        <w:t xml:space="preserve"> </w:t>
      </w:r>
    </w:p>
    <w:p w:rsidR="00066ADE" w:rsidRPr="00066ADE" w:rsidRDefault="00066ADE" w:rsidP="00066ADE">
      <w:pPr>
        <w:pStyle w:val="ListParagraph"/>
        <w:ind w:left="360"/>
        <w:rPr>
          <w:b/>
          <w:bCs/>
          <w:sz w:val="28"/>
          <w:szCs w:val="28"/>
        </w:rPr>
      </w:pPr>
    </w:p>
    <w:p w:rsidR="00066ADE" w:rsidRPr="00066ADE" w:rsidRDefault="00066ADE" w:rsidP="00740E50">
      <w:pPr>
        <w:pStyle w:val="ListParagraph"/>
        <w:numPr>
          <w:ilvl w:val="0"/>
          <w:numId w:val="14"/>
        </w:numPr>
        <w:rPr>
          <w:b/>
          <w:bCs/>
          <w:sz w:val="28"/>
          <w:szCs w:val="28"/>
        </w:rPr>
      </w:pPr>
      <w:r w:rsidRPr="00066ADE">
        <w:rPr>
          <w:b/>
          <w:bCs/>
          <w:sz w:val="28"/>
          <w:szCs w:val="28"/>
        </w:rPr>
        <w:t>Detail opportunities of how this policy could promote equality of opportunity for people within each of the Section 75 Categories below:</w:t>
      </w:r>
    </w:p>
    <w:p w:rsidR="00066ADE" w:rsidRPr="00740E50" w:rsidRDefault="00066ADE" w:rsidP="00066ADE">
      <w:pPr>
        <w:pStyle w:val="ListParagraph"/>
        <w:ind w:left="360"/>
        <w:rPr>
          <w:b/>
          <w:bCs/>
        </w:rPr>
      </w:pP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u w:val="single"/>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EA4088">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C82DA4" w:rsidRDefault="00C82DA4" w:rsidP="00EA4088">
      <w:pPr>
        <w:ind w:left="360"/>
        <w:rPr>
          <w:b/>
          <w:bCs/>
          <w:sz w:val="28"/>
          <w:szCs w:val="28"/>
          <w:u w:val="single"/>
        </w:rPr>
      </w:pPr>
    </w:p>
    <w:p w:rsidR="00625F15" w:rsidRDefault="00625F15" w:rsidP="00EA4088">
      <w:pPr>
        <w:ind w:left="360"/>
        <w:rPr>
          <w:b/>
          <w:bCs/>
          <w:sz w:val="28"/>
          <w:szCs w:val="28"/>
          <w:u w:val="single"/>
        </w:rPr>
      </w:pPr>
    </w:p>
    <w:p w:rsidR="00625F15" w:rsidRPr="00625F15" w:rsidRDefault="00625F15" w:rsidP="00740E50">
      <w:pPr>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Pr="00625F15" w:rsidRDefault="00625F15" w:rsidP="00740E50">
      <w:pPr>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0A1318" w:rsidRDefault="000A1318" w:rsidP="00EA4088">
      <w:pPr>
        <w:ind w:left="360"/>
        <w:rPr>
          <w:b/>
          <w:bCs/>
          <w:sz w:val="28"/>
          <w:szCs w:val="28"/>
        </w:rPr>
      </w:pPr>
    </w:p>
    <w:p w:rsidR="00625F15" w:rsidRDefault="00625F15" w:rsidP="00740E50">
      <w:pPr>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w:t>
      </w:r>
      <w:r>
        <w:rPr>
          <w:bCs/>
          <w:szCs w:val="24"/>
        </w:rPr>
        <w:t>However, the department do intend to include age groups in this consultation and s</w:t>
      </w:r>
      <w:r w:rsidRPr="00740E50">
        <w:rPr>
          <w:bCs/>
          <w:szCs w:val="24"/>
        </w:rPr>
        <w:t xml:space="preserve">hould any opportunities present themselves as a result of the proposed public consultation, they will be considered. </w:t>
      </w:r>
    </w:p>
    <w:p w:rsidR="00740E50" w:rsidRPr="00625F15" w:rsidRDefault="00740E50"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066ADE" w:rsidRDefault="00066ADE" w:rsidP="00EA4088">
      <w:pPr>
        <w:ind w:left="360"/>
        <w:rPr>
          <w:b/>
          <w:bCs/>
          <w:sz w:val="28"/>
          <w:szCs w:val="28"/>
        </w:rPr>
      </w:pPr>
    </w:p>
    <w:p w:rsidR="00066ADE" w:rsidRDefault="00066ADE"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rsidR="00740E50" w:rsidRPr="00740E50" w:rsidRDefault="00740E50" w:rsidP="00740E50">
      <w:pPr>
        <w:ind w:left="360"/>
        <w:rPr>
          <w:bCs/>
          <w:szCs w:val="24"/>
          <w:u w:val="single"/>
        </w:rPr>
      </w:pPr>
      <w:r w:rsidRPr="00740E50">
        <w:rPr>
          <w:bCs/>
          <w:szCs w:val="24"/>
        </w:rPr>
        <w:t xml:space="preserve">This proposed revision of policy is aimed at all citizens equally.  There is no evidence available at this time to suggest it will benefit one group more than another group.  Should any opportunities present themselves as a result of the proposed public consultation, they will be considered. </w:t>
      </w: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740E50">
        <w:rPr>
          <w:rFonts w:cs="Arial"/>
          <w:bCs/>
          <w:sz w:val="28"/>
          <w:szCs w:val="28"/>
        </w:rPr>
        <w:t>None</w:t>
      </w:r>
    </w:p>
    <w:p w:rsidR="008925FE" w:rsidRDefault="008925FE"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E82CC7" w:rsidRPr="00E82CC7" w:rsidRDefault="008779A1" w:rsidP="00E82CC7">
      <w:pPr>
        <w:pStyle w:val="ListParagraph"/>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E82CC7">
        <w:rPr>
          <w:rFonts w:cs="Arial"/>
          <w:sz w:val="28"/>
          <w:szCs w:val="28"/>
        </w:rPr>
        <w:t xml:space="preserve">.  </w:t>
      </w:r>
      <w:r w:rsidR="00E82CC7" w:rsidRPr="00E82CC7">
        <w:rPr>
          <w:rFonts w:cs="Arial"/>
          <w:bCs/>
          <w:sz w:val="28"/>
          <w:szCs w:val="28"/>
        </w:rPr>
        <w:t xml:space="preserve">This policy is aimed at all citizens. </w:t>
      </w:r>
    </w:p>
    <w:p w:rsidR="008779A1" w:rsidRDefault="008779A1" w:rsidP="008779A1">
      <w:pPr>
        <w:autoSpaceDE w:val="0"/>
        <w:autoSpaceDN w:val="0"/>
        <w:adjustRightInd w:val="0"/>
        <w:ind w:left="360"/>
        <w:rPr>
          <w:rFonts w:cs="Arial"/>
          <w:sz w:val="28"/>
          <w:szCs w:val="28"/>
        </w:rPr>
      </w:pPr>
    </w:p>
    <w:p w:rsidR="008925FE" w:rsidRDefault="008925FE" w:rsidP="008779A1">
      <w:pPr>
        <w:autoSpaceDE w:val="0"/>
        <w:autoSpaceDN w:val="0"/>
        <w:adjustRightInd w:val="0"/>
        <w:ind w:left="360"/>
        <w:rPr>
          <w:rFonts w:cs="Arial"/>
          <w:bCs/>
          <w:sz w:val="28"/>
          <w:szCs w:val="28"/>
        </w:rPr>
      </w:pP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E82CC7">
        <w:rPr>
          <w:rFonts w:cs="Arial"/>
          <w:bCs/>
          <w:sz w:val="28"/>
          <w:szCs w:val="28"/>
        </w:rPr>
        <w:t>Minor</w:t>
      </w:r>
    </w:p>
    <w:p w:rsidR="008925FE" w:rsidRPr="00E82CC7" w:rsidRDefault="008925FE" w:rsidP="00E82CC7">
      <w:pPr>
        <w:autoSpaceDE w:val="0"/>
        <w:autoSpaceDN w:val="0"/>
        <w:adjustRightInd w:val="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E82CC7">
        <w:rPr>
          <w:rFonts w:cs="Arial"/>
          <w:sz w:val="28"/>
          <w:szCs w:val="28"/>
        </w:rPr>
        <w:t>Minor</w:t>
      </w:r>
      <w:r>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8925FE" w:rsidRDefault="00E82CC7" w:rsidP="008779A1">
      <w:pPr>
        <w:autoSpaceDE w:val="0"/>
        <w:autoSpaceDN w:val="0"/>
        <w:adjustRightInd w:val="0"/>
        <w:ind w:left="360"/>
        <w:rPr>
          <w:rFonts w:cs="Arial"/>
          <w:sz w:val="28"/>
          <w:szCs w:val="28"/>
        </w:rPr>
      </w:pPr>
      <w:r>
        <w:rPr>
          <w:rFonts w:cs="Arial"/>
          <w:sz w:val="28"/>
          <w:szCs w:val="28"/>
        </w:rPr>
        <w:t xml:space="preserve">This is an environmental policy and all political parties/groups will have their own political views on environmental issues which may at times differ. </w:t>
      </w:r>
      <w:r w:rsidR="00C170A2">
        <w:rPr>
          <w:rFonts w:cs="Arial"/>
          <w:sz w:val="28"/>
          <w:szCs w:val="28"/>
        </w:rPr>
        <w:t xml:space="preserve">Open debate will be encouraged and the department will consider all views. </w:t>
      </w: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sidR="00E82CC7">
        <w:rPr>
          <w:rFonts w:cs="Arial"/>
          <w:bCs/>
          <w:sz w:val="28"/>
          <w:szCs w:val="28"/>
        </w:rPr>
        <w:t xml:space="preserve"> None</w:t>
      </w:r>
    </w:p>
    <w:p w:rsidR="008925FE" w:rsidRDefault="008925FE" w:rsidP="008779A1">
      <w:pPr>
        <w:pStyle w:val="ListParagraph"/>
        <w:autoSpaceDE w:val="0"/>
        <w:autoSpaceDN w:val="0"/>
        <w:adjustRightInd w:val="0"/>
        <w:ind w:left="360"/>
        <w:rPr>
          <w:rFonts w:cs="Arial"/>
          <w:bCs/>
          <w:sz w:val="28"/>
          <w:szCs w:val="28"/>
        </w:rPr>
      </w:pPr>
    </w:p>
    <w:p w:rsidR="008925FE" w:rsidRPr="00BB0620" w:rsidRDefault="008925FE" w:rsidP="008779A1">
      <w:pPr>
        <w:pStyle w:val="ListParagraph"/>
        <w:autoSpaceDE w:val="0"/>
        <w:autoSpaceDN w:val="0"/>
        <w:adjustRightInd w:val="0"/>
        <w:ind w:left="360"/>
        <w:rPr>
          <w:rFonts w:cs="Arial"/>
          <w:bCs/>
          <w:sz w:val="28"/>
          <w:szCs w:val="28"/>
        </w:rPr>
      </w:pPr>
    </w:p>
    <w:p w:rsidR="00066ADE" w:rsidRDefault="008779A1" w:rsidP="00066ADE">
      <w:pPr>
        <w:pStyle w:val="ListParagraph"/>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E82CC7">
        <w:rPr>
          <w:rFonts w:cs="Arial"/>
          <w:sz w:val="28"/>
          <w:szCs w:val="28"/>
        </w:rPr>
        <w:t xml:space="preserve">.  </w:t>
      </w:r>
      <w:r>
        <w:rPr>
          <w:rFonts w:cs="Arial"/>
          <w:sz w:val="28"/>
          <w:szCs w:val="28"/>
        </w:rPr>
        <w:t xml:space="preserve">  </w:t>
      </w:r>
      <w:r w:rsidR="00E82CC7" w:rsidRPr="00E82CC7">
        <w:rPr>
          <w:rFonts w:cs="Arial"/>
          <w:bCs/>
          <w:sz w:val="28"/>
          <w:szCs w:val="28"/>
        </w:rPr>
        <w:t xml:space="preserve">This policy is aimed at all citizens. </w:t>
      </w:r>
    </w:p>
    <w:p w:rsidR="008925FE" w:rsidRDefault="008925FE" w:rsidP="00066ADE">
      <w:pPr>
        <w:pStyle w:val="ListParagraph"/>
        <w:autoSpaceDE w:val="0"/>
        <w:autoSpaceDN w:val="0"/>
        <w:adjustRightInd w:val="0"/>
        <w:ind w:left="360"/>
        <w:rPr>
          <w:rFonts w:cs="Arial"/>
          <w:bCs/>
          <w:sz w:val="28"/>
          <w:szCs w:val="28"/>
        </w:rPr>
      </w:pPr>
    </w:p>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E82CC7" w:rsidRPr="00E82CC7" w:rsidRDefault="00EA4088" w:rsidP="00E82CC7">
      <w:pPr>
        <w:pStyle w:val="ListParagraph"/>
        <w:autoSpaceDE w:val="0"/>
        <w:autoSpaceDN w:val="0"/>
        <w:adjustRightInd w:val="0"/>
        <w:ind w:left="360"/>
        <w:rPr>
          <w:rFonts w:cs="Arial"/>
          <w:bCs/>
          <w:sz w:val="28"/>
          <w:szCs w:val="28"/>
        </w:rPr>
      </w:pPr>
      <w:r w:rsidRPr="008925FE">
        <w:rPr>
          <w:b/>
          <w:bCs/>
          <w:sz w:val="28"/>
          <w:szCs w:val="28"/>
        </w:rPr>
        <w:t xml:space="preserve">If No, provide </w:t>
      </w:r>
      <w:r w:rsidRPr="008925FE">
        <w:rPr>
          <w:b/>
          <w:bCs/>
          <w:sz w:val="28"/>
          <w:szCs w:val="28"/>
          <w:u w:val="single"/>
        </w:rPr>
        <w:t>reasons:</w:t>
      </w:r>
      <w:r w:rsidR="00E82CC7">
        <w:rPr>
          <w:b/>
          <w:bCs/>
          <w:sz w:val="28"/>
          <w:szCs w:val="28"/>
          <w:u w:val="single"/>
        </w:rPr>
        <w:t xml:space="preserve"> </w:t>
      </w:r>
      <w:r w:rsidR="00E82CC7" w:rsidRPr="00E82CC7">
        <w:rPr>
          <w:rFonts w:cs="Arial"/>
          <w:bCs/>
          <w:sz w:val="28"/>
          <w:szCs w:val="28"/>
        </w:rPr>
        <w:t xml:space="preserve">This policy is aimed at all citizens. </w:t>
      </w:r>
    </w:p>
    <w:p w:rsidR="00EA4088" w:rsidRPr="008925FE" w:rsidRDefault="00EA4088" w:rsidP="00EA4088">
      <w:pPr>
        <w:ind w:left="360"/>
        <w:rPr>
          <w:b/>
          <w:bCs/>
          <w:sz w:val="28"/>
          <w:szCs w:val="28"/>
          <w:u w:val="single"/>
        </w:rPr>
      </w:pPr>
    </w:p>
    <w:p w:rsidR="008925FE" w:rsidRDefault="008925FE" w:rsidP="00EA4088">
      <w:pPr>
        <w:ind w:left="360"/>
        <w:rPr>
          <w:bCs/>
          <w:sz w:val="28"/>
          <w:szCs w:val="28"/>
          <w:u w:val="single"/>
        </w:rPr>
      </w:pPr>
    </w:p>
    <w:p w:rsidR="008925FE" w:rsidRDefault="008925FE" w:rsidP="00E82CC7">
      <w:pPr>
        <w:rPr>
          <w:bCs/>
          <w:sz w:val="28"/>
          <w:szCs w:val="28"/>
          <w:u w:val="single"/>
        </w:rPr>
      </w:pPr>
    </w:p>
    <w:p w:rsidR="00EA4088" w:rsidRDefault="00EA4088" w:rsidP="00EA4088">
      <w:pPr>
        <w:ind w:left="360"/>
        <w:rPr>
          <w:bCs/>
          <w:sz w:val="28"/>
          <w:szCs w:val="28"/>
          <w:u w:val="single"/>
        </w:rPr>
      </w:pPr>
    </w:p>
    <w:p w:rsidR="00E82CC7" w:rsidRPr="00E82CC7" w:rsidRDefault="00EA4088" w:rsidP="00E82CC7">
      <w:pPr>
        <w:pStyle w:val="ListParagraph"/>
        <w:autoSpaceDE w:val="0"/>
        <w:autoSpaceDN w:val="0"/>
        <w:adjustRightInd w:val="0"/>
        <w:ind w:left="360"/>
        <w:rPr>
          <w:rFonts w:cs="Arial"/>
          <w:bCs/>
          <w:sz w:val="28"/>
          <w:szCs w:val="28"/>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r w:rsidR="00E82CC7">
        <w:rPr>
          <w:b/>
          <w:bCs/>
          <w:sz w:val="28"/>
          <w:szCs w:val="28"/>
          <w:u w:val="single"/>
        </w:rPr>
        <w:t xml:space="preserve">  </w:t>
      </w:r>
      <w:r w:rsidR="00E82CC7" w:rsidRPr="00E82CC7">
        <w:rPr>
          <w:rFonts w:cs="Arial"/>
          <w:bCs/>
          <w:sz w:val="28"/>
          <w:szCs w:val="28"/>
        </w:rPr>
        <w:t xml:space="preserve">This policy is aimed at all citizens. </w:t>
      </w:r>
      <w:r w:rsidR="00E82CC7">
        <w:rPr>
          <w:rFonts w:cs="Arial"/>
          <w:bCs/>
          <w:sz w:val="28"/>
          <w:szCs w:val="28"/>
        </w:rPr>
        <w:t xml:space="preserve">Some citizens may be more aware of environmental issues and this may give opportunity for positive debate between different groups with different political views.  The public consultation is aimed at all citizens and all views will be considered.  </w:t>
      </w:r>
      <w:r w:rsidR="00C170A2">
        <w:rPr>
          <w:rFonts w:cs="Arial"/>
          <w:bCs/>
          <w:sz w:val="28"/>
          <w:szCs w:val="28"/>
        </w:rPr>
        <w:t xml:space="preserve">All political parties and members of the Assembly will be made aware of this policy and encouraged to participate and garner views from constituents. </w:t>
      </w:r>
    </w:p>
    <w:p w:rsidR="008925FE" w:rsidRDefault="008925FE" w:rsidP="00E82CC7">
      <w:pPr>
        <w:rPr>
          <w:b/>
          <w:bCs/>
          <w:sz w:val="28"/>
          <w:szCs w:val="28"/>
        </w:rPr>
      </w:pPr>
    </w:p>
    <w:p w:rsidR="008925FE" w:rsidRPr="008925FE" w:rsidRDefault="008925FE" w:rsidP="00EA4088">
      <w:pPr>
        <w:ind w:left="360"/>
        <w:rPr>
          <w:b/>
          <w:bCs/>
          <w:sz w:val="28"/>
          <w:szCs w:val="28"/>
        </w:rPr>
      </w:pPr>
    </w:p>
    <w:p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E82CC7">
        <w:rPr>
          <w:b/>
          <w:bCs/>
          <w:sz w:val="28"/>
          <w:szCs w:val="28"/>
          <w:u w:val="single"/>
        </w:rPr>
        <w:t xml:space="preserve">: </w:t>
      </w:r>
    </w:p>
    <w:p w:rsidR="00EA4088" w:rsidRDefault="00EA4088" w:rsidP="00EA4088">
      <w:pPr>
        <w:ind w:left="360"/>
        <w:rPr>
          <w:b/>
          <w:bCs/>
          <w:sz w:val="28"/>
          <w:szCs w:val="28"/>
        </w:rPr>
      </w:pP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8925FE" w:rsidRPr="008925FE" w:rsidRDefault="008925FE" w:rsidP="00EA4088">
      <w:pPr>
        <w:ind w:left="360"/>
        <w:rPr>
          <w:b/>
          <w:bCs/>
          <w:sz w:val="28"/>
          <w:szCs w:val="28"/>
        </w:rPr>
      </w:pPr>
    </w:p>
    <w:p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u w:val="single"/>
        </w:rPr>
      </w:pPr>
    </w:p>
    <w:p w:rsidR="008925FE" w:rsidRPr="008925FE" w:rsidRDefault="008925FE" w:rsidP="00EA4088">
      <w:pPr>
        <w:ind w:left="360"/>
        <w:rPr>
          <w:b/>
          <w:bCs/>
          <w:sz w:val="28"/>
          <w:szCs w:val="28"/>
        </w:rPr>
      </w:pPr>
    </w:p>
    <w:p w:rsidR="00E82CC7" w:rsidRPr="00E82CC7" w:rsidRDefault="00EA4088" w:rsidP="00E82CC7">
      <w:pPr>
        <w:pStyle w:val="ListParagraph"/>
        <w:autoSpaceDE w:val="0"/>
        <w:autoSpaceDN w:val="0"/>
        <w:adjustRightInd w:val="0"/>
        <w:ind w:left="360"/>
        <w:rPr>
          <w:rFonts w:cs="Arial"/>
          <w:bCs/>
          <w:sz w:val="28"/>
          <w:szCs w:val="28"/>
        </w:rPr>
      </w:pPr>
      <w:r w:rsidRPr="008925FE">
        <w:rPr>
          <w:b/>
          <w:bCs/>
          <w:sz w:val="28"/>
          <w:szCs w:val="28"/>
        </w:rPr>
        <w:t xml:space="preserve">If No, provide </w:t>
      </w:r>
      <w:r w:rsidRPr="008925FE">
        <w:rPr>
          <w:b/>
          <w:bCs/>
          <w:sz w:val="28"/>
          <w:szCs w:val="28"/>
          <w:u w:val="single"/>
        </w:rPr>
        <w:t>reasons</w:t>
      </w:r>
      <w:r w:rsidR="00E82CC7">
        <w:rPr>
          <w:b/>
          <w:bCs/>
          <w:sz w:val="28"/>
          <w:szCs w:val="28"/>
          <w:u w:val="single"/>
        </w:rPr>
        <w:t xml:space="preserve">: </w:t>
      </w:r>
      <w:r w:rsidR="00E82CC7" w:rsidRPr="00E82CC7">
        <w:rPr>
          <w:rFonts w:cs="Arial"/>
          <w:bCs/>
          <w:sz w:val="28"/>
          <w:szCs w:val="28"/>
        </w:rPr>
        <w:t xml:space="preserve">This policy is aimed at all citizens. </w:t>
      </w:r>
    </w:p>
    <w:p w:rsidR="00EA4088" w:rsidRPr="008925FE" w:rsidRDefault="00EA4088" w:rsidP="00EA4088">
      <w:pPr>
        <w:ind w:left="360"/>
        <w:rPr>
          <w:b/>
          <w:bCs/>
          <w:sz w:val="28"/>
          <w:szCs w:val="28"/>
          <w:u w:val="single"/>
        </w:rPr>
      </w:pP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C170A2" w:rsidRDefault="00C170A2" w:rsidP="00E91D60">
      <w:pPr>
        <w:autoSpaceDE w:val="0"/>
        <w:autoSpaceDN w:val="0"/>
        <w:adjustRightInd w:val="0"/>
        <w:rPr>
          <w:b/>
        </w:rPr>
      </w:pPr>
    </w:p>
    <w:p w:rsidR="00133E60" w:rsidRPr="00F537E8" w:rsidRDefault="00C170A2" w:rsidP="00E91D60">
      <w:pPr>
        <w:autoSpaceDE w:val="0"/>
        <w:autoSpaceDN w:val="0"/>
        <w:adjustRightInd w:val="0"/>
      </w:pPr>
      <w:r w:rsidRPr="00F537E8">
        <w:t xml:space="preserve">There is no evidence at this time that there will be any potential impacts of the policy on people with multiple identities.  </w:t>
      </w:r>
      <w:r w:rsidR="00F537E8" w:rsidRPr="00F537E8">
        <w:t>However, t</w:t>
      </w:r>
      <w:r w:rsidR="00F537E8" w:rsidRPr="00F537E8">
        <w:rPr>
          <w:szCs w:val="24"/>
        </w:rPr>
        <w:t>he policy is subject to public consultation and should any issues be raised they will be considered.</w:t>
      </w:r>
      <w:r w:rsidR="00453279" w:rsidRPr="00F537E8">
        <w:br w:type="page"/>
      </w: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133E60" w:rsidP="00133E60">
      <w:pPr>
        <w:pStyle w:val="DARDEqualityText"/>
        <w:tabs>
          <w:tab w:val="left" w:pos="426"/>
        </w:tabs>
        <w:spacing w:after="200" w:line="240" w:lineRule="auto"/>
      </w:pPr>
    </w:p>
    <w:p w:rsidR="006F0634" w:rsidRDefault="00310C86" w:rsidP="00133E60">
      <w:pPr>
        <w:pStyle w:val="DARDEqualityText"/>
        <w:tabs>
          <w:tab w:val="left" w:pos="426"/>
        </w:tabs>
        <w:spacing w:after="200" w:line="240" w:lineRule="auto"/>
      </w:pPr>
      <w:r>
        <w:t>The policy does not provide an opportunity for DAERA to promote positive attitudes towards disabled people.</w:t>
      </w:r>
    </w:p>
    <w:p w:rsidR="006F0634" w:rsidRDefault="006F0634" w:rsidP="00133E60">
      <w:pPr>
        <w:pStyle w:val="DARDEqualityText"/>
        <w:tabs>
          <w:tab w:val="left" w:pos="426"/>
        </w:tabs>
        <w:spacing w:after="200" w:line="240" w:lineRule="auto"/>
      </w:pPr>
    </w:p>
    <w:p w:rsidR="006F0634" w:rsidRDefault="006F0634"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133E60" w:rsidP="00133E60">
      <w:pPr>
        <w:pStyle w:val="DARDEqualityText"/>
        <w:tabs>
          <w:tab w:val="left" w:pos="426"/>
        </w:tabs>
        <w:spacing w:after="200"/>
      </w:pPr>
    </w:p>
    <w:p w:rsidR="00133E60" w:rsidRDefault="00310C86" w:rsidP="00133E60">
      <w:pPr>
        <w:pStyle w:val="DARDEqualityText"/>
        <w:tabs>
          <w:tab w:val="left" w:pos="426"/>
        </w:tabs>
        <w:spacing w:after="200"/>
      </w:pPr>
      <w:r>
        <w:t>The policy does not provide an opportunity for DAERA to actively increase the participation of disabled people in public life.</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E91D60" w:rsidRDefault="00E91D60" w:rsidP="00E91D60">
      <w:pPr>
        <w:autoSpaceDE w:val="0"/>
        <w:autoSpaceDN w:val="0"/>
        <w:adjustRightInd w:val="0"/>
        <w:rPr>
          <w:rFonts w:cs="Arial"/>
          <w:sz w:val="28"/>
          <w:szCs w:val="28"/>
        </w:rPr>
      </w:pPr>
      <w:r>
        <w:rPr>
          <w:rFonts w:cs="Arial"/>
          <w:b/>
          <w:sz w:val="28"/>
          <w:szCs w:val="28"/>
        </w:rPr>
        <w:t>Part 3. Screening decision</w:t>
      </w:r>
    </w:p>
    <w:p w:rsidR="00E91D60"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506415" w:rsidRDefault="00D924EF" w:rsidP="00E91D60">
      <w:pPr>
        <w:autoSpaceDE w:val="0"/>
        <w:autoSpaceDN w:val="0"/>
        <w:adjustRightInd w:val="0"/>
        <w:rPr>
          <w:rFonts w:cs="Arial"/>
          <w:sz w:val="28"/>
          <w:szCs w:val="28"/>
        </w:rPr>
      </w:pPr>
      <w:r>
        <w:rPr>
          <w:rFonts w:cs="Arial"/>
          <w:sz w:val="28"/>
          <w:szCs w:val="28"/>
        </w:rPr>
        <w:t xml:space="preserve">The decision is not to conduct an equality impact assessment.  The policy is a revision of a policy already in place.  </w:t>
      </w:r>
    </w:p>
    <w:p w:rsidR="00506415" w:rsidRDefault="00D924EF" w:rsidP="00E91D60">
      <w:pPr>
        <w:autoSpaceDE w:val="0"/>
        <w:autoSpaceDN w:val="0"/>
        <w:adjustRightInd w:val="0"/>
        <w:rPr>
          <w:rFonts w:cs="Arial"/>
          <w:sz w:val="28"/>
          <w:szCs w:val="28"/>
        </w:rPr>
      </w:pPr>
      <w:r>
        <w:rPr>
          <w:rFonts w:cs="Arial"/>
          <w:sz w:val="28"/>
          <w:szCs w:val="28"/>
        </w:rPr>
        <w:t xml:space="preserve">At this time, the department </w:t>
      </w:r>
      <w:r w:rsidR="000E7290">
        <w:rPr>
          <w:rFonts w:cs="Arial"/>
          <w:sz w:val="28"/>
          <w:szCs w:val="28"/>
        </w:rPr>
        <w:t>do not anticipate</w:t>
      </w:r>
      <w:r>
        <w:rPr>
          <w:rFonts w:cs="Arial"/>
          <w:sz w:val="28"/>
          <w:szCs w:val="28"/>
        </w:rPr>
        <w:t xml:space="preserve"> that the policy review will impact on any particular group of persons</w:t>
      </w:r>
      <w:r w:rsidR="00066ADE">
        <w:rPr>
          <w:rFonts w:cs="Arial"/>
          <w:sz w:val="28"/>
          <w:szCs w:val="28"/>
        </w:rPr>
        <w:t xml:space="preserve"> other than in one</w:t>
      </w:r>
      <w:r w:rsidR="00506415">
        <w:rPr>
          <w:rFonts w:cs="Arial"/>
          <w:sz w:val="28"/>
          <w:szCs w:val="28"/>
        </w:rPr>
        <w:t xml:space="preserve"> minor way</w:t>
      </w:r>
      <w:r>
        <w:rPr>
          <w:rFonts w:cs="Arial"/>
          <w:sz w:val="28"/>
          <w:szCs w:val="28"/>
        </w:rPr>
        <w:t>.</w:t>
      </w:r>
      <w:r w:rsidR="00506415">
        <w:rPr>
          <w:rFonts w:cs="Arial"/>
          <w:sz w:val="28"/>
          <w:szCs w:val="28"/>
        </w:rPr>
        <w:t xml:space="preserve">  </w:t>
      </w:r>
    </w:p>
    <w:p w:rsidR="009D617C" w:rsidRDefault="00506415" w:rsidP="00E91D60">
      <w:pPr>
        <w:autoSpaceDE w:val="0"/>
        <w:autoSpaceDN w:val="0"/>
        <w:adjustRightInd w:val="0"/>
        <w:rPr>
          <w:rFonts w:cs="Arial"/>
          <w:sz w:val="28"/>
          <w:szCs w:val="28"/>
        </w:rPr>
      </w:pPr>
      <w:r>
        <w:rPr>
          <w:rFonts w:cs="Arial"/>
          <w:sz w:val="28"/>
          <w:szCs w:val="28"/>
        </w:rPr>
        <w:t>The public consultation will give opportunity for views to be gathered and considered.</w:t>
      </w:r>
      <w:r w:rsidR="00D924EF">
        <w:rPr>
          <w:rFonts w:cs="Arial"/>
          <w:sz w:val="28"/>
          <w:szCs w:val="28"/>
        </w:rPr>
        <w:t xml:space="preserve">  </w:t>
      </w:r>
    </w:p>
    <w:p w:rsidR="009D617C" w:rsidRDefault="009D617C" w:rsidP="00E91D60">
      <w:pPr>
        <w:autoSpaceDE w:val="0"/>
        <w:autoSpaceDN w:val="0"/>
        <w:adjustRightInd w:val="0"/>
        <w:rPr>
          <w:rFonts w:cs="Arial"/>
          <w:sz w:val="28"/>
          <w:szCs w:val="28"/>
        </w:rPr>
      </w:pPr>
    </w:p>
    <w:p w:rsidR="00FA2356" w:rsidRDefault="00FA2356" w:rsidP="00E91D60">
      <w:pPr>
        <w:rPr>
          <w:rFonts w:cs="Arial"/>
          <w:sz w:val="28"/>
          <w:szCs w:val="28"/>
        </w:rPr>
      </w:pPr>
    </w:p>
    <w:p w:rsidR="009D617C" w:rsidRDefault="009D617C" w:rsidP="00E91D60">
      <w:pPr>
        <w:rPr>
          <w:rFonts w:cs="Arial"/>
          <w:sz w:val="28"/>
          <w:szCs w:val="28"/>
        </w:rPr>
      </w:pPr>
    </w:p>
    <w:p w:rsidR="009D617C" w:rsidRDefault="009D617C" w:rsidP="00E91D60">
      <w:pPr>
        <w:rPr>
          <w:rFonts w:cs="Arial"/>
          <w:sz w:val="28"/>
          <w:szCs w:val="28"/>
        </w:rPr>
      </w:pPr>
    </w:p>
    <w:p w:rsidR="009D617C" w:rsidRPr="0081374C" w:rsidRDefault="009D617C" w:rsidP="00E91D60">
      <w:pPr>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Pr="0081374C"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FA2356" w:rsidRDefault="00FA2356" w:rsidP="00E91D60">
      <w:pPr>
        <w:autoSpaceDE w:val="0"/>
        <w:autoSpaceDN w:val="0"/>
        <w:adjustRightInd w:val="0"/>
        <w:rPr>
          <w:rFonts w:cs="Arial"/>
          <w:b/>
          <w:sz w:val="28"/>
          <w:szCs w:val="28"/>
        </w:rPr>
      </w:pPr>
    </w:p>
    <w:p w:rsidR="00480690" w:rsidRDefault="0048069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310C86">
        <w:rPr>
          <w:rFonts w:cs="Arial"/>
          <w:b/>
          <w:sz w:val="28"/>
          <w:szCs w:val="28"/>
        </w:rPr>
        <w:t>No</w:t>
      </w:r>
      <w:r w:rsidR="00DD7FC0" w:rsidRPr="008925FE">
        <w:rPr>
          <w:rFonts w:cs="Arial"/>
          <w:b/>
          <w:sz w:val="28"/>
          <w:szCs w:val="28"/>
        </w:rPr>
        <w:t xml:space="preserve"> </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5651EC" w:rsidRDefault="00FF0E8B" w:rsidP="00E91D60">
      <w:pPr>
        <w:autoSpaceDE w:val="0"/>
        <w:autoSpaceDN w:val="0"/>
        <w:adjustRightInd w:val="0"/>
        <w:rPr>
          <w:rFonts w:cs="Arial"/>
          <w:szCs w:val="24"/>
        </w:rPr>
      </w:pPr>
      <w:r w:rsidRPr="00DC4732">
        <w:rPr>
          <w:rFonts w:cs="Arial"/>
          <w:b/>
          <w:sz w:val="28"/>
          <w:szCs w:val="28"/>
        </w:rPr>
        <w:t>Equality:</w:t>
      </w:r>
      <w:r w:rsidR="005651EC">
        <w:rPr>
          <w:rFonts w:cs="Arial"/>
          <w:b/>
          <w:sz w:val="28"/>
          <w:szCs w:val="28"/>
        </w:rPr>
        <w:t xml:space="preserve"> </w:t>
      </w:r>
      <w:r w:rsidR="001E2B95" w:rsidRPr="001E2B95">
        <w:rPr>
          <w:rFonts w:cs="Arial"/>
          <w:szCs w:val="24"/>
        </w:rPr>
        <w:t>Any data captured from the public</w:t>
      </w:r>
      <w:r w:rsidR="001E2B95">
        <w:rPr>
          <w:rFonts w:cs="Arial"/>
          <w:szCs w:val="24"/>
        </w:rPr>
        <w:t xml:space="preserve"> consultation will be considered;</w:t>
      </w:r>
      <w:r w:rsidR="001E2B95">
        <w:rPr>
          <w:rFonts w:cs="Arial"/>
          <w:sz w:val="28"/>
          <w:szCs w:val="28"/>
        </w:rPr>
        <w:t xml:space="preserve"> t</w:t>
      </w:r>
      <w:r w:rsidR="005651EC" w:rsidRPr="005651EC">
        <w:rPr>
          <w:rFonts w:cs="Arial"/>
          <w:szCs w:val="24"/>
        </w:rPr>
        <w:t>he Carrier Bag Levy Team continue to engage with stakeholders</w:t>
      </w:r>
      <w:r w:rsidR="001E2B95">
        <w:rPr>
          <w:rFonts w:cs="Arial"/>
          <w:szCs w:val="24"/>
        </w:rPr>
        <w:t xml:space="preserve"> and will monitor any information received from consumers moving forward</w:t>
      </w:r>
      <w:r w:rsidR="005651EC" w:rsidRPr="005651EC">
        <w:rPr>
          <w:rFonts w:cs="Arial"/>
          <w:szCs w:val="24"/>
        </w:rPr>
        <w:t>.</w:t>
      </w:r>
      <w:r w:rsidR="003C5172">
        <w:rPr>
          <w:rFonts w:cs="Arial"/>
          <w:szCs w:val="24"/>
        </w:rPr>
        <w:t xml:space="preserve"> </w:t>
      </w:r>
      <w:r w:rsidR="005651EC" w:rsidRPr="005651EC">
        <w:rPr>
          <w:rFonts w:cs="Arial"/>
          <w:szCs w:val="24"/>
        </w:rPr>
        <w:t xml:space="preserve">NISRA continue to include questions regarding bag usage in their Continuous Household Survey and the department will continue to monitor the results of the NI Census (2021 is ongoing). </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1E2B95" w:rsidRPr="001E2B95" w:rsidRDefault="00FF0E8B" w:rsidP="001E2B95">
      <w:pPr>
        <w:autoSpaceDE w:val="0"/>
        <w:autoSpaceDN w:val="0"/>
        <w:adjustRightInd w:val="0"/>
        <w:rPr>
          <w:rFonts w:cs="Arial"/>
          <w:szCs w:val="24"/>
        </w:rPr>
      </w:pPr>
      <w:r w:rsidRPr="00DC4732">
        <w:rPr>
          <w:rFonts w:cs="Arial"/>
          <w:b/>
          <w:sz w:val="28"/>
          <w:szCs w:val="28"/>
        </w:rPr>
        <w:t>Good Relations:</w:t>
      </w:r>
      <w:r w:rsidR="005651EC">
        <w:rPr>
          <w:rFonts w:cs="Arial"/>
          <w:b/>
          <w:sz w:val="28"/>
          <w:szCs w:val="28"/>
        </w:rPr>
        <w:t xml:space="preserve"> </w:t>
      </w:r>
      <w:r w:rsidR="001E2B95" w:rsidRPr="001E2B95">
        <w:rPr>
          <w:rFonts w:cs="Arial"/>
          <w:szCs w:val="24"/>
        </w:rPr>
        <w:t xml:space="preserve">Any data captured from the public consultation will be considered; the Carrier Bag Levy Team continue to engage with stakeholders and will monitor any information received from consumers moving forward. NISRA continue to include questions regarding bag usage in their Continuous Household Survey and the department will continue to monitor the results of the NI Census (2021 is ongoing). </w:t>
      </w:r>
    </w:p>
    <w:p w:rsidR="005651EC" w:rsidRPr="005651EC" w:rsidRDefault="005651EC" w:rsidP="005651EC">
      <w:pPr>
        <w:autoSpaceDE w:val="0"/>
        <w:autoSpaceDN w:val="0"/>
        <w:adjustRightInd w:val="0"/>
        <w:rPr>
          <w:rFonts w:cs="Arial"/>
          <w:szCs w:val="24"/>
        </w:rPr>
      </w:pPr>
    </w:p>
    <w:p w:rsidR="00FF0E8B" w:rsidRPr="00DC4732" w:rsidRDefault="00FF0E8B" w:rsidP="00E91D60">
      <w:pPr>
        <w:autoSpaceDE w:val="0"/>
        <w:autoSpaceDN w:val="0"/>
        <w:adjustRightInd w:val="0"/>
        <w:rPr>
          <w:rFonts w:cs="Arial"/>
          <w:b/>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1E2B95" w:rsidRPr="001E2B95" w:rsidRDefault="00FF0E8B" w:rsidP="001E2B95">
      <w:pPr>
        <w:autoSpaceDE w:val="0"/>
        <w:autoSpaceDN w:val="0"/>
        <w:adjustRightInd w:val="0"/>
        <w:rPr>
          <w:rFonts w:cs="Arial"/>
          <w:szCs w:val="24"/>
        </w:rPr>
      </w:pPr>
      <w:r w:rsidRPr="00DC4732">
        <w:rPr>
          <w:rFonts w:cs="Arial"/>
          <w:b/>
          <w:sz w:val="28"/>
          <w:szCs w:val="28"/>
        </w:rPr>
        <w:t>Disability Duties:</w:t>
      </w:r>
      <w:r w:rsidR="005651EC">
        <w:rPr>
          <w:rFonts w:cs="Arial"/>
          <w:b/>
          <w:sz w:val="28"/>
          <w:szCs w:val="28"/>
        </w:rPr>
        <w:t xml:space="preserve"> </w:t>
      </w:r>
      <w:r w:rsidR="001E2B95" w:rsidRPr="001E2B95">
        <w:rPr>
          <w:rFonts w:cs="Arial"/>
          <w:szCs w:val="24"/>
        </w:rPr>
        <w:t xml:space="preserve">Any data captured from the public consultation will be considered; the Carrier Bag Levy Team continue to engage with stakeholders and will monitor any information received from consumers moving forward. NISRA continue to include questions regarding bag usage in their Continuous Household Survey and the department will continue to monitor the results of the NI Census (2021 is ongoing). </w:t>
      </w:r>
    </w:p>
    <w:p w:rsidR="005651EC" w:rsidRPr="005651EC" w:rsidRDefault="005651EC" w:rsidP="005651EC">
      <w:pPr>
        <w:autoSpaceDE w:val="0"/>
        <w:autoSpaceDN w:val="0"/>
        <w:adjustRightInd w:val="0"/>
        <w:rPr>
          <w:rFonts w:cs="Arial"/>
          <w:szCs w:val="24"/>
        </w:rPr>
      </w:pPr>
    </w:p>
    <w:p w:rsidR="00FF0E8B" w:rsidRPr="00DC4732" w:rsidRDefault="00FF0E8B" w:rsidP="00E91D60">
      <w:pPr>
        <w:autoSpaceDE w:val="0"/>
        <w:autoSpaceDN w:val="0"/>
        <w:adjustRightInd w:val="0"/>
        <w:rPr>
          <w:rFonts w:cs="Arial"/>
          <w:b/>
          <w:sz w:val="28"/>
          <w:szCs w:val="28"/>
        </w:rPr>
      </w:pP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D544B0" w:rsidRDefault="001E7A54" w:rsidP="00044701">
      <w:pPr>
        <w:pStyle w:val="DARDEqualityText"/>
        <w:tabs>
          <w:tab w:val="left" w:pos="448"/>
        </w:tabs>
        <w:ind w:left="448" w:hanging="448"/>
        <w:rPr>
          <w:rFonts w:cs="Arial"/>
          <w:szCs w:val="28"/>
        </w:rPr>
      </w:pPr>
      <w:r w:rsidRPr="00D544B0">
        <w:rPr>
          <w:rFonts w:cs="Arial"/>
          <w:szCs w:val="28"/>
        </w:rPr>
        <w:t>No adverse impact on human rights have been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1E7A54" w:rsidP="000D08B0">
      <w:pPr>
        <w:pStyle w:val="BodyTextIndent2"/>
        <w:ind w:left="0" w:firstLine="0"/>
        <w:rPr>
          <w:b/>
          <w:szCs w:val="28"/>
        </w:rPr>
      </w:pPr>
      <w:r w:rsidRPr="001E7A54">
        <w:rPr>
          <w:szCs w:val="28"/>
        </w:rPr>
        <w:t xml:space="preserve">The </w:t>
      </w:r>
      <w:r>
        <w:rPr>
          <w:szCs w:val="28"/>
        </w:rPr>
        <w:t xml:space="preserve">policy does not create any opportunity to promote human rights. </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1E2B95">
        <w:t>RORY O’BOYLE</w:t>
      </w:r>
      <w:r w:rsidRPr="00D43490">
        <w:tab/>
      </w:r>
      <w:r w:rsidRPr="00D43490">
        <w:tab/>
      </w:r>
      <w:r w:rsidRPr="00D43490">
        <w:tab/>
      </w:r>
      <w:r w:rsidRPr="00D43490">
        <w:tab/>
      </w:r>
      <w:r w:rsidRPr="00D43490">
        <w:tab/>
      </w:r>
      <w:r w:rsidRPr="00D43490">
        <w:tab/>
      </w:r>
      <w:r>
        <w:rPr>
          <w:b/>
        </w:rPr>
        <w:t>Grade:</w:t>
      </w:r>
      <w:r w:rsidRPr="00D43490">
        <w:t xml:space="preserve"> </w:t>
      </w:r>
      <w:r w:rsidR="001E2B95">
        <w:t>7</w:t>
      </w:r>
    </w:p>
    <w:p w:rsidR="00D43490" w:rsidRDefault="00D43490" w:rsidP="00D43490">
      <w:pPr>
        <w:pStyle w:val="BodyTextIndent2"/>
        <w:ind w:left="426"/>
        <w:rPr>
          <w:b/>
        </w:rPr>
      </w:pPr>
      <w:r>
        <w:rPr>
          <w:b/>
        </w:rPr>
        <w:t>Branch:</w:t>
      </w:r>
      <w:r w:rsidRPr="00D43490">
        <w:t xml:space="preserve"> </w:t>
      </w:r>
      <w:r w:rsidR="001E2B95">
        <w:t>CBLT</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1E2B95" w:rsidRPr="001E2B95">
        <w:rPr>
          <w:rFonts w:ascii="Calibri" w:eastAsia="Calibri" w:hAnsi="Calibri"/>
          <w:noProof/>
          <w:sz w:val="22"/>
          <w:szCs w:val="22"/>
          <w:lang w:eastAsia="en-GB"/>
        </w:rPr>
        <w:drawing>
          <wp:inline distT="0" distB="0" distL="0" distR="0" wp14:anchorId="31E13E40" wp14:editId="291DE3C2">
            <wp:extent cx="1838325" cy="1027767"/>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38325" cy="1027767"/>
                    </a:xfrm>
                    <a:prstGeom prst="rect">
                      <a:avLst/>
                    </a:prstGeom>
                    <a:noFill/>
                    <a:ln w="9525">
                      <a:noFill/>
                      <a:miter lim="800000"/>
                      <a:headEnd/>
                      <a:tailEnd/>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2B57B6" w:rsidRDefault="00D43490" w:rsidP="002B57B6">
      <w:pPr>
        <w:pStyle w:val="BodyTextIndent2"/>
        <w:ind w:left="426"/>
      </w:pPr>
      <w:r>
        <w:rPr>
          <w:b/>
        </w:rPr>
        <w:t>Name:</w:t>
      </w:r>
      <w:r w:rsidRPr="00D43490">
        <w:tab/>
      </w:r>
      <w:r w:rsidR="002B57B6">
        <w:tab/>
        <w:t>DAVID SMALL</w:t>
      </w:r>
      <w:r w:rsidR="002B57B6">
        <w:tab/>
      </w:r>
      <w:r w:rsidR="002B57B6">
        <w:tab/>
      </w:r>
      <w:r w:rsidRPr="00D43490">
        <w:tab/>
      </w:r>
    </w:p>
    <w:p w:rsidR="00D43490" w:rsidRPr="002B57B6" w:rsidRDefault="00D43490" w:rsidP="002B57B6">
      <w:pPr>
        <w:pStyle w:val="BodyTextIndent2"/>
        <w:ind w:left="426"/>
      </w:pPr>
      <w:r>
        <w:rPr>
          <w:b/>
        </w:rPr>
        <w:t>Grade:</w:t>
      </w:r>
      <w:r w:rsidRPr="00D43490">
        <w:t xml:space="preserve"> </w:t>
      </w:r>
      <w:r w:rsidR="002B57B6">
        <w:tab/>
      </w:r>
      <w:r w:rsidR="002B57B6">
        <w:tab/>
        <w:t>DEPUTY SECRETARY</w:t>
      </w:r>
    </w:p>
    <w:p w:rsidR="00D43490" w:rsidRDefault="00D43490" w:rsidP="00D43490">
      <w:pPr>
        <w:pStyle w:val="BodyTextIndent2"/>
        <w:ind w:left="426"/>
      </w:pPr>
      <w:r>
        <w:rPr>
          <w:b/>
        </w:rPr>
        <w:t>Branch:</w:t>
      </w:r>
      <w:r w:rsidRPr="00D43490">
        <w:t xml:space="preserve"> </w:t>
      </w:r>
      <w:r w:rsidR="002B57B6">
        <w:tab/>
      </w:r>
      <w:r w:rsidR="002B57B6">
        <w:tab/>
        <w:t>ENVIRONMENT, MARINE &amp; FISHERIES GROUP</w:t>
      </w:r>
    </w:p>
    <w:p w:rsidR="00DA4633" w:rsidRDefault="00DA4633" w:rsidP="00D43490">
      <w:pPr>
        <w:pStyle w:val="BodyTextIndent2"/>
        <w:ind w:left="426"/>
        <w:rPr>
          <w:b/>
        </w:rPr>
      </w:pPr>
      <w:r>
        <w:rPr>
          <w:b/>
        </w:rPr>
        <w:t>Date:</w:t>
      </w:r>
      <w:r>
        <w:rPr>
          <w:b/>
        </w:rPr>
        <w:tab/>
      </w:r>
      <w:r>
        <w:rPr>
          <w:b/>
        </w:rPr>
        <w:tab/>
      </w:r>
      <w:r w:rsidRPr="00DA4633">
        <w:t>7 April 2021</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r w:rsidR="002B57B6" w:rsidRPr="00FC29AF">
        <w:rPr>
          <w:rFonts w:cs="Arial"/>
          <w:bCs/>
          <w:noProof/>
          <w:color w:val="000000" w:themeColor="text1"/>
          <w:lang w:eastAsia="en-GB"/>
        </w:rPr>
        <w:drawing>
          <wp:inline distT="0" distB="0" distL="0" distR="0" wp14:anchorId="763D0DAB" wp14:editId="1F424625">
            <wp:extent cx="1638529" cy="552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8529" cy="552527"/>
                    </a:xfrm>
                    <a:prstGeom prst="rect">
                      <a:avLst/>
                    </a:prstGeom>
                  </pic:spPr>
                </pic:pic>
              </a:graphicData>
            </a:graphic>
          </wp:inline>
        </w:drawing>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7AB76064">
          <v:shape id="_x0000_i1025" type="#_x0000_t75" style="width:85.85pt;height:55.45pt" o:ole="">
            <v:imagedata r:id="rId15" o:title=""/>
          </v:shape>
          <o:OLEObject Type="Embed" ProgID="Package" ShapeID="_x0000_i1025" DrawAspect="Icon" ObjectID="_1679406589"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67F9D124" wp14:editId="75D932C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C0" w:rsidRDefault="00D072C0">
      <w:r>
        <w:separator/>
      </w:r>
    </w:p>
  </w:endnote>
  <w:endnote w:type="continuationSeparator" w:id="0">
    <w:p w:rsidR="00D072C0" w:rsidRDefault="00D0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F36" w:rsidRDefault="00B11F3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F36" w:rsidRDefault="00B11F36"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F36" w:rsidRDefault="00B11F3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C13">
      <w:rPr>
        <w:rStyle w:val="PageNumber"/>
        <w:noProof/>
      </w:rPr>
      <w:t>30</w:t>
    </w:r>
    <w:r>
      <w:rPr>
        <w:rStyle w:val="PageNumber"/>
      </w:rPr>
      <w:fldChar w:fldCharType="end"/>
    </w:r>
  </w:p>
  <w:p w:rsidR="00B11F36" w:rsidRDefault="00B11F36"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C0" w:rsidRDefault="00D072C0">
      <w:r>
        <w:separator/>
      </w:r>
    </w:p>
  </w:footnote>
  <w:footnote w:type="continuationSeparator" w:id="0">
    <w:p w:rsidR="00D072C0" w:rsidRDefault="00D072C0">
      <w:r>
        <w:continuationSeparator/>
      </w:r>
    </w:p>
  </w:footnote>
  <w:footnote w:id="1">
    <w:p w:rsidR="00B11F36" w:rsidRPr="00C170A2" w:rsidRDefault="00B11F36" w:rsidP="002C720A">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Neighbourhood Statistics (NISRA), www.nisra.gov.uk</w:t>
      </w:r>
    </w:p>
    <w:p w:rsidR="00B11F36" w:rsidRDefault="00B11F36">
      <w:pPr>
        <w:pStyle w:val="FootnoteText"/>
      </w:pPr>
    </w:p>
  </w:footnote>
  <w:footnote w:id="2">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Neighbourhood Statistics (NISRA), www.nisra.gov.uk</w:t>
      </w:r>
    </w:p>
  </w:footnote>
  <w:footnote w:id="3">
    <w:p w:rsidR="00B11F36" w:rsidRPr="00C170A2" w:rsidRDefault="00B11F36" w:rsidP="002C720A">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Neighbourhood Statistics (NISRA), www.nisra.gov.uk</w:t>
      </w:r>
    </w:p>
    <w:p w:rsidR="00B11F36" w:rsidRDefault="00B11F36">
      <w:pPr>
        <w:pStyle w:val="FootnoteText"/>
      </w:pPr>
    </w:p>
  </w:footnote>
  <w:footnote w:id="4">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w:t>
      </w:r>
      <w:r w:rsidRPr="00C170A2">
        <w:rPr>
          <w:rFonts w:ascii="Times New Roman" w:eastAsia="Times" w:hAnsi="Times New Roman"/>
          <w:color w:val="385623" w:themeColor="accent6" w:themeShade="80"/>
          <w:sz w:val="16"/>
          <w:szCs w:val="16"/>
        </w:rPr>
        <w:t xml:space="preserve">Table KS212 </w:t>
      </w:r>
      <w:hyperlink r:id="rId1"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5">
    <w:p w:rsidR="00B11F36" w:rsidRPr="00C170A2" w:rsidRDefault="00B11F36" w:rsidP="00601B23">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Source: </w:t>
      </w:r>
      <w:hyperlink r:id="rId2" w:history="1">
        <w:r w:rsidRPr="00C170A2">
          <w:rPr>
            <w:rStyle w:val="Hyperlink"/>
            <w:rFonts w:ascii="Times New Roman" w:hAnsi="Times New Roman"/>
            <w:color w:val="385623" w:themeColor="accent6" w:themeShade="80"/>
            <w:sz w:val="16"/>
            <w:szCs w:val="16"/>
          </w:rPr>
          <w:t>http://www.ark.ac.uk/nilt/2013/Political_Attitudes/UNINATID.html</w:t>
        </w:r>
      </w:hyperlink>
      <w:r w:rsidRPr="00C170A2">
        <w:rPr>
          <w:rFonts w:ascii="Times New Roman" w:hAnsi="Times New Roman"/>
          <w:color w:val="385623" w:themeColor="accent6" w:themeShade="80"/>
          <w:sz w:val="16"/>
          <w:szCs w:val="16"/>
        </w:rPr>
        <w:t xml:space="preserve"> </w:t>
      </w:r>
    </w:p>
  </w:footnote>
  <w:footnote w:id="6">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w:t>
      </w:r>
      <w:r w:rsidRPr="00C170A2">
        <w:rPr>
          <w:rFonts w:ascii="Times New Roman" w:eastAsia="Times" w:hAnsi="Times New Roman"/>
          <w:color w:val="385623" w:themeColor="accent6" w:themeShade="80"/>
          <w:sz w:val="16"/>
          <w:szCs w:val="16"/>
          <w:lang w:val="en-US"/>
        </w:rPr>
        <w:t xml:space="preserve">Table KS201 </w:t>
      </w:r>
      <w:hyperlink r:id="rId3"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p>
  </w:footnote>
  <w:footnote w:id="7">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w:t>
      </w:r>
      <w:r w:rsidRPr="00C170A2">
        <w:rPr>
          <w:rFonts w:ascii="Times New Roman" w:eastAsia="Times" w:hAnsi="Times New Roman"/>
          <w:color w:val="385623" w:themeColor="accent6" w:themeShade="80"/>
          <w:sz w:val="16"/>
          <w:szCs w:val="16"/>
        </w:rPr>
        <w:t xml:space="preserve">Table KS102 </w:t>
      </w:r>
      <w:hyperlink r:id="rId4"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8">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Table KS103 </w:t>
      </w:r>
      <w:hyperlink r:id="rId5"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9">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w:t>
      </w:r>
      <w:hyperlink r:id="rId6" w:anchor=":~:text=Sexual%20orientation%20by%20UK%20countries%20and%20English%20regions,-In%202018%2C%20the&amp;text=For%20Northern%20Ireland%2C%20the%20percentage,in%202014%20(Figure%204)." w:history="1">
        <w:r w:rsidRPr="00C170A2">
          <w:rPr>
            <w:rFonts w:ascii="Times New Roman" w:hAnsi="Times New Roman"/>
            <w:color w:val="385623" w:themeColor="accent6" w:themeShade="80"/>
            <w:sz w:val="16"/>
            <w:szCs w:val="16"/>
            <w:u w:val="single"/>
          </w:rPr>
          <w:t>Sexual orientation, UK - Office for National Statistics (ons.gov.uk)</w:t>
        </w:r>
      </w:hyperlink>
    </w:p>
  </w:footnote>
  <w:footnote w:id="10">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Table KS101 </w:t>
      </w:r>
      <w:hyperlink r:id="rId7"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11">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Table KS301 </w:t>
      </w:r>
      <w:hyperlink r:id="rId8"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12">
    <w:p w:rsidR="00B11F36" w:rsidRPr="00C170A2" w:rsidRDefault="00B11F36">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Table KS106 </w:t>
      </w:r>
      <w:hyperlink r:id="rId9" w:history="1">
        <w:r w:rsidRPr="00C170A2">
          <w:rPr>
            <w:rFonts w:ascii="Times New Roman" w:eastAsia="Times" w:hAnsi="Times New Roman"/>
            <w:color w:val="385623" w:themeColor="accent6" w:themeShade="80"/>
            <w:sz w:val="16"/>
            <w:szCs w:val="16"/>
            <w:u w:val="single"/>
            <w:lang w:val="en-US"/>
          </w:rPr>
          <w:t>https://www.nisra.gov.uk/sites/nisra.gov.uk/files/publications/2011-census-results-key-statistics-northern-ireland-report-11-december-2012.pdf</w:t>
        </w:r>
      </w:hyperlink>
      <w:r w:rsidRPr="00C170A2">
        <w:rPr>
          <w:rFonts w:ascii="Times New Roman" w:eastAsia="Times" w:hAnsi="Times New Roman"/>
          <w:color w:val="385623" w:themeColor="accent6" w:themeShade="80"/>
          <w:sz w:val="16"/>
          <w:szCs w:val="16"/>
          <w:lang w:val="en-US"/>
        </w:rPr>
        <w:t xml:space="preserve">  </w:t>
      </w:r>
    </w:p>
  </w:footnote>
  <w:footnote w:id="13">
    <w:p w:rsidR="00B11F36" w:rsidRPr="00C170A2" w:rsidRDefault="00B11F36" w:rsidP="00480AE5">
      <w:pPr>
        <w:pStyle w:val="FootnoteText"/>
        <w:rPr>
          <w:rFonts w:ascii="Times New Roman" w:hAnsi="Times New Roman"/>
          <w:color w:val="385623" w:themeColor="accent6" w:themeShade="80"/>
          <w:sz w:val="16"/>
          <w:szCs w:val="16"/>
        </w:rPr>
      </w:pPr>
      <w:r w:rsidRPr="00C170A2">
        <w:rPr>
          <w:rStyle w:val="FootnoteReference"/>
          <w:rFonts w:ascii="Times New Roman" w:hAnsi="Times New Roman"/>
          <w:color w:val="385623" w:themeColor="accent6" w:themeShade="80"/>
          <w:sz w:val="16"/>
          <w:szCs w:val="16"/>
        </w:rPr>
        <w:footnoteRef/>
      </w:r>
      <w:r w:rsidRPr="00C170A2">
        <w:rPr>
          <w:rFonts w:ascii="Times New Roman" w:hAnsi="Times New Roman"/>
          <w:color w:val="385623" w:themeColor="accent6" w:themeShade="80"/>
          <w:sz w:val="16"/>
          <w:szCs w:val="16"/>
        </w:rPr>
        <w:t xml:space="preserve"> Neighbourhood Statistics (NISRA), www.nisra.gov.uk</w:t>
      </w:r>
    </w:p>
    <w:p w:rsidR="00B11F36" w:rsidRPr="00C170A2" w:rsidRDefault="00B11F36">
      <w:pPr>
        <w:pStyle w:val="FootnoteText"/>
        <w:rPr>
          <w:color w:val="385623" w:themeColor="accent6" w:themeShade="8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6A04"/>
    <w:rsid w:val="00044701"/>
    <w:rsid w:val="00066ADE"/>
    <w:rsid w:val="000A1318"/>
    <w:rsid w:val="000D08B0"/>
    <w:rsid w:val="000E7290"/>
    <w:rsid w:val="0010793F"/>
    <w:rsid w:val="001167B8"/>
    <w:rsid w:val="001238AD"/>
    <w:rsid w:val="00127EA5"/>
    <w:rsid w:val="00133E60"/>
    <w:rsid w:val="00142190"/>
    <w:rsid w:val="00166E35"/>
    <w:rsid w:val="0017404D"/>
    <w:rsid w:val="0018617A"/>
    <w:rsid w:val="001A3183"/>
    <w:rsid w:val="001C2ED3"/>
    <w:rsid w:val="001E2B95"/>
    <w:rsid w:val="001E7A54"/>
    <w:rsid w:val="00223978"/>
    <w:rsid w:val="00241E67"/>
    <w:rsid w:val="00257A84"/>
    <w:rsid w:val="002946B4"/>
    <w:rsid w:val="002A69AD"/>
    <w:rsid w:val="002A748F"/>
    <w:rsid w:val="002B57B6"/>
    <w:rsid w:val="002B5CB3"/>
    <w:rsid w:val="002C45F8"/>
    <w:rsid w:val="002C720A"/>
    <w:rsid w:val="002D2691"/>
    <w:rsid w:val="002D36FF"/>
    <w:rsid w:val="002E1017"/>
    <w:rsid w:val="002E6D9F"/>
    <w:rsid w:val="002F3D15"/>
    <w:rsid w:val="00301C84"/>
    <w:rsid w:val="00310C86"/>
    <w:rsid w:val="00317544"/>
    <w:rsid w:val="003475E8"/>
    <w:rsid w:val="00366C46"/>
    <w:rsid w:val="00377651"/>
    <w:rsid w:val="00390DDC"/>
    <w:rsid w:val="003B0CAA"/>
    <w:rsid w:val="003C5172"/>
    <w:rsid w:val="003D07DE"/>
    <w:rsid w:val="003E1298"/>
    <w:rsid w:val="003E5E97"/>
    <w:rsid w:val="0042209D"/>
    <w:rsid w:val="0042555C"/>
    <w:rsid w:val="00453279"/>
    <w:rsid w:val="00480690"/>
    <w:rsid w:val="00480AE5"/>
    <w:rsid w:val="00482131"/>
    <w:rsid w:val="00483EE5"/>
    <w:rsid w:val="00497DFF"/>
    <w:rsid w:val="004B1BAA"/>
    <w:rsid w:val="004B7552"/>
    <w:rsid w:val="004D6111"/>
    <w:rsid w:val="004E3127"/>
    <w:rsid w:val="004E4D92"/>
    <w:rsid w:val="00506415"/>
    <w:rsid w:val="00530FFE"/>
    <w:rsid w:val="0055095F"/>
    <w:rsid w:val="005651EC"/>
    <w:rsid w:val="005762B3"/>
    <w:rsid w:val="0058579E"/>
    <w:rsid w:val="005862D9"/>
    <w:rsid w:val="00586C69"/>
    <w:rsid w:val="005B0505"/>
    <w:rsid w:val="005B5F80"/>
    <w:rsid w:val="00601709"/>
    <w:rsid w:val="00601B23"/>
    <w:rsid w:val="006124D8"/>
    <w:rsid w:val="00625F15"/>
    <w:rsid w:val="00651B3B"/>
    <w:rsid w:val="00652558"/>
    <w:rsid w:val="0066640B"/>
    <w:rsid w:val="00671348"/>
    <w:rsid w:val="0067155F"/>
    <w:rsid w:val="00677060"/>
    <w:rsid w:val="00680382"/>
    <w:rsid w:val="006A1D34"/>
    <w:rsid w:val="006B25F4"/>
    <w:rsid w:val="006B7C27"/>
    <w:rsid w:val="006C0EF7"/>
    <w:rsid w:val="006E62A7"/>
    <w:rsid w:val="006F0634"/>
    <w:rsid w:val="00700DA1"/>
    <w:rsid w:val="007067B2"/>
    <w:rsid w:val="00720BBE"/>
    <w:rsid w:val="00722575"/>
    <w:rsid w:val="0072544B"/>
    <w:rsid w:val="007264CD"/>
    <w:rsid w:val="00726F15"/>
    <w:rsid w:val="00740E50"/>
    <w:rsid w:val="00741BF0"/>
    <w:rsid w:val="00746432"/>
    <w:rsid w:val="00756820"/>
    <w:rsid w:val="00776185"/>
    <w:rsid w:val="007827B2"/>
    <w:rsid w:val="00792F80"/>
    <w:rsid w:val="00793070"/>
    <w:rsid w:val="007D043A"/>
    <w:rsid w:val="008067AA"/>
    <w:rsid w:val="00824EEA"/>
    <w:rsid w:val="00835A28"/>
    <w:rsid w:val="0083603E"/>
    <w:rsid w:val="00837F11"/>
    <w:rsid w:val="008519EB"/>
    <w:rsid w:val="00861BDA"/>
    <w:rsid w:val="00870403"/>
    <w:rsid w:val="0087101B"/>
    <w:rsid w:val="008765CE"/>
    <w:rsid w:val="008779A1"/>
    <w:rsid w:val="00890DE7"/>
    <w:rsid w:val="008925FE"/>
    <w:rsid w:val="0089572F"/>
    <w:rsid w:val="008B4C13"/>
    <w:rsid w:val="008C67A9"/>
    <w:rsid w:val="008D2F82"/>
    <w:rsid w:val="008F4488"/>
    <w:rsid w:val="009007A5"/>
    <w:rsid w:val="00907301"/>
    <w:rsid w:val="00914890"/>
    <w:rsid w:val="00915285"/>
    <w:rsid w:val="00916FA1"/>
    <w:rsid w:val="00924727"/>
    <w:rsid w:val="00930D32"/>
    <w:rsid w:val="0096413F"/>
    <w:rsid w:val="009A3360"/>
    <w:rsid w:val="009B5371"/>
    <w:rsid w:val="009C1453"/>
    <w:rsid w:val="009D617C"/>
    <w:rsid w:val="00A14D02"/>
    <w:rsid w:val="00A60915"/>
    <w:rsid w:val="00B04968"/>
    <w:rsid w:val="00B11F36"/>
    <w:rsid w:val="00B1472D"/>
    <w:rsid w:val="00B14FB3"/>
    <w:rsid w:val="00B82F88"/>
    <w:rsid w:val="00B90663"/>
    <w:rsid w:val="00B92E4E"/>
    <w:rsid w:val="00BB0132"/>
    <w:rsid w:val="00BB0620"/>
    <w:rsid w:val="00BD0D1A"/>
    <w:rsid w:val="00BD2AEC"/>
    <w:rsid w:val="00BE2007"/>
    <w:rsid w:val="00C0511A"/>
    <w:rsid w:val="00C16E3F"/>
    <w:rsid w:val="00C170A2"/>
    <w:rsid w:val="00C21A24"/>
    <w:rsid w:val="00C2631D"/>
    <w:rsid w:val="00C26CA1"/>
    <w:rsid w:val="00C275CD"/>
    <w:rsid w:val="00C81F6B"/>
    <w:rsid w:val="00C82DA4"/>
    <w:rsid w:val="00CA53A3"/>
    <w:rsid w:val="00CB647A"/>
    <w:rsid w:val="00CB69EE"/>
    <w:rsid w:val="00CD3E81"/>
    <w:rsid w:val="00CD4C1B"/>
    <w:rsid w:val="00CF0B02"/>
    <w:rsid w:val="00D072C0"/>
    <w:rsid w:val="00D25A10"/>
    <w:rsid w:val="00D43490"/>
    <w:rsid w:val="00D4612A"/>
    <w:rsid w:val="00D47B3D"/>
    <w:rsid w:val="00D517F5"/>
    <w:rsid w:val="00D544B0"/>
    <w:rsid w:val="00D6128C"/>
    <w:rsid w:val="00D924EF"/>
    <w:rsid w:val="00DA1137"/>
    <w:rsid w:val="00DA4633"/>
    <w:rsid w:val="00DB4D6B"/>
    <w:rsid w:val="00DC4732"/>
    <w:rsid w:val="00DD62F3"/>
    <w:rsid w:val="00DD6798"/>
    <w:rsid w:val="00DD7FC0"/>
    <w:rsid w:val="00DE29A9"/>
    <w:rsid w:val="00E10E3E"/>
    <w:rsid w:val="00E22CC4"/>
    <w:rsid w:val="00E26640"/>
    <w:rsid w:val="00E3242D"/>
    <w:rsid w:val="00E42C80"/>
    <w:rsid w:val="00E43D7A"/>
    <w:rsid w:val="00E513EE"/>
    <w:rsid w:val="00E62217"/>
    <w:rsid w:val="00E82CC7"/>
    <w:rsid w:val="00E8677C"/>
    <w:rsid w:val="00E91D60"/>
    <w:rsid w:val="00EA4088"/>
    <w:rsid w:val="00EA72F4"/>
    <w:rsid w:val="00EE7B89"/>
    <w:rsid w:val="00F41683"/>
    <w:rsid w:val="00F425E4"/>
    <w:rsid w:val="00F537E8"/>
    <w:rsid w:val="00F66F0D"/>
    <w:rsid w:val="00F7062D"/>
    <w:rsid w:val="00F750E7"/>
    <w:rsid w:val="00F81C30"/>
    <w:rsid w:val="00F922C9"/>
    <w:rsid w:val="00F9355E"/>
    <w:rsid w:val="00FA2356"/>
    <w:rsid w:val="00FA448F"/>
    <w:rsid w:val="00FD0BBD"/>
    <w:rsid w:val="00FD29A2"/>
    <w:rsid w:val="00FD44C8"/>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semiHidden/>
    <w:unhideWhenUsed/>
    <w:rsid w:val="00837F11"/>
    <w:rPr>
      <w:sz w:val="16"/>
      <w:szCs w:val="16"/>
    </w:rPr>
  </w:style>
  <w:style w:type="paragraph" w:styleId="CommentText">
    <w:name w:val="annotation text"/>
    <w:basedOn w:val="Normal"/>
    <w:link w:val="CommentTextChar"/>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styleId="FootnoteText">
    <w:name w:val="footnote text"/>
    <w:aliases w:val="Footnote"/>
    <w:basedOn w:val="Normal"/>
    <w:link w:val="FootnoteTextChar"/>
    <w:unhideWhenUsed/>
    <w:qFormat/>
    <w:rsid w:val="00DA1137"/>
    <w:rPr>
      <w:sz w:val="20"/>
    </w:rPr>
  </w:style>
  <w:style w:type="character" w:customStyle="1" w:styleId="FootnoteTextChar">
    <w:name w:val="Footnote Text Char"/>
    <w:aliases w:val="Footnote Char"/>
    <w:basedOn w:val="DefaultParagraphFont"/>
    <w:link w:val="FootnoteText"/>
    <w:rsid w:val="00DA1137"/>
    <w:rPr>
      <w:rFonts w:ascii="Arial" w:hAnsi="Arial"/>
      <w:lang w:eastAsia="en-US"/>
    </w:rPr>
  </w:style>
  <w:style w:type="character" w:styleId="FootnoteReference">
    <w:name w:val="footnote reference"/>
    <w:basedOn w:val="DefaultParagraphFont"/>
    <w:uiPriority w:val="99"/>
    <w:unhideWhenUsed/>
    <w:rsid w:val="00DA1137"/>
    <w:rPr>
      <w:vertAlign w:val="superscript"/>
    </w:rPr>
  </w:style>
  <w:style w:type="paragraph" w:customStyle="1" w:styleId="Default">
    <w:name w:val="Default"/>
    <w:rsid w:val="00601B23"/>
    <w:pPr>
      <w:autoSpaceDE w:val="0"/>
      <w:autoSpaceDN w:val="0"/>
      <w:adjustRightInd w:val="0"/>
    </w:pPr>
    <w:rPr>
      <w:rFonts w:ascii="Arial" w:eastAsia="Times" w:hAnsi="Arial" w:cs="Arial"/>
      <w:color w:val="000000"/>
      <w:sz w:val="24"/>
      <w:szCs w:val="24"/>
    </w:rPr>
  </w:style>
  <w:style w:type="paragraph" w:styleId="EndnoteText">
    <w:name w:val="endnote text"/>
    <w:basedOn w:val="Normal"/>
    <w:link w:val="EndnoteTextChar"/>
    <w:uiPriority w:val="99"/>
    <w:semiHidden/>
    <w:unhideWhenUsed/>
    <w:rsid w:val="002D2691"/>
    <w:rPr>
      <w:sz w:val="20"/>
    </w:rPr>
  </w:style>
  <w:style w:type="character" w:customStyle="1" w:styleId="EndnoteTextChar">
    <w:name w:val="Endnote Text Char"/>
    <w:basedOn w:val="DefaultParagraphFont"/>
    <w:link w:val="EndnoteText"/>
    <w:uiPriority w:val="99"/>
    <w:semiHidden/>
    <w:rsid w:val="002D2691"/>
    <w:rPr>
      <w:rFonts w:ascii="Arial" w:hAnsi="Arial"/>
      <w:lang w:eastAsia="en-US"/>
    </w:rPr>
  </w:style>
  <w:style w:type="character" w:styleId="EndnoteReference">
    <w:name w:val="endnote reference"/>
    <w:basedOn w:val="DefaultParagraphFont"/>
    <w:uiPriority w:val="99"/>
    <w:semiHidden/>
    <w:unhideWhenUsed/>
    <w:rsid w:val="002D2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3" Type="http://schemas.openxmlformats.org/officeDocument/2006/relationships/hyperlink" Target="https://www.nisra.gov.uk/sites/nisra.gov.uk/files/publications/2011-census-results-key-statistics-northern-ireland-report-11-december-2012.pdf"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ww.ark.ac.uk/nilt/2013/Political_Attitudes/UNINATID.html"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ons.gov.uk/peoplepopulationandcommunity/culturalidentity/sexuality/bulletins/sexualidentityuk/2018" TargetMode="External"/><Relationship Id="rId5"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s://www.nisra.gov.uk/sites/nisra.gov.uk/files/publications/2011-census-results-key-statistics-northern-ireland-report-11-december-2012.pdf"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1D0E-74D1-4FB2-8843-EB3B18D5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7426</Words>
  <Characters>42331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49658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Richardson, Diane</cp:lastModifiedBy>
  <cp:revision>18</cp:revision>
  <dcterms:created xsi:type="dcterms:W3CDTF">2021-03-15T16:43:00Z</dcterms:created>
  <dcterms:modified xsi:type="dcterms:W3CDTF">2021-04-07T08:18:00Z</dcterms:modified>
</cp:coreProperties>
</file>