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AE6A" w14:textId="77777777" w:rsidR="003E09A7" w:rsidRPr="004C7D0D" w:rsidRDefault="003E09A7" w:rsidP="003E09A7">
      <w:pPr>
        <w:spacing w:after="0"/>
        <w:rPr>
          <w:rFonts w:ascii="Arial" w:hAnsi="Arial" w:cs="Arial"/>
          <w:b/>
          <w:sz w:val="16"/>
          <w:szCs w:val="16"/>
        </w:rPr>
      </w:pPr>
    </w:p>
    <w:tbl>
      <w:tblPr>
        <w:tblpPr w:leftFromText="180" w:rightFromText="180" w:vertAnchor="text" w:horzAnchor="margin" w:tblpXSpec="center" w:tblpY="98"/>
        <w:tblW w:w="5207" w:type="pct"/>
        <w:tblLayout w:type="fixed"/>
        <w:tblLook w:val="04A0" w:firstRow="1" w:lastRow="0" w:firstColumn="1" w:lastColumn="0" w:noHBand="0" w:noVBand="1"/>
      </w:tblPr>
      <w:tblGrid>
        <w:gridCol w:w="2246"/>
        <w:gridCol w:w="1392"/>
        <w:gridCol w:w="15"/>
        <w:gridCol w:w="435"/>
        <w:gridCol w:w="285"/>
        <w:gridCol w:w="283"/>
        <w:gridCol w:w="146"/>
        <w:gridCol w:w="252"/>
        <w:gridCol w:w="1034"/>
        <w:gridCol w:w="368"/>
        <w:gridCol w:w="345"/>
        <w:gridCol w:w="424"/>
        <w:gridCol w:w="1985"/>
        <w:gridCol w:w="406"/>
        <w:gridCol w:w="10"/>
      </w:tblGrid>
      <w:tr w:rsidR="003E09A7" w:rsidRPr="000148A9" w14:paraId="0D6DFA82"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606E16D6" w14:textId="77777777" w:rsidR="003E09A7" w:rsidRPr="000148A9" w:rsidRDefault="003E09A7" w:rsidP="001F083D">
            <w:pPr>
              <w:tabs>
                <w:tab w:val="left" w:pos="2790"/>
              </w:tabs>
              <w:spacing w:after="0"/>
              <w:rPr>
                <w:rFonts w:ascii="Arial" w:eastAsia="Times" w:hAnsi="Arial" w:cs="Arial"/>
                <w:b/>
              </w:rPr>
            </w:pPr>
            <w:r>
              <w:rPr>
                <w:rFonts w:ascii="Arial" w:hAnsi="Arial" w:cs="Arial"/>
                <w:b/>
              </w:rPr>
              <w:t>NPI</w:t>
            </w:r>
            <w:r w:rsidRPr="000148A9">
              <w:rPr>
                <w:rFonts w:ascii="Arial" w:hAnsi="Arial" w:cs="Arial"/>
                <w:b/>
              </w:rPr>
              <w:t xml:space="preserve"> Name:</w:t>
            </w:r>
          </w:p>
        </w:tc>
        <w:tc>
          <w:tcPr>
            <w:tcW w:w="3833" w:type="pct"/>
            <w:gridSpan w:val="14"/>
            <w:tcBorders>
              <w:top w:val="single" w:sz="4" w:space="0" w:color="auto"/>
              <w:bottom w:val="single" w:sz="4" w:space="0" w:color="auto"/>
              <w:right w:val="single" w:sz="4" w:space="0" w:color="auto"/>
            </w:tcBorders>
            <w:vAlign w:val="center"/>
          </w:tcPr>
          <w:p w14:paraId="7A6EF305" w14:textId="41C53DC0" w:rsidR="003E09A7" w:rsidRPr="008403AE" w:rsidRDefault="008403AE" w:rsidP="001F083D">
            <w:pPr>
              <w:spacing w:after="0" w:line="240" w:lineRule="auto"/>
              <w:rPr>
                <w:rFonts w:ascii="Arial" w:hAnsi="Arial" w:cs="Arial"/>
                <w:b/>
                <w:bCs/>
              </w:rPr>
            </w:pPr>
            <w:r w:rsidRPr="008403AE">
              <w:rPr>
                <w:rFonts w:ascii="Arial" w:hAnsi="Arial" w:cs="Arial"/>
                <w:b/>
                <w:bCs/>
              </w:rPr>
              <w:t>Stock proof Fencing</w:t>
            </w:r>
          </w:p>
        </w:tc>
      </w:tr>
      <w:tr w:rsidR="003E09A7" w:rsidRPr="009203CB" w14:paraId="6D25F4D5" w14:textId="77777777" w:rsidTr="003E09A7">
        <w:trPr>
          <w:trHeight w:val="283"/>
        </w:trPr>
        <w:tc>
          <w:tcPr>
            <w:tcW w:w="1167" w:type="pct"/>
            <w:tcBorders>
              <w:top w:val="single" w:sz="4" w:space="0" w:color="auto"/>
              <w:bottom w:val="single" w:sz="4" w:space="0" w:color="auto"/>
            </w:tcBorders>
            <w:vAlign w:val="center"/>
            <w:hideMark/>
          </w:tcPr>
          <w:p w14:paraId="4F301216" w14:textId="77777777" w:rsidR="003E09A7" w:rsidRDefault="003E09A7" w:rsidP="001F083D">
            <w:pPr>
              <w:tabs>
                <w:tab w:val="left" w:pos="2790"/>
              </w:tabs>
              <w:spacing w:after="0"/>
              <w:rPr>
                <w:rFonts w:ascii="Arial" w:eastAsia="Times" w:hAnsi="Arial" w:cs="Arial"/>
                <w:b/>
              </w:rPr>
            </w:pPr>
          </w:p>
        </w:tc>
        <w:tc>
          <w:tcPr>
            <w:tcW w:w="3833" w:type="pct"/>
            <w:gridSpan w:val="14"/>
            <w:tcBorders>
              <w:top w:val="single" w:sz="4" w:space="0" w:color="auto"/>
              <w:bottom w:val="single" w:sz="4" w:space="0" w:color="auto"/>
            </w:tcBorders>
            <w:vAlign w:val="center"/>
          </w:tcPr>
          <w:p w14:paraId="0232AD10" w14:textId="77777777" w:rsidR="003E09A7" w:rsidRPr="009203CB" w:rsidRDefault="003E09A7" w:rsidP="001F083D">
            <w:pPr>
              <w:tabs>
                <w:tab w:val="left" w:pos="2790"/>
              </w:tabs>
              <w:spacing w:after="0"/>
              <w:rPr>
                <w:rFonts w:ascii="Arial" w:eastAsia="Times" w:hAnsi="Arial" w:cs="Arial"/>
              </w:rPr>
            </w:pPr>
          </w:p>
        </w:tc>
      </w:tr>
      <w:tr w:rsidR="003E09A7" w:rsidRPr="002179F7" w14:paraId="3BCAC61C" w14:textId="77777777" w:rsidTr="003E09A7">
        <w:trPr>
          <w:trHeight w:val="420"/>
        </w:trPr>
        <w:tc>
          <w:tcPr>
            <w:tcW w:w="1167" w:type="pct"/>
            <w:tcBorders>
              <w:top w:val="single" w:sz="4" w:space="0" w:color="auto"/>
              <w:left w:val="single" w:sz="4" w:space="0" w:color="auto"/>
              <w:bottom w:val="single" w:sz="4" w:space="0" w:color="auto"/>
            </w:tcBorders>
            <w:vAlign w:val="center"/>
            <w:hideMark/>
          </w:tcPr>
          <w:p w14:paraId="642E8E28" w14:textId="77777777" w:rsidR="003E09A7" w:rsidRPr="000148A9" w:rsidRDefault="003E09A7" w:rsidP="001F083D">
            <w:pPr>
              <w:tabs>
                <w:tab w:val="left" w:pos="2790"/>
              </w:tabs>
              <w:spacing w:after="0"/>
              <w:rPr>
                <w:rFonts w:ascii="Arial" w:eastAsia="Times" w:hAnsi="Arial" w:cs="Arial"/>
                <w:b/>
              </w:rPr>
            </w:pPr>
            <w:r>
              <w:rPr>
                <w:rFonts w:ascii="Arial" w:eastAsia="Times" w:hAnsi="Arial" w:cs="Arial"/>
                <w:b/>
              </w:rPr>
              <w:t>NPI Code:</w:t>
            </w:r>
          </w:p>
        </w:tc>
        <w:tc>
          <w:tcPr>
            <w:tcW w:w="3833" w:type="pct"/>
            <w:gridSpan w:val="14"/>
            <w:tcBorders>
              <w:top w:val="single" w:sz="4" w:space="0" w:color="auto"/>
              <w:bottom w:val="single" w:sz="4" w:space="0" w:color="auto"/>
              <w:right w:val="single" w:sz="4" w:space="0" w:color="auto"/>
            </w:tcBorders>
            <w:vAlign w:val="center"/>
          </w:tcPr>
          <w:p w14:paraId="69109255" w14:textId="2296BC02" w:rsidR="003E09A7" w:rsidRPr="00E905CF" w:rsidRDefault="008403AE" w:rsidP="001F083D">
            <w:pPr>
              <w:tabs>
                <w:tab w:val="left" w:pos="2790"/>
              </w:tabs>
              <w:spacing w:after="0"/>
              <w:rPr>
                <w:rFonts w:ascii="Arial" w:eastAsia="Times" w:hAnsi="Arial" w:cs="Arial"/>
              </w:rPr>
            </w:pPr>
            <w:r>
              <w:rPr>
                <w:rFonts w:ascii="Arial" w:eastAsia="Times" w:hAnsi="Arial" w:cs="Arial"/>
              </w:rPr>
              <w:t>SPF</w:t>
            </w:r>
          </w:p>
        </w:tc>
      </w:tr>
      <w:tr w:rsidR="002955CB" w:rsidRPr="000148A9" w14:paraId="15EF5A0C" w14:textId="77777777" w:rsidTr="009C6F72">
        <w:trPr>
          <w:gridAfter w:val="1"/>
          <w:wAfter w:w="5" w:type="pct"/>
          <w:trHeight w:val="283"/>
        </w:trPr>
        <w:tc>
          <w:tcPr>
            <w:tcW w:w="1167" w:type="pct"/>
            <w:tcBorders>
              <w:bottom w:val="single" w:sz="4" w:space="0" w:color="auto"/>
            </w:tcBorders>
            <w:vAlign w:val="center"/>
            <w:hideMark/>
          </w:tcPr>
          <w:p w14:paraId="6D1EE3FB" w14:textId="77777777" w:rsidR="002955CB" w:rsidRDefault="002955CB" w:rsidP="003E09A7">
            <w:pPr>
              <w:rPr>
                <w:rFonts w:ascii="Arial" w:hAnsi="Arial" w:cs="Arial"/>
                <w:b/>
              </w:rPr>
            </w:pPr>
          </w:p>
        </w:tc>
        <w:tc>
          <w:tcPr>
            <w:tcW w:w="731" w:type="pct"/>
            <w:gridSpan w:val="2"/>
            <w:tcBorders>
              <w:bottom w:val="single" w:sz="4" w:space="0" w:color="auto"/>
            </w:tcBorders>
            <w:vAlign w:val="center"/>
          </w:tcPr>
          <w:p w14:paraId="551CFCC8" w14:textId="77777777" w:rsidR="002955CB" w:rsidRDefault="002955CB" w:rsidP="002955CB">
            <w:pPr>
              <w:tabs>
                <w:tab w:val="left" w:pos="2790"/>
              </w:tabs>
              <w:spacing w:after="0"/>
              <w:rPr>
                <w:rFonts w:ascii="Arial" w:hAnsi="Arial" w:cs="Arial"/>
              </w:rPr>
            </w:pPr>
          </w:p>
        </w:tc>
        <w:tc>
          <w:tcPr>
            <w:tcW w:w="3097" w:type="pct"/>
            <w:gridSpan w:val="11"/>
            <w:tcBorders>
              <w:bottom w:val="single" w:sz="4" w:space="0" w:color="auto"/>
            </w:tcBorders>
            <w:vAlign w:val="center"/>
          </w:tcPr>
          <w:p w14:paraId="541A7460" w14:textId="77777777" w:rsidR="002955CB" w:rsidRDefault="002955CB" w:rsidP="002955CB">
            <w:pPr>
              <w:tabs>
                <w:tab w:val="left" w:pos="2790"/>
              </w:tabs>
              <w:spacing w:after="0"/>
              <w:rPr>
                <w:rFonts w:ascii="Arial" w:hAnsi="Arial" w:cs="Arial"/>
              </w:rPr>
            </w:pPr>
          </w:p>
        </w:tc>
      </w:tr>
      <w:tr w:rsidR="002955CB" w:rsidRPr="000148A9" w14:paraId="25210543" w14:textId="77777777" w:rsidTr="009C6F72">
        <w:trPr>
          <w:gridAfter w:val="1"/>
          <w:wAfter w:w="5" w:type="pct"/>
          <w:trHeight w:val="283"/>
        </w:trPr>
        <w:tc>
          <w:tcPr>
            <w:tcW w:w="1167" w:type="pct"/>
            <w:tcBorders>
              <w:top w:val="single" w:sz="4" w:space="0" w:color="auto"/>
              <w:left w:val="single" w:sz="4" w:space="0" w:color="auto"/>
            </w:tcBorders>
            <w:vAlign w:val="center"/>
            <w:hideMark/>
          </w:tcPr>
          <w:p w14:paraId="1A5E49AA"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2955CB">
              <w:rPr>
                <w:rFonts w:ascii="Arial" w:hAnsi="Arial" w:cs="Arial"/>
                <w:b/>
              </w:rPr>
              <w:t xml:space="preserve"> </w:t>
            </w:r>
            <w:r w:rsidR="00B4775F">
              <w:rPr>
                <w:rFonts w:ascii="Arial" w:hAnsi="Arial" w:cs="Arial"/>
                <w:b/>
              </w:rPr>
              <w:t>P</w:t>
            </w:r>
            <w:r w:rsidR="002955CB">
              <w:rPr>
                <w:rFonts w:ascii="Arial" w:hAnsi="Arial" w:cs="Arial"/>
                <w:b/>
              </w:rPr>
              <w:t>ayment:</w:t>
            </w:r>
          </w:p>
        </w:tc>
        <w:tc>
          <w:tcPr>
            <w:tcW w:w="731" w:type="pct"/>
            <w:gridSpan w:val="2"/>
            <w:tcBorders>
              <w:top w:val="single" w:sz="4" w:space="0" w:color="auto"/>
            </w:tcBorders>
            <w:vAlign w:val="center"/>
          </w:tcPr>
          <w:p w14:paraId="2E3CC74A" w14:textId="77777777" w:rsidR="002955CB" w:rsidRPr="000148A9" w:rsidRDefault="002955CB" w:rsidP="002955CB">
            <w:pPr>
              <w:tabs>
                <w:tab w:val="left" w:pos="2790"/>
              </w:tabs>
              <w:spacing w:after="0"/>
              <w:rPr>
                <w:rFonts w:ascii="Arial" w:hAnsi="Arial" w:cs="Arial"/>
              </w:rPr>
            </w:pPr>
            <w:r>
              <w:rPr>
                <w:rFonts w:ascii="Arial" w:hAnsi="Arial" w:cs="Arial"/>
              </w:rPr>
              <w:t>Year 1:</w:t>
            </w:r>
          </w:p>
        </w:tc>
        <w:tc>
          <w:tcPr>
            <w:tcW w:w="3097" w:type="pct"/>
            <w:gridSpan w:val="11"/>
            <w:tcBorders>
              <w:top w:val="single" w:sz="4" w:space="0" w:color="auto"/>
              <w:right w:val="single" w:sz="4" w:space="0" w:color="auto"/>
            </w:tcBorders>
            <w:vAlign w:val="center"/>
          </w:tcPr>
          <w:p w14:paraId="6CB63520" w14:textId="79867620" w:rsidR="002955CB" w:rsidRPr="000148A9" w:rsidRDefault="005F3BA5" w:rsidP="00E905CF">
            <w:pPr>
              <w:tabs>
                <w:tab w:val="left" w:pos="2790"/>
              </w:tabs>
              <w:spacing w:after="0"/>
              <w:rPr>
                <w:rFonts w:ascii="Arial" w:hAnsi="Arial" w:cs="Arial"/>
              </w:rPr>
            </w:pPr>
            <w:r>
              <w:rPr>
                <w:rFonts w:ascii="Arial" w:hAnsi="Arial" w:cs="Arial"/>
              </w:rPr>
              <w:t>£</w:t>
            </w:r>
            <w:r w:rsidR="008403AE">
              <w:rPr>
                <w:rFonts w:ascii="Arial" w:hAnsi="Arial" w:cs="Arial"/>
              </w:rPr>
              <w:t>6.90</w:t>
            </w:r>
            <w:r w:rsidR="002955CB">
              <w:rPr>
                <w:rFonts w:ascii="Arial" w:hAnsi="Arial" w:cs="Arial"/>
              </w:rPr>
              <w:t xml:space="preserve"> per </w:t>
            </w:r>
            <w:r w:rsidR="004F501D">
              <w:rPr>
                <w:rFonts w:ascii="Arial" w:hAnsi="Arial" w:cs="Arial"/>
              </w:rPr>
              <w:t>m</w:t>
            </w:r>
          </w:p>
        </w:tc>
      </w:tr>
      <w:tr w:rsidR="002955CB" w:rsidRPr="000148A9" w14:paraId="74054B31" w14:textId="77777777" w:rsidTr="009C6F72">
        <w:trPr>
          <w:gridAfter w:val="1"/>
          <w:wAfter w:w="5" w:type="pct"/>
          <w:trHeight w:val="283"/>
        </w:trPr>
        <w:tc>
          <w:tcPr>
            <w:tcW w:w="1167" w:type="pct"/>
            <w:tcBorders>
              <w:top w:val="single" w:sz="4" w:space="0" w:color="auto"/>
            </w:tcBorders>
            <w:hideMark/>
          </w:tcPr>
          <w:p w14:paraId="7ED39FE5" w14:textId="77777777" w:rsidR="002955CB" w:rsidRPr="000148A9" w:rsidRDefault="002955CB" w:rsidP="002955CB">
            <w:pPr>
              <w:tabs>
                <w:tab w:val="left" w:pos="2790"/>
              </w:tabs>
              <w:spacing w:after="0"/>
              <w:rPr>
                <w:rFonts w:ascii="Arial" w:hAnsi="Arial" w:cs="Arial"/>
                <w:b/>
              </w:rPr>
            </w:pPr>
          </w:p>
        </w:tc>
        <w:tc>
          <w:tcPr>
            <w:tcW w:w="3828" w:type="pct"/>
            <w:gridSpan w:val="13"/>
            <w:tcBorders>
              <w:top w:val="single" w:sz="4" w:space="0" w:color="auto"/>
              <w:bottom w:val="single" w:sz="4" w:space="0" w:color="auto"/>
            </w:tcBorders>
          </w:tcPr>
          <w:p w14:paraId="17AA1C1D" w14:textId="77777777" w:rsidR="002955CB" w:rsidRPr="000148A9" w:rsidRDefault="002955CB" w:rsidP="002955CB">
            <w:pPr>
              <w:tabs>
                <w:tab w:val="left" w:pos="2790"/>
              </w:tabs>
              <w:spacing w:after="0"/>
              <w:rPr>
                <w:rFonts w:ascii="Arial" w:hAnsi="Arial" w:cs="Arial"/>
              </w:rPr>
            </w:pPr>
          </w:p>
        </w:tc>
      </w:tr>
      <w:tr w:rsidR="002955CB" w:rsidRPr="000148A9" w14:paraId="48D89F4F" w14:textId="77777777" w:rsidTr="009C6F72">
        <w:trPr>
          <w:gridAfter w:val="1"/>
          <w:wAfter w:w="5" w:type="pct"/>
          <w:trHeight w:val="865"/>
        </w:trPr>
        <w:tc>
          <w:tcPr>
            <w:tcW w:w="1167" w:type="pct"/>
            <w:tcBorders>
              <w:right w:val="single" w:sz="4" w:space="0" w:color="auto"/>
            </w:tcBorders>
            <w:hideMark/>
          </w:tcPr>
          <w:p w14:paraId="0A227BA8" w14:textId="77777777" w:rsidR="002955CB" w:rsidRPr="000148A9" w:rsidRDefault="00C16A6B" w:rsidP="002955CB">
            <w:pPr>
              <w:tabs>
                <w:tab w:val="left" w:pos="2790"/>
              </w:tabs>
              <w:spacing w:after="0"/>
              <w:rPr>
                <w:rFonts w:ascii="Arial" w:hAnsi="Arial" w:cs="Arial"/>
                <w:b/>
              </w:rPr>
            </w:pPr>
            <w:r>
              <w:rPr>
                <w:rFonts w:ascii="Arial" w:hAnsi="Arial" w:cs="Arial"/>
                <w:b/>
              </w:rPr>
              <w:t>NPI</w:t>
            </w:r>
            <w:r w:rsidR="00E2531E">
              <w:rPr>
                <w:rFonts w:ascii="Arial" w:hAnsi="Arial" w:cs="Arial"/>
                <w:b/>
              </w:rPr>
              <w:t xml:space="preserve"> Aim</w:t>
            </w:r>
            <w:r w:rsidR="002955CB" w:rsidRPr="000148A9">
              <w:rPr>
                <w:rFonts w:ascii="Arial" w:hAnsi="Arial" w:cs="Arial"/>
                <w:b/>
              </w:rPr>
              <w:t>(s):</w:t>
            </w:r>
          </w:p>
        </w:tc>
        <w:tc>
          <w:tcPr>
            <w:tcW w:w="3828" w:type="pct"/>
            <w:gridSpan w:val="13"/>
            <w:tcBorders>
              <w:top w:val="single" w:sz="4" w:space="0" w:color="auto"/>
              <w:left w:val="single" w:sz="4" w:space="0" w:color="auto"/>
              <w:bottom w:val="single" w:sz="4" w:space="0" w:color="auto"/>
              <w:right w:val="single" w:sz="4" w:space="0" w:color="auto"/>
            </w:tcBorders>
          </w:tcPr>
          <w:p w14:paraId="1F4B7478" w14:textId="77777777" w:rsidR="008403AE" w:rsidRPr="008403AE" w:rsidRDefault="008403AE" w:rsidP="008403AE">
            <w:pPr>
              <w:spacing w:after="0" w:line="240" w:lineRule="auto"/>
              <w:ind w:left="22"/>
              <w:rPr>
                <w:rFonts w:ascii="Arial" w:hAnsi="Arial" w:cs="Arial"/>
              </w:rPr>
            </w:pPr>
            <w:r w:rsidRPr="008403AE">
              <w:rPr>
                <w:rFonts w:ascii="Arial" w:hAnsi="Arial" w:cs="Arial"/>
              </w:rPr>
              <w:t xml:space="preserve">To protect newly created EFS Options, facilitate remedial </w:t>
            </w:r>
            <w:proofErr w:type="gramStart"/>
            <w:r w:rsidRPr="008403AE">
              <w:rPr>
                <w:rFonts w:ascii="Arial" w:hAnsi="Arial" w:cs="Arial"/>
              </w:rPr>
              <w:t>management</w:t>
            </w:r>
            <w:proofErr w:type="gramEnd"/>
          </w:p>
          <w:p w14:paraId="67EEA263" w14:textId="57645BF3" w:rsidR="002955CB" w:rsidRPr="000148A9" w:rsidRDefault="008403AE" w:rsidP="008403AE">
            <w:pPr>
              <w:spacing w:after="0" w:line="240" w:lineRule="auto"/>
              <w:ind w:left="22"/>
              <w:rPr>
                <w:rFonts w:ascii="Arial" w:hAnsi="Arial" w:cs="Arial"/>
              </w:rPr>
            </w:pPr>
            <w:r w:rsidRPr="008403AE">
              <w:rPr>
                <w:rFonts w:ascii="Arial" w:hAnsi="Arial" w:cs="Arial"/>
              </w:rPr>
              <w:t>of EFS(H) sites and contribute to the protection of soil and water</w:t>
            </w:r>
            <w:r>
              <w:rPr>
                <w:rFonts w:ascii="Arial" w:hAnsi="Arial" w:cs="Arial"/>
              </w:rPr>
              <w:t>.</w:t>
            </w:r>
          </w:p>
        </w:tc>
      </w:tr>
      <w:tr w:rsidR="002955CB" w:rsidRPr="000148A9" w14:paraId="1D42DF08" w14:textId="77777777" w:rsidTr="009C6F72">
        <w:trPr>
          <w:trHeight w:val="283"/>
        </w:trPr>
        <w:tc>
          <w:tcPr>
            <w:tcW w:w="1167" w:type="pct"/>
            <w:vAlign w:val="center"/>
            <w:hideMark/>
          </w:tcPr>
          <w:p w14:paraId="39647064" w14:textId="77777777" w:rsidR="002955CB" w:rsidRDefault="002955CB" w:rsidP="002955CB">
            <w:pPr>
              <w:tabs>
                <w:tab w:val="left" w:pos="2790"/>
              </w:tabs>
              <w:spacing w:after="0"/>
              <w:rPr>
                <w:rFonts w:ascii="Arial" w:eastAsia="Times" w:hAnsi="Arial" w:cs="Arial"/>
                <w:b/>
              </w:rPr>
            </w:pPr>
          </w:p>
        </w:tc>
        <w:tc>
          <w:tcPr>
            <w:tcW w:w="1105" w:type="pct"/>
            <w:gridSpan w:val="4"/>
            <w:vAlign w:val="center"/>
          </w:tcPr>
          <w:p w14:paraId="5D388C3C" w14:textId="77777777" w:rsidR="002955CB" w:rsidRPr="0069355A" w:rsidRDefault="002955CB" w:rsidP="002955CB">
            <w:pPr>
              <w:tabs>
                <w:tab w:val="left" w:pos="2790"/>
              </w:tabs>
              <w:spacing w:after="0"/>
              <w:rPr>
                <w:rFonts w:ascii="Arial" w:eastAsia="Times" w:hAnsi="Arial" w:cs="Arial"/>
              </w:rPr>
            </w:pPr>
          </w:p>
        </w:tc>
        <w:tc>
          <w:tcPr>
            <w:tcW w:w="223" w:type="pct"/>
            <w:gridSpan w:val="2"/>
            <w:tcBorders>
              <w:bottom w:val="single" w:sz="4" w:space="0" w:color="auto"/>
            </w:tcBorders>
            <w:vAlign w:val="center"/>
          </w:tcPr>
          <w:p w14:paraId="5D68C6D1" w14:textId="77777777" w:rsidR="002955CB" w:rsidRPr="0069355A" w:rsidRDefault="002955CB" w:rsidP="002955CB">
            <w:pPr>
              <w:tabs>
                <w:tab w:val="left" w:pos="2790"/>
              </w:tabs>
              <w:spacing w:after="0"/>
              <w:rPr>
                <w:rFonts w:ascii="Arial" w:hAnsi="Arial" w:cs="Arial"/>
              </w:rPr>
            </w:pPr>
          </w:p>
        </w:tc>
        <w:tc>
          <w:tcPr>
            <w:tcW w:w="1038" w:type="pct"/>
            <w:gridSpan w:val="4"/>
            <w:vAlign w:val="center"/>
          </w:tcPr>
          <w:p w14:paraId="17A024C8" w14:textId="77777777" w:rsidR="002955CB" w:rsidRPr="0069355A" w:rsidRDefault="002955CB" w:rsidP="002955CB">
            <w:pPr>
              <w:tabs>
                <w:tab w:val="left" w:pos="2790"/>
              </w:tabs>
              <w:spacing w:after="0"/>
              <w:rPr>
                <w:rFonts w:ascii="Arial" w:eastAsia="Times" w:hAnsi="Arial" w:cs="Arial"/>
              </w:rPr>
            </w:pPr>
          </w:p>
        </w:tc>
        <w:tc>
          <w:tcPr>
            <w:tcW w:w="220" w:type="pct"/>
            <w:tcBorders>
              <w:bottom w:val="single" w:sz="4" w:space="0" w:color="auto"/>
            </w:tcBorders>
            <w:vAlign w:val="center"/>
          </w:tcPr>
          <w:p w14:paraId="75AFD2DC" w14:textId="77777777" w:rsidR="002955CB" w:rsidRPr="0069355A" w:rsidRDefault="002955CB" w:rsidP="002955CB">
            <w:pPr>
              <w:tabs>
                <w:tab w:val="left" w:pos="2790"/>
              </w:tabs>
              <w:spacing w:after="0"/>
              <w:rPr>
                <w:rFonts w:ascii="Arial" w:hAnsi="Arial" w:cs="Arial"/>
              </w:rPr>
            </w:pPr>
          </w:p>
        </w:tc>
        <w:tc>
          <w:tcPr>
            <w:tcW w:w="1031" w:type="pct"/>
            <w:vAlign w:val="center"/>
          </w:tcPr>
          <w:p w14:paraId="753949B0" w14:textId="77777777" w:rsidR="002955CB" w:rsidRPr="0069355A" w:rsidRDefault="002955CB" w:rsidP="002955CB">
            <w:pPr>
              <w:tabs>
                <w:tab w:val="left" w:pos="2790"/>
              </w:tabs>
              <w:spacing w:after="0"/>
              <w:rPr>
                <w:rFonts w:ascii="Arial" w:eastAsia="Times" w:hAnsi="Arial" w:cs="Arial"/>
              </w:rPr>
            </w:pPr>
          </w:p>
        </w:tc>
        <w:tc>
          <w:tcPr>
            <w:tcW w:w="216" w:type="pct"/>
            <w:gridSpan w:val="2"/>
            <w:tcBorders>
              <w:bottom w:val="single" w:sz="4" w:space="0" w:color="auto"/>
            </w:tcBorders>
            <w:vAlign w:val="center"/>
          </w:tcPr>
          <w:p w14:paraId="31CCEA3C" w14:textId="77777777" w:rsidR="002955CB" w:rsidRPr="0069355A" w:rsidRDefault="002955CB" w:rsidP="002955CB">
            <w:pPr>
              <w:tabs>
                <w:tab w:val="left" w:pos="2790"/>
              </w:tabs>
              <w:spacing w:after="0"/>
              <w:rPr>
                <w:rFonts w:ascii="Arial" w:hAnsi="Arial" w:cs="Arial"/>
              </w:rPr>
            </w:pPr>
          </w:p>
        </w:tc>
      </w:tr>
      <w:tr w:rsidR="002955CB" w:rsidRPr="000148A9" w14:paraId="7D82CD60" w14:textId="77777777" w:rsidTr="009C6F72">
        <w:trPr>
          <w:trHeight w:val="272"/>
        </w:trPr>
        <w:tc>
          <w:tcPr>
            <w:tcW w:w="1167" w:type="pct"/>
            <w:vAlign w:val="center"/>
            <w:hideMark/>
          </w:tcPr>
          <w:p w14:paraId="29730A94" w14:textId="77777777" w:rsidR="002955CB" w:rsidRPr="000148A9" w:rsidRDefault="002955CB" w:rsidP="002955CB">
            <w:pPr>
              <w:tabs>
                <w:tab w:val="left" w:pos="2790"/>
              </w:tabs>
              <w:spacing w:after="0"/>
              <w:rPr>
                <w:rFonts w:ascii="Arial" w:eastAsia="Times" w:hAnsi="Arial" w:cs="Arial"/>
                <w:b/>
              </w:rPr>
            </w:pPr>
            <w:r>
              <w:rPr>
                <w:rFonts w:ascii="Arial" w:eastAsia="Times" w:hAnsi="Arial" w:cs="Arial"/>
                <w:b/>
              </w:rPr>
              <w:t xml:space="preserve">Scheme </w:t>
            </w:r>
            <w:r w:rsidR="00B4775F">
              <w:rPr>
                <w:rFonts w:ascii="Arial" w:eastAsia="Times" w:hAnsi="Arial" w:cs="Arial"/>
                <w:b/>
              </w:rPr>
              <w:t>A</w:t>
            </w:r>
            <w:r>
              <w:rPr>
                <w:rFonts w:ascii="Arial" w:eastAsia="Times" w:hAnsi="Arial" w:cs="Arial"/>
                <w:b/>
              </w:rPr>
              <w:t>pplicability:</w:t>
            </w:r>
          </w:p>
        </w:tc>
        <w:tc>
          <w:tcPr>
            <w:tcW w:w="1105" w:type="pct"/>
            <w:gridSpan w:val="4"/>
            <w:tcBorders>
              <w:right w:val="single" w:sz="4" w:space="0" w:color="auto"/>
            </w:tcBorders>
            <w:vAlign w:val="center"/>
          </w:tcPr>
          <w:p w14:paraId="3D698CFC"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Wider – EFS(W)</w:t>
            </w:r>
          </w:p>
        </w:tc>
        <w:tc>
          <w:tcPr>
            <w:tcW w:w="223" w:type="pct"/>
            <w:gridSpan w:val="2"/>
            <w:tcBorders>
              <w:top w:val="single" w:sz="4" w:space="0" w:color="auto"/>
              <w:left w:val="single" w:sz="4" w:space="0" w:color="auto"/>
              <w:bottom w:val="single" w:sz="4" w:space="0" w:color="auto"/>
              <w:right w:val="single" w:sz="4" w:space="0" w:color="auto"/>
            </w:tcBorders>
            <w:vAlign w:val="center"/>
          </w:tcPr>
          <w:p w14:paraId="15526263" w14:textId="67D562E0" w:rsidR="002955CB" w:rsidRPr="00B37630" w:rsidRDefault="008403AE"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8" w:type="pct"/>
            <w:gridSpan w:val="4"/>
            <w:tcBorders>
              <w:left w:val="single" w:sz="4" w:space="0" w:color="auto"/>
              <w:right w:val="single" w:sz="4" w:space="0" w:color="auto"/>
            </w:tcBorders>
            <w:vAlign w:val="center"/>
          </w:tcPr>
          <w:p w14:paraId="14952458"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Higher – EFS(H)</w:t>
            </w:r>
          </w:p>
        </w:tc>
        <w:tc>
          <w:tcPr>
            <w:tcW w:w="220" w:type="pct"/>
            <w:tcBorders>
              <w:top w:val="single" w:sz="4" w:space="0" w:color="auto"/>
              <w:left w:val="single" w:sz="4" w:space="0" w:color="auto"/>
              <w:bottom w:val="single" w:sz="4" w:space="0" w:color="auto"/>
              <w:right w:val="single" w:sz="4" w:space="0" w:color="auto"/>
            </w:tcBorders>
            <w:vAlign w:val="center"/>
          </w:tcPr>
          <w:p w14:paraId="389FF62C"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c>
          <w:tcPr>
            <w:tcW w:w="1031" w:type="pct"/>
            <w:tcBorders>
              <w:left w:val="single" w:sz="4" w:space="0" w:color="auto"/>
              <w:right w:val="single" w:sz="4" w:space="0" w:color="auto"/>
            </w:tcBorders>
            <w:vAlign w:val="center"/>
          </w:tcPr>
          <w:p w14:paraId="6BB3C448" w14:textId="77777777" w:rsidR="002955CB" w:rsidRPr="000148A9" w:rsidRDefault="002955CB" w:rsidP="002955CB">
            <w:pPr>
              <w:tabs>
                <w:tab w:val="left" w:pos="2790"/>
              </w:tabs>
              <w:spacing w:after="0"/>
              <w:rPr>
                <w:rFonts w:ascii="Arial" w:eastAsia="Times" w:hAnsi="Arial" w:cs="Arial"/>
                <w:b/>
              </w:rPr>
            </w:pPr>
            <w:r w:rsidRPr="0069355A">
              <w:rPr>
                <w:rFonts w:ascii="Arial" w:eastAsia="Times" w:hAnsi="Arial" w:cs="Arial"/>
              </w:rPr>
              <w:t>Group – EFS(G)</w:t>
            </w:r>
          </w:p>
        </w:tc>
        <w:tc>
          <w:tcPr>
            <w:tcW w:w="216" w:type="pct"/>
            <w:gridSpan w:val="2"/>
            <w:tcBorders>
              <w:top w:val="single" w:sz="4" w:space="0" w:color="auto"/>
              <w:left w:val="single" w:sz="4" w:space="0" w:color="auto"/>
              <w:bottom w:val="single" w:sz="4" w:space="0" w:color="auto"/>
              <w:right w:val="single" w:sz="4" w:space="0" w:color="auto"/>
            </w:tcBorders>
            <w:vAlign w:val="center"/>
          </w:tcPr>
          <w:p w14:paraId="6A7DF73D" w14:textId="77777777" w:rsidR="002955CB" w:rsidRPr="00B37630" w:rsidRDefault="002955CB" w:rsidP="002955CB">
            <w:pPr>
              <w:tabs>
                <w:tab w:val="left" w:pos="2790"/>
              </w:tabs>
              <w:spacing w:after="0"/>
              <w:rPr>
                <w:rFonts w:ascii="Arial" w:eastAsia="Times" w:hAnsi="Arial" w:cs="Arial"/>
                <w:b/>
              </w:rPr>
            </w:pPr>
            <w:r w:rsidRPr="00B37630">
              <w:rPr>
                <w:rFonts w:ascii="Arial" w:hAnsi="Arial" w:cs="Arial"/>
                <w:b/>
              </w:rPr>
              <w:sym w:font="Wingdings" w:char="00FC"/>
            </w:r>
          </w:p>
        </w:tc>
      </w:tr>
      <w:tr w:rsidR="00694F10" w:rsidRPr="000148A9" w14:paraId="407CF0F6" w14:textId="77777777" w:rsidTr="009C6F72">
        <w:trPr>
          <w:gridAfter w:val="6"/>
          <w:wAfter w:w="1838" w:type="pct"/>
          <w:trHeight w:val="283"/>
        </w:trPr>
        <w:tc>
          <w:tcPr>
            <w:tcW w:w="1167" w:type="pct"/>
            <w:vAlign w:val="center"/>
            <w:hideMark/>
          </w:tcPr>
          <w:p w14:paraId="1E0DE37F" w14:textId="77777777" w:rsidR="00694F10" w:rsidRDefault="00694F10" w:rsidP="002955CB">
            <w:pPr>
              <w:tabs>
                <w:tab w:val="left" w:pos="2790"/>
              </w:tabs>
              <w:spacing w:after="0"/>
              <w:rPr>
                <w:rFonts w:ascii="Arial" w:hAnsi="Arial" w:cs="Arial"/>
                <w:b/>
              </w:rPr>
            </w:pPr>
          </w:p>
        </w:tc>
        <w:tc>
          <w:tcPr>
            <w:tcW w:w="957" w:type="pct"/>
            <w:gridSpan w:val="3"/>
            <w:vAlign w:val="center"/>
          </w:tcPr>
          <w:p w14:paraId="15DD5049" w14:textId="77777777" w:rsidR="00694F10" w:rsidRPr="000148A9" w:rsidRDefault="00694F10" w:rsidP="002955CB">
            <w:pPr>
              <w:tabs>
                <w:tab w:val="left" w:pos="2790"/>
              </w:tabs>
              <w:spacing w:after="0"/>
              <w:rPr>
                <w:rFonts w:ascii="Arial" w:eastAsia="Times" w:hAnsi="Arial" w:cs="Arial"/>
                <w:lang w:val="en-US"/>
              </w:rPr>
            </w:pPr>
          </w:p>
        </w:tc>
        <w:tc>
          <w:tcPr>
            <w:tcW w:w="295" w:type="pct"/>
            <w:gridSpan w:val="2"/>
            <w:tcBorders>
              <w:bottom w:val="single" w:sz="4" w:space="0" w:color="auto"/>
            </w:tcBorders>
            <w:vAlign w:val="center"/>
          </w:tcPr>
          <w:p w14:paraId="665DCF7E" w14:textId="77777777" w:rsidR="00694F10" w:rsidRPr="000148A9" w:rsidRDefault="00694F10" w:rsidP="002955CB">
            <w:pPr>
              <w:tabs>
                <w:tab w:val="left" w:pos="2790"/>
              </w:tabs>
              <w:spacing w:after="0"/>
              <w:jc w:val="center"/>
              <w:rPr>
                <w:rFonts w:ascii="Arial" w:eastAsia="Times" w:hAnsi="Arial" w:cs="Arial"/>
                <w:b/>
              </w:rPr>
            </w:pPr>
          </w:p>
        </w:tc>
        <w:tc>
          <w:tcPr>
            <w:tcW w:w="744" w:type="pct"/>
            <w:gridSpan w:val="3"/>
            <w:vAlign w:val="center"/>
          </w:tcPr>
          <w:p w14:paraId="37EDFFD9" w14:textId="77777777" w:rsidR="00694F10" w:rsidRPr="00761FD0" w:rsidRDefault="00694F10" w:rsidP="002955CB">
            <w:pPr>
              <w:tabs>
                <w:tab w:val="left" w:pos="2790"/>
              </w:tabs>
              <w:spacing w:after="0"/>
              <w:rPr>
                <w:rFonts w:ascii="Arial" w:eastAsia="Times" w:hAnsi="Arial" w:cs="Arial"/>
              </w:rPr>
            </w:pPr>
          </w:p>
        </w:tc>
      </w:tr>
      <w:tr w:rsidR="002955CB" w:rsidRPr="000148A9" w14:paraId="3710A289" w14:textId="77777777" w:rsidTr="009C6F72">
        <w:trPr>
          <w:gridAfter w:val="1"/>
          <w:wAfter w:w="5" w:type="pct"/>
          <w:trHeight w:val="414"/>
        </w:trPr>
        <w:tc>
          <w:tcPr>
            <w:tcW w:w="1167" w:type="pct"/>
            <w:vAlign w:val="center"/>
            <w:hideMark/>
          </w:tcPr>
          <w:p w14:paraId="1434F200" w14:textId="77777777" w:rsidR="002955CB" w:rsidRPr="000148A9" w:rsidRDefault="003E4AD3" w:rsidP="002955CB">
            <w:pPr>
              <w:tabs>
                <w:tab w:val="left" w:pos="2790"/>
              </w:tabs>
              <w:spacing w:after="0"/>
              <w:rPr>
                <w:rFonts w:ascii="Arial" w:eastAsia="Times" w:hAnsi="Arial" w:cs="Arial"/>
                <w:b/>
              </w:rPr>
            </w:pPr>
            <w:r>
              <w:rPr>
                <w:rFonts w:ascii="Arial" w:hAnsi="Arial" w:cs="Arial"/>
                <w:b/>
              </w:rPr>
              <w:t>This NPI</w:t>
            </w:r>
            <w:r w:rsidR="002955CB">
              <w:rPr>
                <w:rFonts w:ascii="Arial" w:hAnsi="Arial" w:cs="Arial"/>
                <w:b/>
              </w:rPr>
              <w:t xml:space="preserve"> is:</w:t>
            </w:r>
          </w:p>
        </w:tc>
        <w:tc>
          <w:tcPr>
            <w:tcW w:w="957" w:type="pct"/>
            <w:gridSpan w:val="3"/>
            <w:tcBorders>
              <w:right w:val="single" w:sz="4" w:space="0" w:color="auto"/>
            </w:tcBorders>
            <w:vAlign w:val="center"/>
          </w:tcPr>
          <w:p w14:paraId="4E349B4D" w14:textId="77777777" w:rsidR="002955CB" w:rsidRPr="000148A9" w:rsidRDefault="002955CB" w:rsidP="002955CB">
            <w:pPr>
              <w:tabs>
                <w:tab w:val="left" w:pos="2790"/>
              </w:tabs>
              <w:spacing w:after="0"/>
              <w:rPr>
                <w:rFonts w:ascii="Arial" w:eastAsia="Times" w:hAnsi="Arial" w:cs="Arial"/>
                <w:b/>
              </w:rPr>
            </w:pPr>
            <w:r w:rsidRPr="000148A9">
              <w:rPr>
                <w:rFonts w:ascii="Arial" w:eastAsia="Times" w:hAnsi="Arial" w:cs="Arial"/>
                <w:lang w:val="en-US"/>
              </w:rPr>
              <w:t>Permanent</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5336C6BE" w14:textId="77777777" w:rsidR="002955CB" w:rsidRPr="000148A9" w:rsidRDefault="004F501D" w:rsidP="002955CB">
            <w:pPr>
              <w:tabs>
                <w:tab w:val="left" w:pos="2790"/>
              </w:tabs>
              <w:spacing w:after="0"/>
              <w:jc w:val="center"/>
              <w:rPr>
                <w:rFonts w:ascii="Arial" w:eastAsia="Times" w:hAnsi="Arial" w:cs="Arial"/>
                <w:b/>
              </w:rPr>
            </w:pPr>
            <w:r w:rsidRPr="00B37630">
              <w:rPr>
                <w:rFonts w:ascii="Arial" w:hAnsi="Arial" w:cs="Arial"/>
                <w:b/>
              </w:rPr>
              <w:sym w:font="Wingdings" w:char="00FC"/>
            </w:r>
          </w:p>
        </w:tc>
        <w:tc>
          <w:tcPr>
            <w:tcW w:w="744" w:type="pct"/>
            <w:gridSpan w:val="3"/>
            <w:tcBorders>
              <w:left w:val="single" w:sz="4" w:space="0" w:color="auto"/>
              <w:right w:val="single" w:sz="4" w:space="0" w:color="auto"/>
            </w:tcBorders>
            <w:vAlign w:val="center"/>
          </w:tcPr>
          <w:p w14:paraId="777344D5" w14:textId="77777777" w:rsidR="002955CB" w:rsidRPr="00761FD0" w:rsidRDefault="002955CB" w:rsidP="002955CB">
            <w:pPr>
              <w:tabs>
                <w:tab w:val="left" w:pos="2790"/>
              </w:tabs>
              <w:spacing w:after="0"/>
              <w:rPr>
                <w:rFonts w:ascii="Arial" w:eastAsia="Times" w:hAnsi="Arial" w:cs="Arial"/>
              </w:rPr>
            </w:pPr>
            <w:r w:rsidRPr="00761FD0">
              <w:rPr>
                <w:rFonts w:ascii="Arial" w:eastAsia="Times" w:hAnsi="Arial" w:cs="Arial"/>
              </w:rPr>
              <w:t>Rotational</w:t>
            </w: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1C24891B" w14:textId="77777777" w:rsidR="002955CB" w:rsidRPr="00B37630" w:rsidRDefault="002955CB" w:rsidP="002955CB">
            <w:pPr>
              <w:tabs>
                <w:tab w:val="left" w:pos="2790"/>
              </w:tabs>
              <w:spacing w:after="0"/>
              <w:jc w:val="center"/>
              <w:rPr>
                <w:rFonts w:ascii="Arial" w:eastAsia="Times" w:hAnsi="Arial" w:cs="Arial"/>
                <w:b/>
              </w:rPr>
            </w:pPr>
          </w:p>
        </w:tc>
        <w:tc>
          <w:tcPr>
            <w:tcW w:w="1462" w:type="pct"/>
            <w:gridSpan w:val="3"/>
            <w:tcBorders>
              <w:left w:val="single" w:sz="4" w:space="0" w:color="auto"/>
            </w:tcBorders>
            <w:vAlign w:val="center"/>
          </w:tcPr>
          <w:p w14:paraId="40AC8FAC" w14:textId="77777777" w:rsidR="002955CB" w:rsidRPr="000148A9" w:rsidRDefault="002955CB" w:rsidP="002955CB">
            <w:pPr>
              <w:tabs>
                <w:tab w:val="left" w:pos="2790"/>
              </w:tabs>
              <w:spacing w:after="0"/>
              <w:jc w:val="center"/>
              <w:rPr>
                <w:rFonts w:ascii="Arial" w:eastAsia="Times" w:hAnsi="Arial" w:cs="Arial"/>
                <w:b/>
              </w:rPr>
            </w:pPr>
          </w:p>
        </w:tc>
      </w:tr>
      <w:tr w:rsidR="002955CB" w:rsidRPr="000148A9" w14:paraId="4B858D62" w14:textId="77777777" w:rsidTr="009C6F72">
        <w:trPr>
          <w:gridAfter w:val="1"/>
          <w:wAfter w:w="5" w:type="pct"/>
          <w:trHeight w:val="283"/>
        </w:trPr>
        <w:tc>
          <w:tcPr>
            <w:tcW w:w="1167" w:type="pct"/>
            <w:hideMark/>
          </w:tcPr>
          <w:p w14:paraId="14382E93" w14:textId="77777777" w:rsidR="002955CB" w:rsidRPr="000148A9" w:rsidRDefault="002955CB" w:rsidP="002955CB">
            <w:pPr>
              <w:spacing w:after="0"/>
              <w:rPr>
                <w:rFonts w:ascii="Arial" w:hAnsi="Arial" w:cs="Arial"/>
                <w:b/>
              </w:rPr>
            </w:pPr>
          </w:p>
        </w:tc>
        <w:tc>
          <w:tcPr>
            <w:tcW w:w="3828" w:type="pct"/>
            <w:gridSpan w:val="13"/>
            <w:tcBorders>
              <w:bottom w:val="single" w:sz="4" w:space="0" w:color="auto"/>
            </w:tcBorders>
            <w:vAlign w:val="center"/>
          </w:tcPr>
          <w:p w14:paraId="4A5F77D9" w14:textId="77777777" w:rsidR="002955CB" w:rsidRPr="002E6992" w:rsidRDefault="002955CB" w:rsidP="002955CB">
            <w:pPr>
              <w:spacing w:after="0"/>
              <w:rPr>
                <w:rFonts w:ascii="Arial" w:hAnsi="Arial" w:cs="Arial"/>
              </w:rPr>
            </w:pPr>
          </w:p>
        </w:tc>
      </w:tr>
      <w:tr w:rsidR="002955CB" w:rsidRPr="000148A9" w14:paraId="4BB83AB5" w14:textId="77777777" w:rsidTr="009C6F72">
        <w:trPr>
          <w:gridAfter w:val="1"/>
          <w:wAfter w:w="5" w:type="pct"/>
          <w:trHeight w:val="420"/>
        </w:trPr>
        <w:tc>
          <w:tcPr>
            <w:tcW w:w="1167" w:type="pct"/>
            <w:tcBorders>
              <w:right w:val="single" w:sz="4" w:space="0" w:color="auto"/>
            </w:tcBorders>
            <w:hideMark/>
          </w:tcPr>
          <w:p w14:paraId="5D8DC25D" w14:textId="77777777" w:rsidR="002955CB" w:rsidRPr="000148A9" w:rsidRDefault="003E4AD3" w:rsidP="005F3BA5">
            <w:pPr>
              <w:spacing w:after="0"/>
              <w:rPr>
                <w:rFonts w:ascii="Arial" w:hAnsi="Arial" w:cs="Arial"/>
                <w:b/>
              </w:rPr>
            </w:pPr>
            <w:r>
              <w:rPr>
                <w:rFonts w:ascii="Arial" w:hAnsi="Arial" w:cs="Arial"/>
                <w:b/>
              </w:rPr>
              <w:t>NPI</w:t>
            </w:r>
            <w:r w:rsidR="002955CB">
              <w:rPr>
                <w:rFonts w:ascii="Arial" w:hAnsi="Arial" w:cs="Arial"/>
                <w:b/>
              </w:rPr>
              <w:t xml:space="preserve"> Description and Outcome:</w:t>
            </w:r>
          </w:p>
        </w:tc>
        <w:tc>
          <w:tcPr>
            <w:tcW w:w="3828" w:type="pct"/>
            <w:gridSpan w:val="13"/>
            <w:tcBorders>
              <w:top w:val="single" w:sz="4" w:space="0" w:color="auto"/>
              <w:left w:val="single" w:sz="4" w:space="0" w:color="auto"/>
              <w:bottom w:val="single" w:sz="4" w:space="0" w:color="auto"/>
              <w:right w:val="single" w:sz="4" w:space="0" w:color="auto"/>
            </w:tcBorders>
            <w:vAlign w:val="center"/>
          </w:tcPr>
          <w:p w14:paraId="22665ADB" w14:textId="75E47B41" w:rsidR="005F3BA5" w:rsidRPr="00E905CF" w:rsidRDefault="008403AE" w:rsidP="008403AE">
            <w:pPr>
              <w:spacing w:after="0"/>
              <w:rPr>
                <w:rFonts w:ascii="Arial" w:hAnsi="Arial" w:cs="Arial"/>
              </w:rPr>
            </w:pPr>
            <w:r>
              <w:t xml:space="preserve">‘Stock-proof fencing’ is eligible in any EFS(W) Option where it is available as an approved additional optional capital works item. This NPI is eligible where it will maintain and enhance the biodiversity value of EFS(H) sites and is included in the </w:t>
            </w:r>
            <w:proofErr w:type="gramStart"/>
            <w:r>
              <w:t>site specific</w:t>
            </w:r>
            <w:proofErr w:type="gramEnd"/>
            <w:r>
              <w:t xml:space="preserve"> Remedial Management Plan (</w:t>
            </w:r>
            <w:proofErr w:type="spellStart"/>
            <w:r>
              <w:t>ssRMP</w:t>
            </w:r>
            <w:proofErr w:type="spellEnd"/>
            <w:r>
              <w:t xml:space="preserve">). ‘Stock-proof fencing’ will help control grazing livestock, protect environmental </w:t>
            </w:r>
            <w:proofErr w:type="gramStart"/>
            <w:r>
              <w:t>features</w:t>
            </w:r>
            <w:proofErr w:type="gramEnd"/>
            <w:r>
              <w:t xml:space="preserve"> and facilitate implementation of the </w:t>
            </w:r>
            <w:proofErr w:type="spellStart"/>
            <w:r>
              <w:t>ssRMP</w:t>
            </w:r>
            <w:proofErr w:type="spellEnd"/>
            <w:r>
              <w:t>.</w:t>
            </w:r>
          </w:p>
        </w:tc>
      </w:tr>
      <w:tr w:rsidR="002955CB" w:rsidRPr="000148A9" w14:paraId="25CBB0DD" w14:textId="77777777" w:rsidTr="009C6F72">
        <w:trPr>
          <w:gridAfter w:val="1"/>
          <w:wAfter w:w="5" w:type="pct"/>
          <w:trHeight w:val="283"/>
        </w:trPr>
        <w:tc>
          <w:tcPr>
            <w:tcW w:w="1167" w:type="pct"/>
            <w:hideMark/>
          </w:tcPr>
          <w:p w14:paraId="75B0FF9A" w14:textId="77777777" w:rsidR="002955CB" w:rsidRPr="000148A9" w:rsidRDefault="002955CB" w:rsidP="002955CB">
            <w:pPr>
              <w:spacing w:after="0"/>
              <w:rPr>
                <w:rFonts w:ascii="Arial" w:hAnsi="Arial" w:cs="Arial"/>
                <w:b/>
              </w:rPr>
            </w:pPr>
          </w:p>
        </w:tc>
        <w:tc>
          <w:tcPr>
            <w:tcW w:w="3828" w:type="pct"/>
            <w:gridSpan w:val="13"/>
            <w:tcBorders>
              <w:top w:val="single" w:sz="4" w:space="0" w:color="auto"/>
              <w:bottom w:val="single" w:sz="4" w:space="0" w:color="auto"/>
            </w:tcBorders>
            <w:vAlign w:val="center"/>
          </w:tcPr>
          <w:p w14:paraId="224AAC96" w14:textId="77777777" w:rsidR="00C16A6B" w:rsidRDefault="00C16A6B" w:rsidP="002955CB">
            <w:pPr>
              <w:spacing w:after="0"/>
              <w:jc w:val="both"/>
              <w:rPr>
                <w:rFonts w:ascii="Arial" w:hAnsi="Arial" w:cs="Arial"/>
              </w:rPr>
            </w:pPr>
          </w:p>
        </w:tc>
      </w:tr>
      <w:tr w:rsidR="002955CB" w:rsidRPr="000148A9" w14:paraId="001D2FAE" w14:textId="77777777" w:rsidTr="009C6F72">
        <w:trPr>
          <w:gridAfter w:val="1"/>
          <w:wAfter w:w="5" w:type="pct"/>
          <w:trHeight w:val="420"/>
        </w:trPr>
        <w:tc>
          <w:tcPr>
            <w:tcW w:w="1167" w:type="pct"/>
            <w:tcBorders>
              <w:right w:val="single" w:sz="4" w:space="0" w:color="auto"/>
            </w:tcBorders>
            <w:vAlign w:val="center"/>
            <w:hideMark/>
          </w:tcPr>
          <w:p w14:paraId="124CD4DF" w14:textId="77777777" w:rsidR="002955CB" w:rsidRDefault="00B4775F" w:rsidP="002955CB">
            <w:pPr>
              <w:spacing w:after="0"/>
              <w:rPr>
                <w:rFonts w:ascii="Arial" w:hAnsi="Arial" w:cs="Arial"/>
                <w:b/>
              </w:rPr>
            </w:pPr>
            <w:r>
              <w:rPr>
                <w:rFonts w:ascii="Arial" w:hAnsi="Arial" w:cs="Arial"/>
                <w:b/>
              </w:rPr>
              <w:t>Length</w:t>
            </w:r>
            <w:r w:rsidR="002955CB">
              <w:rPr>
                <w:rFonts w:ascii="Arial" w:hAnsi="Arial" w:cs="Arial"/>
                <w:b/>
              </w:rPr>
              <w:t xml:space="preserve"> Permitted:</w:t>
            </w:r>
          </w:p>
        </w:tc>
        <w:tc>
          <w:tcPr>
            <w:tcW w:w="723" w:type="pct"/>
            <w:tcBorders>
              <w:top w:val="single" w:sz="4" w:space="0" w:color="auto"/>
              <w:left w:val="single" w:sz="4" w:space="0" w:color="auto"/>
              <w:bottom w:val="single" w:sz="4" w:space="0" w:color="auto"/>
            </w:tcBorders>
            <w:vAlign w:val="center"/>
          </w:tcPr>
          <w:p w14:paraId="288F2689" w14:textId="77777777" w:rsidR="002955CB" w:rsidRPr="00115C6F" w:rsidRDefault="002955CB" w:rsidP="00EE23F9">
            <w:pPr>
              <w:spacing w:after="0"/>
              <w:jc w:val="both"/>
              <w:rPr>
                <w:rFonts w:ascii="Arial" w:hAnsi="Arial" w:cs="Arial"/>
                <w:b/>
              </w:rPr>
            </w:pPr>
            <w:r w:rsidRPr="00115C6F">
              <w:rPr>
                <w:rFonts w:ascii="Arial" w:hAnsi="Arial" w:cs="Arial"/>
                <w:b/>
              </w:rPr>
              <w:t>Minimum</w:t>
            </w:r>
          </w:p>
        </w:tc>
        <w:tc>
          <w:tcPr>
            <w:tcW w:w="736" w:type="pct"/>
            <w:gridSpan w:val="6"/>
            <w:tcBorders>
              <w:top w:val="single" w:sz="4" w:space="0" w:color="auto"/>
              <w:bottom w:val="single" w:sz="4" w:space="0" w:color="auto"/>
            </w:tcBorders>
            <w:vAlign w:val="center"/>
          </w:tcPr>
          <w:p w14:paraId="16C6201A" w14:textId="77777777" w:rsidR="002955CB" w:rsidRDefault="000B0104" w:rsidP="002955CB">
            <w:pPr>
              <w:spacing w:after="0"/>
              <w:jc w:val="both"/>
              <w:rPr>
                <w:rFonts w:ascii="Arial" w:hAnsi="Arial" w:cs="Arial"/>
              </w:rPr>
            </w:pPr>
            <w:r>
              <w:rPr>
                <w:rFonts w:ascii="Arial" w:hAnsi="Arial" w:cs="Arial"/>
              </w:rPr>
              <w:t>1 m</w:t>
            </w:r>
          </w:p>
        </w:tc>
        <w:tc>
          <w:tcPr>
            <w:tcW w:w="728" w:type="pct"/>
            <w:gridSpan w:val="2"/>
            <w:tcBorders>
              <w:top w:val="single" w:sz="4" w:space="0" w:color="auto"/>
              <w:bottom w:val="single" w:sz="4" w:space="0" w:color="auto"/>
            </w:tcBorders>
            <w:vAlign w:val="center"/>
          </w:tcPr>
          <w:p w14:paraId="49CA401D" w14:textId="77777777" w:rsidR="002955CB" w:rsidRDefault="002955CB" w:rsidP="002955CB">
            <w:pPr>
              <w:spacing w:after="0"/>
              <w:jc w:val="both"/>
              <w:rPr>
                <w:rFonts w:ascii="Arial" w:hAnsi="Arial" w:cs="Arial"/>
              </w:rPr>
            </w:pPr>
            <w:r>
              <w:rPr>
                <w:rFonts w:ascii="Arial" w:hAnsi="Arial" w:cs="Arial"/>
                <w:b/>
              </w:rPr>
              <w:t>Maximum</w:t>
            </w:r>
          </w:p>
        </w:tc>
        <w:tc>
          <w:tcPr>
            <w:tcW w:w="1641" w:type="pct"/>
            <w:gridSpan w:val="4"/>
            <w:tcBorders>
              <w:top w:val="single" w:sz="4" w:space="0" w:color="auto"/>
              <w:bottom w:val="single" w:sz="4" w:space="0" w:color="auto"/>
              <w:right w:val="single" w:sz="4" w:space="0" w:color="auto"/>
            </w:tcBorders>
            <w:vAlign w:val="center"/>
          </w:tcPr>
          <w:p w14:paraId="6F0A7AFD" w14:textId="77777777" w:rsidR="002955CB" w:rsidRDefault="00EE23F9" w:rsidP="002955CB">
            <w:pPr>
              <w:spacing w:after="0"/>
              <w:jc w:val="both"/>
              <w:rPr>
                <w:rFonts w:ascii="Arial" w:hAnsi="Arial" w:cs="Arial"/>
              </w:rPr>
            </w:pPr>
            <w:r>
              <w:rPr>
                <w:rFonts w:ascii="Arial" w:hAnsi="Arial" w:cs="Arial"/>
              </w:rPr>
              <w:t>Not Applicable*</w:t>
            </w:r>
          </w:p>
        </w:tc>
      </w:tr>
    </w:tbl>
    <w:p w14:paraId="7ABACBBF" w14:textId="77777777" w:rsidR="009C6F72" w:rsidRPr="00EE23F9" w:rsidRDefault="00EE23F9" w:rsidP="009C6F72">
      <w:pPr>
        <w:pStyle w:val="FootnoteText"/>
        <w:rPr>
          <w:rFonts w:ascii="Arial" w:hAnsi="Arial" w:cs="Arial"/>
          <w:sz w:val="18"/>
          <w:szCs w:val="18"/>
        </w:rPr>
      </w:pPr>
      <w:r>
        <w:rPr>
          <w:rFonts w:ascii="Arial" w:hAnsi="Arial" w:cs="Arial"/>
        </w:rPr>
        <w:t>*</w:t>
      </w:r>
      <w:r w:rsidR="009C6F72" w:rsidRPr="00EE23F9">
        <w:rPr>
          <w:rFonts w:ascii="Arial" w:hAnsi="Arial" w:cs="Arial"/>
          <w:sz w:val="18"/>
          <w:szCs w:val="18"/>
        </w:rPr>
        <w:t xml:space="preserve">DAERA reserves the right to limit a </w:t>
      </w:r>
      <w:proofErr w:type="gramStart"/>
      <w:r w:rsidR="009C6F72" w:rsidRPr="00EE23F9">
        <w:rPr>
          <w:rFonts w:ascii="Arial" w:hAnsi="Arial" w:cs="Arial"/>
          <w:sz w:val="18"/>
          <w:szCs w:val="18"/>
        </w:rPr>
        <w:t>Higher Level</w:t>
      </w:r>
      <w:proofErr w:type="gramEnd"/>
      <w:r w:rsidR="009C6F72" w:rsidRPr="00EE23F9">
        <w:rPr>
          <w:rFonts w:ascii="Arial" w:hAnsi="Arial" w:cs="Arial"/>
          <w:sz w:val="18"/>
          <w:szCs w:val="18"/>
        </w:rPr>
        <w:t xml:space="preserve"> agreement value where it considers appropriate to ensure value for money.  </w:t>
      </w:r>
    </w:p>
    <w:p w14:paraId="6B275EAA" w14:textId="68E01927" w:rsidR="003E09A7" w:rsidRDefault="003E09A7" w:rsidP="002955CB">
      <w:pPr>
        <w:rPr>
          <w:rFonts w:ascii="Arial" w:hAnsi="Arial" w:cs="Arial"/>
          <w:b/>
        </w:rPr>
      </w:pPr>
    </w:p>
    <w:p w14:paraId="7831DADC" w14:textId="2BA62721" w:rsidR="008403AE" w:rsidRDefault="008403AE" w:rsidP="002955CB">
      <w:pPr>
        <w:rPr>
          <w:rFonts w:ascii="Arial" w:hAnsi="Arial" w:cs="Arial"/>
          <w:b/>
        </w:rPr>
      </w:pPr>
    </w:p>
    <w:p w14:paraId="2037E48C" w14:textId="1B47943F" w:rsidR="008403AE" w:rsidRDefault="008403AE" w:rsidP="002955CB">
      <w:pPr>
        <w:rPr>
          <w:rFonts w:ascii="Arial" w:hAnsi="Arial" w:cs="Arial"/>
          <w:b/>
        </w:rPr>
      </w:pPr>
    </w:p>
    <w:p w14:paraId="240EF002" w14:textId="6C1A3C43" w:rsidR="008403AE" w:rsidRDefault="008403AE" w:rsidP="002955CB">
      <w:pPr>
        <w:rPr>
          <w:rFonts w:ascii="Arial" w:hAnsi="Arial" w:cs="Arial"/>
          <w:b/>
        </w:rPr>
      </w:pPr>
    </w:p>
    <w:p w14:paraId="4586D7BE" w14:textId="610F622C" w:rsidR="008403AE" w:rsidRDefault="008403AE" w:rsidP="002955CB">
      <w:pPr>
        <w:rPr>
          <w:rFonts w:ascii="Arial" w:hAnsi="Arial" w:cs="Arial"/>
          <w:b/>
        </w:rPr>
      </w:pPr>
    </w:p>
    <w:p w14:paraId="26361D22" w14:textId="05087174" w:rsidR="008403AE" w:rsidRDefault="008403AE" w:rsidP="002955CB">
      <w:pPr>
        <w:rPr>
          <w:rFonts w:ascii="Arial" w:hAnsi="Arial" w:cs="Arial"/>
          <w:b/>
        </w:rPr>
      </w:pPr>
    </w:p>
    <w:p w14:paraId="2FF52949" w14:textId="6B3DAD8F" w:rsidR="008403AE" w:rsidRDefault="008403AE" w:rsidP="002955CB">
      <w:pPr>
        <w:rPr>
          <w:rFonts w:ascii="Arial" w:hAnsi="Arial" w:cs="Arial"/>
          <w:b/>
        </w:rPr>
      </w:pPr>
    </w:p>
    <w:p w14:paraId="38383133" w14:textId="5EC43AE1" w:rsidR="008403AE" w:rsidRDefault="008403AE" w:rsidP="002955CB">
      <w:pPr>
        <w:rPr>
          <w:rFonts w:ascii="Arial" w:hAnsi="Arial" w:cs="Arial"/>
          <w:b/>
        </w:rPr>
      </w:pPr>
    </w:p>
    <w:p w14:paraId="2913C346" w14:textId="76371FBB" w:rsidR="008403AE" w:rsidRDefault="008403AE" w:rsidP="002955CB">
      <w:pPr>
        <w:rPr>
          <w:rFonts w:ascii="Arial" w:hAnsi="Arial" w:cs="Arial"/>
          <w:b/>
        </w:rPr>
      </w:pPr>
    </w:p>
    <w:p w14:paraId="3BC937D4" w14:textId="316F9343" w:rsidR="008403AE" w:rsidRDefault="008403AE" w:rsidP="002955CB">
      <w:pPr>
        <w:rPr>
          <w:rFonts w:ascii="Arial" w:hAnsi="Arial" w:cs="Arial"/>
          <w:b/>
        </w:rPr>
      </w:pPr>
    </w:p>
    <w:p w14:paraId="2071439D" w14:textId="343BA272" w:rsidR="008403AE" w:rsidRDefault="008403AE" w:rsidP="002955CB">
      <w:pPr>
        <w:rPr>
          <w:rFonts w:ascii="Arial" w:hAnsi="Arial" w:cs="Arial"/>
          <w:b/>
        </w:rPr>
      </w:pPr>
    </w:p>
    <w:p w14:paraId="6ED3C308" w14:textId="77777777" w:rsidR="008403AE" w:rsidRDefault="008403AE" w:rsidP="002955CB">
      <w:pPr>
        <w:rPr>
          <w:rFonts w:ascii="Arial" w:hAnsi="Arial" w:cs="Arial"/>
          <w:b/>
        </w:rPr>
      </w:pPr>
    </w:p>
    <w:p w14:paraId="606786C8" w14:textId="77777777" w:rsidR="002955CB" w:rsidRPr="002F4806" w:rsidRDefault="002955CB" w:rsidP="002955CB">
      <w:pPr>
        <w:rPr>
          <w:rFonts w:ascii="Arial" w:hAnsi="Arial" w:cs="Arial"/>
          <w:b/>
        </w:rPr>
      </w:pPr>
      <w:r w:rsidRPr="000148A9">
        <w:rPr>
          <w:rFonts w:ascii="Arial" w:hAnsi="Arial" w:cs="Arial"/>
          <w:b/>
        </w:rPr>
        <w:lastRenderedPageBreak/>
        <w:t>Requirements and Controls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7012"/>
        <w:gridCol w:w="425"/>
        <w:gridCol w:w="425"/>
        <w:gridCol w:w="346"/>
      </w:tblGrid>
      <w:tr w:rsidR="002955CB" w:rsidRPr="000148A9" w14:paraId="60414492" w14:textId="77777777" w:rsidTr="00E756D7">
        <w:trPr>
          <w:trHeight w:val="419"/>
        </w:trPr>
        <w:tc>
          <w:tcPr>
            <w:tcW w:w="560"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EAA9D90" w14:textId="77777777" w:rsidR="002955CB" w:rsidRPr="000148A9" w:rsidRDefault="002955CB" w:rsidP="008D108D">
            <w:pPr>
              <w:rPr>
                <w:rFonts w:ascii="Arial" w:hAnsi="Arial" w:cs="Arial"/>
                <w:b/>
              </w:rPr>
            </w:pPr>
            <w:r w:rsidRPr="000148A9">
              <w:rPr>
                <w:rFonts w:ascii="Arial" w:hAnsi="Arial" w:cs="Arial"/>
                <w:b/>
              </w:rPr>
              <w:t>Code</w:t>
            </w:r>
          </w:p>
        </w:tc>
        <w:tc>
          <w:tcPr>
            <w:tcW w:w="379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26BA7A1" w14:textId="77777777" w:rsidR="002955CB" w:rsidRPr="000148A9" w:rsidRDefault="004F501D" w:rsidP="008D108D">
            <w:pPr>
              <w:jc w:val="center"/>
              <w:rPr>
                <w:rFonts w:ascii="Arial" w:hAnsi="Arial" w:cs="Arial"/>
                <w:b/>
              </w:rPr>
            </w:pPr>
            <w:r>
              <w:rPr>
                <w:rFonts w:ascii="Arial" w:hAnsi="Arial" w:cs="Arial"/>
                <w:b/>
              </w:rPr>
              <w:t>Non-productive investment requirements (capital works)</w:t>
            </w:r>
          </w:p>
        </w:tc>
        <w:tc>
          <w:tcPr>
            <w:tcW w:w="64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70AB151" w14:textId="77777777" w:rsidR="002955CB" w:rsidRPr="000148A9" w:rsidRDefault="002955CB" w:rsidP="003E09A7">
            <w:pPr>
              <w:spacing w:after="0"/>
              <w:jc w:val="center"/>
              <w:rPr>
                <w:rFonts w:ascii="Arial" w:hAnsi="Arial" w:cs="Arial"/>
                <w:b/>
              </w:rPr>
            </w:pPr>
            <w:r w:rsidRPr="000148A9">
              <w:rPr>
                <w:rFonts w:ascii="Arial" w:hAnsi="Arial" w:cs="Arial"/>
                <w:b/>
              </w:rPr>
              <w:t>Control type</w:t>
            </w:r>
            <w:r w:rsidR="003E09A7" w:rsidRPr="00000A3D">
              <w:rPr>
                <w:rStyle w:val="FootnoteReference"/>
                <w:rFonts w:ascii="Arial" w:hAnsi="Arial" w:cs="Arial"/>
                <w:b/>
              </w:rPr>
              <w:t>1</w:t>
            </w:r>
          </w:p>
        </w:tc>
      </w:tr>
      <w:tr w:rsidR="002955CB" w:rsidRPr="000148A9" w14:paraId="59B57D25" w14:textId="77777777" w:rsidTr="002955CB">
        <w:trPr>
          <w:cantSplit/>
          <w:trHeight w:val="994"/>
        </w:trPr>
        <w:tc>
          <w:tcPr>
            <w:tcW w:w="560" w:type="pct"/>
            <w:vMerge/>
            <w:tcBorders>
              <w:top w:val="single" w:sz="4" w:space="0" w:color="auto"/>
              <w:left w:val="single" w:sz="4" w:space="0" w:color="auto"/>
              <w:bottom w:val="single" w:sz="4" w:space="0" w:color="auto"/>
              <w:right w:val="single" w:sz="4" w:space="0" w:color="auto"/>
            </w:tcBorders>
            <w:vAlign w:val="center"/>
            <w:hideMark/>
          </w:tcPr>
          <w:p w14:paraId="42F06E34" w14:textId="77777777" w:rsidR="002955CB" w:rsidRPr="000148A9" w:rsidRDefault="002955CB" w:rsidP="008D108D">
            <w:pPr>
              <w:rPr>
                <w:rFonts w:ascii="Arial" w:hAnsi="Arial" w:cs="Arial"/>
                <w:b/>
              </w:rPr>
            </w:pPr>
          </w:p>
        </w:tc>
        <w:tc>
          <w:tcPr>
            <w:tcW w:w="3793" w:type="pct"/>
            <w:vMerge/>
            <w:tcBorders>
              <w:top w:val="single" w:sz="4" w:space="0" w:color="auto"/>
              <w:left w:val="single" w:sz="4" w:space="0" w:color="auto"/>
              <w:bottom w:val="single" w:sz="4" w:space="0" w:color="auto"/>
              <w:right w:val="single" w:sz="4" w:space="0" w:color="auto"/>
            </w:tcBorders>
            <w:vAlign w:val="center"/>
            <w:hideMark/>
          </w:tcPr>
          <w:p w14:paraId="1CC0A094" w14:textId="77777777" w:rsidR="002955CB" w:rsidRPr="000148A9" w:rsidRDefault="002955CB" w:rsidP="008D108D">
            <w:pPr>
              <w:rPr>
                <w:rFonts w:ascii="Arial" w:hAnsi="Arial" w:cs="Arial"/>
                <w:b/>
              </w:rPr>
            </w:pP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4DCFF85" w14:textId="77777777" w:rsidR="002955CB" w:rsidRPr="000148A9" w:rsidRDefault="002955CB" w:rsidP="008D108D">
            <w:pPr>
              <w:ind w:left="113" w:right="113"/>
              <w:jc w:val="center"/>
              <w:rPr>
                <w:rFonts w:ascii="Arial" w:hAnsi="Arial" w:cs="Arial"/>
                <w:b/>
              </w:rPr>
            </w:pPr>
            <w:r w:rsidRPr="000148A9">
              <w:rPr>
                <w:rFonts w:ascii="Arial" w:hAnsi="Arial" w:cs="Arial"/>
                <w:b/>
              </w:rPr>
              <w:t>Admin</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4D435C2B" w14:textId="77777777" w:rsidR="002955CB" w:rsidRPr="000148A9" w:rsidRDefault="002955CB" w:rsidP="008D108D">
            <w:pPr>
              <w:ind w:left="113" w:right="113"/>
              <w:jc w:val="center"/>
              <w:rPr>
                <w:rFonts w:ascii="Arial" w:hAnsi="Arial" w:cs="Arial"/>
                <w:b/>
              </w:rPr>
            </w:pPr>
            <w:proofErr w:type="spellStart"/>
            <w:r w:rsidRPr="000148A9">
              <w:rPr>
                <w:rFonts w:ascii="Arial" w:hAnsi="Arial" w:cs="Arial"/>
                <w:b/>
              </w:rPr>
              <w:t>CwRS</w:t>
            </w:r>
            <w:proofErr w:type="spellEnd"/>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14:paraId="2C33C912" w14:textId="77777777" w:rsidR="002955CB" w:rsidRPr="000148A9" w:rsidRDefault="002955CB" w:rsidP="008D108D">
            <w:pPr>
              <w:ind w:left="113" w:right="113"/>
              <w:jc w:val="center"/>
              <w:rPr>
                <w:rFonts w:ascii="Arial" w:hAnsi="Arial" w:cs="Arial"/>
                <w:b/>
              </w:rPr>
            </w:pPr>
            <w:r w:rsidRPr="000148A9">
              <w:rPr>
                <w:rFonts w:ascii="Arial" w:hAnsi="Arial" w:cs="Arial"/>
                <w:b/>
              </w:rPr>
              <w:t>OTSC</w:t>
            </w:r>
          </w:p>
        </w:tc>
      </w:tr>
      <w:tr w:rsidR="00E905CF" w:rsidRPr="000148A9" w14:paraId="782F6103" w14:textId="77777777" w:rsidTr="00E905C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8EEAD5" w14:textId="2D6A29B8" w:rsidR="00E905CF" w:rsidRPr="007E16CC" w:rsidRDefault="008403AE" w:rsidP="008403AE">
            <w:pPr>
              <w:spacing w:after="0"/>
              <w:rPr>
                <w:rFonts w:ascii="Arial" w:hAnsi="Arial" w:cs="Arial"/>
                <w:b/>
                <w:bCs/>
              </w:rPr>
            </w:pPr>
            <w:r w:rsidRPr="007E16CC">
              <w:rPr>
                <w:rFonts w:ascii="Arial" w:hAnsi="Arial" w:cs="Arial"/>
                <w:b/>
                <w:bCs/>
              </w:rPr>
              <w:t>SPF</w:t>
            </w:r>
            <w:r w:rsidR="00E905CF" w:rsidRPr="007E16CC">
              <w:rPr>
                <w:rFonts w:ascii="Arial" w:hAnsi="Arial" w:cs="Arial"/>
                <w:b/>
                <w:bCs/>
              </w:rPr>
              <w:t>1C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FD3A08E" w14:textId="1964062F" w:rsidR="00E905CF" w:rsidRPr="008403AE" w:rsidRDefault="008403AE" w:rsidP="008403AE">
            <w:pPr>
              <w:spacing w:after="0"/>
              <w:rPr>
                <w:rFonts w:ascii="Arial" w:hAnsi="Arial" w:cs="Arial"/>
              </w:rPr>
            </w:pPr>
            <w:r w:rsidRPr="008403AE">
              <w:rPr>
                <w:rFonts w:ascii="Arial" w:hAnsi="Arial" w:cs="Arial"/>
              </w:rPr>
              <w:t>All ‘Stock-proof fencing’ must be completed by the end of Year 1.</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C343BF" w14:textId="77777777" w:rsidR="00E905CF" w:rsidRPr="00C43FB6" w:rsidRDefault="00E905CF" w:rsidP="008403AE">
            <w:pPr>
              <w:spacing w:after="0"/>
              <w:jc w:val="center"/>
              <w:rPr>
                <w:rFonts w:ascii="Arial" w:hAnsi="Arial" w:cs="Arial"/>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20AE042" w14:textId="4D69A4B2" w:rsidR="00E905CF" w:rsidRPr="00C43FB6" w:rsidRDefault="008403AE" w:rsidP="008403AE">
            <w:pPr>
              <w:spacing w:after="0"/>
              <w:jc w:val="center"/>
              <w:rPr>
                <w:rFonts w:ascii="Arial" w:hAnsi="Arial" w:cs="Arial"/>
              </w:rPr>
            </w:pPr>
            <w:r w:rsidRPr="00C43FB6">
              <w:rPr>
                <w:rFonts w:ascii="Arial" w:eastAsia="Times" w:hAnsi="Arial" w:cs="Arial"/>
                <w:b/>
                <w:lang w:val="en-US"/>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64A3711" w14:textId="77777777" w:rsidR="00E905CF" w:rsidRPr="00C43FB6" w:rsidRDefault="00E905CF" w:rsidP="008403AE">
            <w:pPr>
              <w:spacing w:after="0"/>
              <w:jc w:val="center"/>
              <w:rPr>
                <w:rFonts w:ascii="Arial" w:hAnsi="Arial" w:cs="Arial"/>
              </w:rPr>
            </w:pPr>
            <w:r w:rsidRPr="00C43FB6">
              <w:rPr>
                <w:rFonts w:ascii="Arial" w:eastAsia="Times" w:hAnsi="Arial" w:cs="Arial"/>
                <w:b/>
                <w:lang w:val="en-US"/>
              </w:rPr>
              <w:sym w:font="Wingdings" w:char="00FC"/>
            </w:r>
          </w:p>
        </w:tc>
      </w:tr>
      <w:tr w:rsidR="00E905CF" w:rsidRPr="000148A9" w14:paraId="0B9C7061" w14:textId="77777777" w:rsidTr="00E905C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A9A820" w14:textId="548BA126" w:rsidR="00E905CF" w:rsidRPr="007E16CC" w:rsidRDefault="008403AE" w:rsidP="004952B4">
            <w:pPr>
              <w:rPr>
                <w:rFonts w:ascii="Arial" w:hAnsi="Arial" w:cs="Arial"/>
                <w:b/>
                <w:bCs/>
              </w:rPr>
            </w:pPr>
            <w:r w:rsidRPr="007E16CC">
              <w:rPr>
                <w:rFonts w:ascii="Arial" w:hAnsi="Arial" w:cs="Arial"/>
                <w:b/>
                <w:bCs/>
              </w:rPr>
              <w:t>SPF</w:t>
            </w:r>
            <w:r w:rsidR="00E905CF" w:rsidRPr="007E16CC">
              <w:rPr>
                <w:rFonts w:ascii="Arial" w:hAnsi="Arial" w:cs="Arial"/>
                <w:b/>
                <w:bCs/>
              </w:rPr>
              <w:t>2C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7D97E8B" w14:textId="77777777" w:rsidR="008403AE" w:rsidRPr="008403AE" w:rsidRDefault="008403AE" w:rsidP="008403AE">
            <w:pPr>
              <w:spacing w:after="0"/>
              <w:rPr>
                <w:rFonts w:ascii="Arial" w:hAnsi="Arial" w:cs="Arial"/>
              </w:rPr>
            </w:pPr>
            <w:r w:rsidRPr="008403AE">
              <w:rPr>
                <w:rFonts w:ascii="Arial" w:hAnsi="Arial" w:cs="Arial"/>
              </w:rPr>
              <w:t>The claimed length of ‘Stock-proof fencing’ must be erected in the</w:t>
            </w:r>
          </w:p>
          <w:p w14:paraId="23A3AD2B" w14:textId="7DD87FA5" w:rsidR="00E905CF" w:rsidRPr="00C43FB6" w:rsidRDefault="008403AE" w:rsidP="008403AE">
            <w:pPr>
              <w:spacing w:after="0"/>
              <w:rPr>
                <w:rFonts w:ascii="Arial" w:hAnsi="Arial" w:cs="Arial"/>
              </w:rPr>
            </w:pPr>
            <w:r w:rsidRPr="008403AE">
              <w:rPr>
                <w:rFonts w:ascii="Arial" w:hAnsi="Arial" w:cs="Arial"/>
              </w:rPr>
              <w:t>correct location in the field(s) where it has been approved</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937006B" w14:textId="77777777" w:rsidR="00E905CF" w:rsidRPr="00C43FB6" w:rsidRDefault="00E905CF" w:rsidP="00E905CF">
            <w:pPr>
              <w:jc w:val="center"/>
              <w:rPr>
                <w:rFonts w:ascii="Arial" w:hAnsi="Arial" w:cs="Arial"/>
                <w:b/>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E17F2BF" w14:textId="4CEDFF05" w:rsidR="00E905CF" w:rsidRPr="00C43FB6" w:rsidRDefault="008403AE" w:rsidP="00E905CF">
            <w:pPr>
              <w:jc w:val="center"/>
              <w:rPr>
                <w:rFonts w:ascii="Arial" w:hAnsi="Arial" w:cs="Arial"/>
              </w:rPr>
            </w:pPr>
            <w:r w:rsidRPr="00C43FB6">
              <w:rPr>
                <w:rFonts w:ascii="Arial" w:eastAsia="Times" w:hAnsi="Arial" w:cs="Arial"/>
                <w:b/>
                <w:lang w:val="en-US"/>
              </w:rPr>
              <w:sym w:font="Wingdings" w:char="00FC"/>
            </w: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7C8561C" w14:textId="77777777" w:rsidR="00E905CF" w:rsidRPr="00C43FB6" w:rsidRDefault="00E905CF" w:rsidP="00E905CF">
            <w:pPr>
              <w:jc w:val="center"/>
              <w:rPr>
                <w:rFonts w:ascii="Arial" w:hAnsi="Arial" w:cs="Arial"/>
                <w:b/>
              </w:rPr>
            </w:pPr>
            <w:r w:rsidRPr="00C43FB6">
              <w:rPr>
                <w:rFonts w:ascii="Arial" w:eastAsia="Times" w:hAnsi="Arial" w:cs="Arial"/>
                <w:b/>
                <w:lang w:val="en-US"/>
              </w:rPr>
              <w:sym w:font="Wingdings" w:char="00FC"/>
            </w:r>
          </w:p>
        </w:tc>
      </w:tr>
      <w:tr w:rsidR="00E905CF" w:rsidRPr="000148A9" w14:paraId="4B48019F" w14:textId="77777777" w:rsidTr="00E905CF">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8FE48D" w14:textId="5CAA5BE3" w:rsidR="00E905CF" w:rsidRPr="007E16CC" w:rsidRDefault="008403AE" w:rsidP="004952B4">
            <w:pPr>
              <w:rPr>
                <w:rFonts w:ascii="Arial" w:hAnsi="Arial" w:cs="Arial"/>
                <w:b/>
                <w:bCs/>
              </w:rPr>
            </w:pPr>
            <w:r w:rsidRPr="007E16CC">
              <w:rPr>
                <w:rFonts w:ascii="Arial" w:hAnsi="Arial" w:cs="Arial"/>
                <w:b/>
                <w:bCs/>
              </w:rPr>
              <w:t>SPF</w:t>
            </w:r>
            <w:r w:rsidR="00E905CF" w:rsidRPr="007E16CC">
              <w:rPr>
                <w:rFonts w:ascii="Arial" w:hAnsi="Arial" w:cs="Arial"/>
                <w:b/>
                <w:bCs/>
              </w:rPr>
              <w:t>3C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C19FAC" w14:textId="77777777" w:rsidR="008403AE" w:rsidRPr="008403AE" w:rsidRDefault="008403AE" w:rsidP="008403AE">
            <w:pPr>
              <w:spacing w:after="0"/>
              <w:rPr>
                <w:rFonts w:ascii="Arial" w:hAnsi="Arial" w:cs="Arial"/>
              </w:rPr>
            </w:pPr>
            <w:r w:rsidRPr="008403AE">
              <w:rPr>
                <w:rFonts w:ascii="Arial" w:hAnsi="Arial" w:cs="Arial"/>
              </w:rPr>
              <w:t xml:space="preserve">The claimed length of ‘Stock-proof fencing’ must be erected </w:t>
            </w:r>
            <w:proofErr w:type="gramStart"/>
            <w:r w:rsidRPr="008403AE">
              <w:rPr>
                <w:rFonts w:ascii="Arial" w:hAnsi="Arial" w:cs="Arial"/>
              </w:rPr>
              <w:t>to</w:t>
            </w:r>
            <w:proofErr w:type="gramEnd"/>
            <w:r w:rsidRPr="008403AE">
              <w:rPr>
                <w:rFonts w:ascii="Arial" w:hAnsi="Arial" w:cs="Arial"/>
              </w:rPr>
              <w:t xml:space="preserve"> the</w:t>
            </w:r>
          </w:p>
          <w:p w14:paraId="2A3FA840" w14:textId="27174222" w:rsidR="00E905CF" w:rsidRDefault="008403AE" w:rsidP="008403AE">
            <w:pPr>
              <w:spacing w:after="0"/>
              <w:rPr>
                <w:rFonts w:ascii="Arial" w:hAnsi="Arial" w:cs="Arial"/>
              </w:rPr>
            </w:pPr>
            <w:r w:rsidRPr="008403AE">
              <w:rPr>
                <w:rFonts w:ascii="Arial" w:hAnsi="Arial" w:cs="Arial"/>
              </w:rPr>
              <w:t>Specification outlined below.</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7266D79" w14:textId="77777777" w:rsidR="00E905CF" w:rsidRPr="00C43FB6" w:rsidRDefault="00E905CF" w:rsidP="00E905CF">
            <w:pPr>
              <w:jc w:val="center"/>
              <w:rPr>
                <w:rFonts w:ascii="Arial" w:eastAsia="Times" w:hAnsi="Arial" w:cs="Arial"/>
                <w:b/>
                <w:lang w:val="en-US"/>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842AD13" w14:textId="77777777" w:rsidR="00E905CF" w:rsidRPr="00C43FB6" w:rsidRDefault="00E905CF" w:rsidP="00E905CF">
            <w:pPr>
              <w:jc w:val="center"/>
              <w:rPr>
                <w:rFonts w:ascii="Arial" w:eastAsia="Times" w:hAnsi="Arial" w:cs="Arial"/>
                <w:b/>
                <w:lang w:val="en-US"/>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0F67DE1" w14:textId="77777777" w:rsidR="00E905CF" w:rsidRPr="00C43FB6" w:rsidRDefault="00E905CF" w:rsidP="00E905CF">
            <w:pPr>
              <w:jc w:val="center"/>
              <w:rPr>
                <w:rFonts w:ascii="Arial" w:eastAsia="Times" w:hAnsi="Arial" w:cs="Arial"/>
                <w:b/>
                <w:lang w:val="en-US"/>
              </w:rPr>
            </w:pPr>
            <w:r w:rsidRPr="00C43FB6">
              <w:rPr>
                <w:rFonts w:ascii="Arial" w:eastAsia="Times" w:hAnsi="Arial" w:cs="Arial"/>
                <w:b/>
                <w:lang w:val="en-US"/>
              </w:rPr>
              <w:sym w:font="Wingdings" w:char="00FC"/>
            </w:r>
          </w:p>
        </w:tc>
      </w:tr>
      <w:tr w:rsidR="00E905CF" w:rsidRPr="000148A9" w14:paraId="3DBF27FD" w14:textId="77777777" w:rsidTr="00932687">
        <w:trPr>
          <w:trHeight w:val="828"/>
        </w:trPr>
        <w:tc>
          <w:tcPr>
            <w:tcW w:w="560" w:type="pc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18B4677" w14:textId="4DB12083" w:rsidR="00E905CF" w:rsidRPr="007E16CC" w:rsidRDefault="007E16CC" w:rsidP="004952B4">
            <w:pPr>
              <w:rPr>
                <w:rFonts w:ascii="Arial" w:hAnsi="Arial" w:cs="Arial"/>
                <w:b/>
                <w:bCs/>
              </w:rPr>
            </w:pPr>
            <w:r w:rsidRPr="007E16CC">
              <w:rPr>
                <w:rFonts w:ascii="Arial" w:hAnsi="Arial" w:cs="Arial"/>
                <w:b/>
                <w:bCs/>
              </w:rPr>
              <w:t>S</w:t>
            </w:r>
            <w:r w:rsidR="00E905CF" w:rsidRPr="007E16CC">
              <w:rPr>
                <w:rFonts w:ascii="Arial" w:hAnsi="Arial" w:cs="Arial"/>
                <w:b/>
                <w:bCs/>
              </w:rPr>
              <w:t>PF5C</w:t>
            </w:r>
          </w:p>
        </w:tc>
        <w:tc>
          <w:tcPr>
            <w:tcW w:w="3793" w:type="pc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71B1F04" w14:textId="285280EE" w:rsidR="00E905CF" w:rsidRPr="0052101B" w:rsidRDefault="00E905CF" w:rsidP="00E905CF">
            <w:pPr>
              <w:rPr>
                <w:rFonts w:ascii="Arial" w:hAnsi="Arial" w:cs="Arial"/>
                <w:color w:val="FF0000"/>
              </w:rPr>
            </w:pPr>
            <w:r>
              <w:rPr>
                <w:rFonts w:ascii="Arial" w:hAnsi="Arial" w:cs="Arial"/>
              </w:rPr>
              <w:t xml:space="preserve">Field records must be kept detailing location, length and date erected for the </w:t>
            </w:r>
            <w:r w:rsidR="00F22632" w:rsidRPr="00F22632">
              <w:rPr>
                <w:rFonts w:ascii="Arial" w:hAnsi="Arial" w:cs="Arial"/>
              </w:rPr>
              <w:t>‘Stock-proof fencing’.</w:t>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81C9DA" w14:textId="77777777" w:rsidR="00E905CF" w:rsidRPr="00C43FB6" w:rsidRDefault="00E905CF" w:rsidP="004952B4">
            <w:pPr>
              <w:jc w:val="center"/>
              <w:rPr>
                <w:rFonts w:ascii="Arial" w:hAnsi="Arial" w:cs="Arial"/>
              </w:rPr>
            </w:pPr>
            <w:r w:rsidRPr="00C43FB6">
              <w:rPr>
                <w:rFonts w:ascii="Arial" w:eastAsia="Times" w:hAnsi="Arial" w:cs="Arial"/>
                <w:b/>
                <w:lang w:val="en-US"/>
              </w:rPr>
              <w:sym w:font="Wingdings" w:char="00FC"/>
            </w:r>
          </w:p>
        </w:tc>
        <w:tc>
          <w:tcPr>
            <w:tcW w:w="23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C296B2B" w14:textId="77777777" w:rsidR="00E905CF" w:rsidRPr="00C43FB6" w:rsidRDefault="00E905CF" w:rsidP="004952B4">
            <w:pPr>
              <w:jc w:val="center"/>
              <w:rPr>
                <w:rFonts w:ascii="Arial" w:hAnsi="Arial" w:cs="Arial"/>
              </w:rPr>
            </w:pPr>
          </w:p>
        </w:tc>
        <w:tc>
          <w:tcPr>
            <w:tcW w:w="18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C01023A" w14:textId="77777777" w:rsidR="00E905CF" w:rsidRPr="00C43FB6" w:rsidRDefault="00E905CF" w:rsidP="004952B4">
            <w:pPr>
              <w:jc w:val="center"/>
              <w:rPr>
                <w:rFonts w:ascii="Arial" w:hAnsi="Arial" w:cs="Arial"/>
                <w:b/>
              </w:rPr>
            </w:pPr>
            <w:r w:rsidRPr="00C43FB6">
              <w:rPr>
                <w:rFonts w:ascii="Arial" w:eastAsia="Times" w:hAnsi="Arial" w:cs="Arial"/>
                <w:b/>
                <w:lang w:val="en-US"/>
              </w:rPr>
              <w:sym w:font="Wingdings" w:char="00FC"/>
            </w:r>
          </w:p>
        </w:tc>
      </w:tr>
    </w:tbl>
    <w:p w14:paraId="696DE23C" w14:textId="77777777" w:rsidR="00CF197B" w:rsidRDefault="00CF197B" w:rsidP="00CF197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possible control types for each requirement may be:</w:t>
      </w:r>
    </w:p>
    <w:p w14:paraId="378D0305" w14:textId="77777777" w:rsidR="00CF197B" w:rsidRDefault="00CF197B" w:rsidP="00CF197B">
      <w:pPr>
        <w:spacing w:after="0" w:line="240" w:lineRule="auto"/>
        <w:rPr>
          <w:rFonts w:ascii="Arial" w:hAnsi="Arial" w:cs="Arial"/>
          <w:sz w:val="18"/>
          <w:szCs w:val="18"/>
        </w:rPr>
      </w:pPr>
      <w:r>
        <w:rPr>
          <w:rFonts w:ascii="Arial" w:hAnsi="Arial" w:cs="Arial"/>
          <w:sz w:val="18"/>
          <w:szCs w:val="18"/>
        </w:rPr>
        <w:t>‘Admin’ – administrative checks, ‘</w:t>
      </w:r>
      <w:proofErr w:type="spellStart"/>
      <w:r>
        <w:rPr>
          <w:rFonts w:ascii="Arial" w:hAnsi="Arial" w:cs="Arial"/>
          <w:sz w:val="18"/>
          <w:szCs w:val="18"/>
        </w:rPr>
        <w:t>CwRS</w:t>
      </w:r>
      <w:proofErr w:type="spellEnd"/>
      <w:r>
        <w:rPr>
          <w:rFonts w:ascii="Arial" w:hAnsi="Arial" w:cs="Arial"/>
          <w:sz w:val="18"/>
          <w:szCs w:val="18"/>
        </w:rPr>
        <w:t>’ – Control with Remote Sensing, ‘OTSC’ – On-the-Spot Check</w:t>
      </w:r>
    </w:p>
    <w:p w14:paraId="37B9ADE2" w14:textId="77777777" w:rsidR="00C16A6B" w:rsidRDefault="00C16A6B" w:rsidP="00924D90">
      <w:pPr>
        <w:autoSpaceDE w:val="0"/>
        <w:autoSpaceDN w:val="0"/>
        <w:adjustRightInd w:val="0"/>
        <w:spacing w:line="240" w:lineRule="auto"/>
        <w:rPr>
          <w:rFonts w:ascii="Arial" w:hAnsi="Arial" w:cs="Arial"/>
        </w:rPr>
      </w:pPr>
    </w:p>
    <w:p w14:paraId="6950937C" w14:textId="673A876D" w:rsidR="00924D90" w:rsidRDefault="00924D90" w:rsidP="00F22632">
      <w:pPr>
        <w:spacing w:after="0" w:line="240" w:lineRule="auto"/>
        <w:rPr>
          <w:rFonts w:ascii="Arial" w:hAnsi="Arial" w:cs="Arial"/>
          <w:b/>
        </w:rPr>
      </w:pPr>
      <w:r w:rsidRPr="00F22632">
        <w:rPr>
          <w:rFonts w:ascii="Arial" w:hAnsi="Arial" w:cs="Arial"/>
          <w:b/>
        </w:rPr>
        <w:t>Specification:</w:t>
      </w:r>
    </w:p>
    <w:p w14:paraId="617E7CF0" w14:textId="77777777" w:rsidR="00F22632" w:rsidRDefault="00F22632" w:rsidP="00F22632">
      <w:pPr>
        <w:spacing w:after="0" w:line="240" w:lineRule="auto"/>
        <w:rPr>
          <w:rFonts w:ascii="Arial" w:hAnsi="Arial" w:cs="Arial"/>
          <w:b/>
        </w:rPr>
      </w:pPr>
    </w:p>
    <w:p w14:paraId="6950AD5D" w14:textId="309EF9B2"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 xml:space="preserve">All remnant fence material must be removed before erecting the ‘Stock- </w:t>
      </w:r>
      <w:proofErr w:type="gramStart"/>
      <w:r w:rsidRPr="00F22632">
        <w:rPr>
          <w:rFonts w:ascii="Arial" w:hAnsi="Arial" w:cs="Arial"/>
          <w:bCs/>
        </w:rPr>
        <w:t>proof</w:t>
      </w:r>
      <w:proofErr w:type="gramEnd"/>
    </w:p>
    <w:p w14:paraId="5717A6F8"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fencing’.</w:t>
      </w:r>
    </w:p>
    <w:p w14:paraId="416D5E4C" w14:textId="23494C1D"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New materials must be used for ‘Stock-proof fencing’.</w:t>
      </w:r>
    </w:p>
    <w:p w14:paraId="1BC75A29" w14:textId="7F86B78C"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The fence must be erected to BS 1722-2:2006.</w:t>
      </w:r>
    </w:p>
    <w:p w14:paraId="49DA947C" w14:textId="22AC3CFD"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 xml:space="preserve">The minimum standard for ‘Stock-proof fencing’ is galvanised woven wire and </w:t>
      </w:r>
      <w:proofErr w:type="gramStart"/>
      <w:r w:rsidRPr="00F22632">
        <w:rPr>
          <w:rFonts w:ascii="Arial" w:hAnsi="Arial" w:cs="Arial"/>
          <w:bCs/>
        </w:rPr>
        <w:t>three</w:t>
      </w:r>
      <w:proofErr w:type="gramEnd"/>
    </w:p>
    <w:p w14:paraId="617F3EB9"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strands line wire or five strands line wire.</w:t>
      </w:r>
    </w:p>
    <w:p w14:paraId="69962BB3" w14:textId="29B4DA34"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 xml:space="preserve">The overall height of the fence must be at least 1.20 m from the ground to the </w:t>
      </w:r>
      <w:proofErr w:type="gramStart"/>
      <w:r w:rsidRPr="00F22632">
        <w:rPr>
          <w:rFonts w:ascii="Arial" w:hAnsi="Arial" w:cs="Arial"/>
          <w:bCs/>
        </w:rPr>
        <w:t>top</w:t>
      </w:r>
      <w:proofErr w:type="gramEnd"/>
    </w:p>
    <w:p w14:paraId="411772D4"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wire.</w:t>
      </w:r>
    </w:p>
    <w:p w14:paraId="3B9D1212" w14:textId="66BBD19C"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 xml:space="preserve">Straining posts must be equivalent in strength and durability to 125 mm top </w:t>
      </w:r>
      <w:proofErr w:type="gramStart"/>
      <w:r w:rsidRPr="00F22632">
        <w:rPr>
          <w:rFonts w:ascii="Arial" w:hAnsi="Arial" w:cs="Arial"/>
          <w:bCs/>
        </w:rPr>
        <w:t>diameter</w:t>
      </w:r>
      <w:proofErr w:type="gramEnd"/>
    </w:p>
    <w:p w14:paraId="13CB1B54"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round timber or 125 mm x 125 mm sawn timbers.</w:t>
      </w:r>
    </w:p>
    <w:p w14:paraId="71E4105F" w14:textId="1E72272C"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Straining posts must be set at centres not exceeding 150 m or at each change in</w:t>
      </w:r>
    </w:p>
    <w:p w14:paraId="555508D1"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direction or gradient.</w:t>
      </w:r>
    </w:p>
    <w:p w14:paraId="3A4020F4" w14:textId="16FBCF8A"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 xml:space="preserve">Struts must be equivalent in strength and durability to 75 mm top diameter </w:t>
      </w:r>
      <w:proofErr w:type="gramStart"/>
      <w:r w:rsidRPr="00F22632">
        <w:rPr>
          <w:rFonts w:ascii="Arial" w:hAnsi="Arial" w:cs="Arial"/>
          <w:bCs/>
        </w:rPr>
        <w:t>round</w:t>
      </w:r>
      <w:proofErr w:type="gramEnd"/>
    </w:p>
    <w:p w14:paraId="493D011D"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timber or 75 mm x 75 mm sawn timber.</w:t>
      </w:r>
    </w:p>
    <w:p w14:paraId="44609285" w14:textId="523B136D"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Struts must be mortised into the straining post.</w:t>
      </w:r>
    </w:p>
    <w:p w14:paraId="47E1E21D" w14:textId="24039965"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 xml:space="preserve">Intermediate posts must be equivalent in strength and durability to 75 mm </w:t>
      </w:r>
      <w:proofErr w:type="gramStart"/>
      <w:r w:rsidRPr="00F22632">
        <w:rPr>
          <w:rFonts w:ascii="Arial" w:hAnsi="Arial" w:cs="Arial"/>
          <w:bCs/>
        </w:rPr>
        <w:t>top</w:t>
      </w:r>
      <w:proofErr w:type="gramEnd"/>
    </w:p>
    <w:p w14:paraId="3FAC5EA8"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 xml:space="preserve">diameter round timber or 75 mm x 75 mm sawn timber and set at centres </w:t>
      </w:r>
      <w:proofErr w:type="gramStart"/>
      <w:r w:rsidRPr="00F22632">
        <w:rPr>
          <w:rFonts w:ascii="Arial" w:hAnsi="Arial" w:cs="Arial"/>
          <w:bCs/>
        </w:rPr>
        <w:t>not</w:t>
      </w:r>
      <w:proofErr w:type="gramEnd"/>
    </w:p>
    <w:p w14:paraId="52B830FE"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exceeding 3.00 m.</w:t>
      </w:r>
    </w:p>
    <w:p w14:paraId="7F3C5191" w14:textId="309BAA2B"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Intermediate wooden posts must be at least 1.83 m long.</w:t>
      </w:r>
    </w:p>
    <w:p w14:paraId="48122AF3" w14:textId="3759E371"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All posts must be free of bark.</w:t>
      </w:r>
    </w:p>
    <w:p w14:paraId="7C068F1B" w14:textId="0EAA2D36"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 xml:space="preserve">Posts must have a potential minimum </w:t>
      </w:r>
      <w:proofErr w:type="gramStart"/>
      <w:r w:rsidRPr="00F22632">
        <w:rPr>
          <w:rFonts w:ascii="Arial" w:hAnsi="Arial" w:cs="Arial"/>
          <w:bCs/>
        </w:rPr>
        <w:t>15 year</w:t>
      </w:r>
      <w:proofErr w:type="gramEnd"/>
      <w:r w:rsidRPr="00F22632">
        <w:rPr>
          <w:rFonts w:ascii="Arial" w:hAnsi="Arial" w:cs="Arial"/>
          <w:bCs/>
        </w:rPr>
        <w:t xml:space="preserve"> life, clearly indicated on</w:t>
      </w:r>
    </w:p>
    <w:p w14:paraId="22ACEF0E"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manufacturer’s literature/invoice or on application of a subsequent treatment again</w:t>
      </w:r>
    </w:p>
    <w:p w14:paraId="5F5BA375"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clearly indicated on manufacturer’s literature/invoice. Where wooden posts have</w:t>
      </w:r>
    </w:p>
    <w:p w14:paraId="599AA242"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lastRenderedPageBreak/>
        <w:t>been treated with a preservative, this must have been applied by the manufacturer.</w:t>
      </w:r>
    </w:p>
    <w:p w14:paraId="1C4FA741" w14:textId="43BE658F"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Use strands of galvanised 4 mm mild plain steel wire or 2.5 mm barbed wire.</w:t>
      </w:r>
    </w:p>
    <w:p w14:paraId="36D023F5" w14:textId="2E7F7563"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The ‘Stock-proof fencing’ must be properly strained and secured to posts with</w:t>
      </w:r>
    </w:p>
    <w:p w14:paraId="6A004272"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galvanised staples or appropriate fastenings (such as galvanised wire or bespoke</w:t>
      </w:r>
    </w:p>
    <w:p w14:paraId="27020474" w14:textId="77777777" w:rsidR="00F22632" w:rsidRPr="00F22632" w:rsidRDefault="00F22632" w:rsidP="00F22632">
      <w:pPr>
        <w:pStyle w:val="ListParagraph"/>
        <w:numPr>
          <w:ilvl w:val="0"/>
          <w:numId w:val="6"/>
        </w:numPr>
        <w:spacing w:after="0"/>
        <w:rPr>
          <w:rFonts w:ascii="Arial" w:hAnsi="Arial" w:cs="Arial"/>
          <w:bCs/>
        </w:rPr>
      </w:pPr>
      <w:r w:rsidRPr="00F22632">
        <w:rPr>
          <w:rFonts w:ascii="Arial" w:hAnsi="Arial" w:cs="Arial"/>
          <w:bCs/>
        </w:rPr>
        <w:t>fasteners).</w:t>
      </w:r>
    </w:p>
    <w:p w14:paraId="006277DC" w14:textId="643DF523" w:rsidR="00924D90" w:rsidRPr="00F22632" w:rsidRDefault="00F22632" w:rsidP="00F22632">
      <w:pPr>
        <w:pStyle w:val="ListParagraph"/>
        <w:numPr>
          <w:ilvl w:val="0"/>
          <w:numId w:val="6"/>
        </w:numPr>
        <w:spacing w:after="0"/>
        <w:rPr>
          <w:rFonts w:ascii="Arial" w:hAnsi="Arial" w:cs="Arial"/>
          <w:b/>
        </w:rPr>
      </w:pPr>
      <w:r w:rsidRPr="00F22632">
        <w:rPr>
          <w:rFonts w:ascii="Arial" w:hAnsi="Arial" w:cs="Arial"/>
          <w:bCs/>
        </w:rPr>
        <w:t xml:space="preserve">‘Stock-proof fencing’ must be erected as detailed in the </w:t>
      </w:r>
      <w:proofErr w:type="spellStart"/>
      <w:r w:rsidRPr="00F22632">
        <w:rPr>
          <w:rFonts w:ascii="Arial" w:hAnsi="Arial" w:cs="Arial"/>
          <w:bCs/>
        </w:rPr>
        <w:t>ssRMP</w:t>
      </w:r>
      <w:proofErr w:type="spellEnd"/>
      <w:r w:rsidRPr="00F22632">
        <w:rPr>
          <w:rFonts w:ascii="Arial" w:hAnsi="Arial" w:cs="Arial"/>
          <w:bCs/>
        </w:rPr>
        <w:t>, for EFS(H) sites.</w:t>
      </w:r>
    </w:p>
    <w:p w14:paraId="44C71B6C" w14:textId="77777777" w:rsidR="00F22632" w:rsidRPr="00186078" w:rsidRDefault="00F22632" w:rsidP="00186078">
      <w:pPr>
        <w:spacing w:after="0" w:line="240" w:lineRule="auto"/>
        <w:rPr>
          <w:rFonts w:ascii="Arial" w:hAnsi="Arial" w:cs="Arial"/>
          <w:b/>
          <w:sz w:val="20"/>
          <w:szCs w:val="20"/>
        </w:rPr>
      </w:pPr>
    </w:p>
    <w:p w14:paraId="68BA6104" w14:textId="77777777" w:rsidR="001E6781" w:rsidRDefault="001E6781" w:rsidP="00924D90">
      <w:pPr>
        <w:spacing w:line="240" w:lineRule="auto"/>
        <w:rPr>
          <w:rFonts w:ascii="Arial" w:hAnsi="Arial" w:cs="Arial"/>
          <w:b/>
        </w:rPr>
      </w:pPr>
    </w:p>
    <w:p w14:paraId="5C9CE054" w14:textId="4244E963" w:rsidR="00924D90" w:rsidRDefault="00924D90" w:rsidP="00924D90">
      <w:pPr>
        <w:spacing w:line="240" w:lineRule="auto"/>
        <w:rPr>
          <w:rFonts w:ascii="Arial" w:hAnsi="Arial" w:cs="Arial"/>
          <w:b/>
        </w:rPr>
      </w:pPr>
      <w:r>
        <w:rPr>
          <w:rFonts w:ascii="Arial" w:hAnsi="Arial" w:cs="Arial"/>
          <w:b/>
        </w:rPr>
        <w:t>Further Advice:</w:t>
      </w:r>
    </w:p>
    <w:p w14:paraId="2793F68D" w14:textId="77777777" w:rsidR="00F22632" w:rsidRPr="00F22632" w:rsidRDefault="00F22632" w:rsidP="00186078">
      <w:pPr>
        <w:autoSpaceDE w:val="0"/>
        <w:autoSpaceDN w:val="0"/>
        <w:spacing w:after="0"/>
        <w:jc w:val="both"/>
        <w:rPr>
          <w:rFonts w:ascii="Arial" w:hAnsi="Arial" w:cs="Arial"/>
        </w:rPr>
      </w:pPr>
      <w:r w:rsidRPr="00F22632">
        <w:rPr>
          <w:rFonts w:ascii="Arial" w:hAnsi="Arial" w:cs="Arial"/>
        </w:rPr>
        <w:t xml:space="preserve">‘Stock-proof fencing’ is already included as an essential capital works item in </w:t>
      </w:r>
      <w:proofErr w:type="gramStart"/>
      <w:r w:rsidRPr="00F22632">
        <w:rPr>
          <w:rFonts w:ascii="Arial" w:hAnsi="Arial" w:cs="Arial"/>
        </w:rPr>
        <w:t>relevant</w:t>
      </w:r>
      <w:proofErr w:type="gramEnd"/>
    </w:p>
    <w:p w14:paraId="72664055" w14:textId="27BD64BD" w:rsidR="00F22632" w:rsidRDefault="00F22632" w:rsidP="00186078">
      <w:pPr>
        <w:autoSpaceDE w:val="0"/>
        <w:autoSpaceDN w:val="0"/>
        <w:spacing w:after="0"/>
        <w:jc w:val="both"/>
        <w:rPr>
          <w:rFonts w:ascii="Arial" w:hAnsi="Arial" w:cs="Arial"/>
        </w:rPr>
      </w:pPr>
      <w:r w:rsidRPr="00F22632">
        <w:rPr>
          <w:rFonts w:ascii="Arial" w:hAnsi="Arial" w:cs="Arial"/>
        </w:rPr>
        <w:t>EFS(W) Options.</w:t>
      </w:r>
    </w:p>
    <w:p w14:paraId="27CE5BF0" w14:textId="77777777" w:rsidR="00F22632" w:rsidRPr="00F22632" w:rsidRDefault="00F22632" w:rsidP="00186078">
      <w:pPr>
        <w:autoSpaceDE w:val="0"/>
        <w:autoSpaceDN w:val="0"/>
        <w:spacing w:after="0" w:line="240" w:lineRule="auto"/>
        <w:jc w:val="both"/>
        <w:rPr>
          <w:rFonts w:ascii="Arial" w:hAnsi="Arial" w:cs="Arial"/>
        </w:rPr>
      </w:pPr>
    </w:p>
    <w:p w14:paraId="57BEF729" w14:textId="77777777" w:rsidR="00F22632" w:rsidRPr="00F22632" w:rsidRDefault="00F22632" w:rsidP="00186078">
      <w:pPr>
        <w:autoSpaceDE w:val="0"/>
        <w:autoSpaceDN w:val="0"/>
        <w:spacing w:after="0"/>
        <w:jc w:val="both"/>
        <w:rPr>
          <w:rFonts w:ascii="Arial" w:hAnsi="Arial" w:cs="Arial"/>
        </w:rPr>
      </w:pPr>
      <w:r w:rsidRPr="00F22632">
        <w:rPr>
          <w:rFonts w:ascii="Arial" w:hAnsi="Arial" w:cs="Arial"/>
        </w:rPr>
        <w:t>If you intend to complete this NPI on a march boundary you should ensure that you have</w:t>
      </w:r>
    </w:p>
    <w:p w14:paraId="541CCA84" w14:textId="77777777" w:rsidR="00F22632" w:rsidRPr="00F22632" w:rsidRDefault="00F22632" w:rsidP="00186078">
      <w:pPr>
        <w:autoSpaceDE w:val="0"/>
        <w:autoSpaceDN w:val="0"/>
        <w:spacing w:after="0"/>
        <w:jc w:val="both"/>
        <w:rPr>
          <w:rFonts w:ascii="Arial" w:hAnsi="Arial" w:cs="Arial"/>
        </w:rPr>
      </w:pPr>
      <w:r w:rsidRPr="00F22632">
        <w:rPr>
          <w:rFonts w:ascii="Arial" w:hAnsi="Arial" w:cs="Arial"/>
        </w:rPr>
        <w:t>fully discussed and agreed that you can carry out the NPI requirements and controls on the</w:t>
      </w:r>
    </w:p>
    <w:p w14:paraId="6F9215FF" w14:textId="32A9BF49" w:rsidR="00F22632" w:rsidRDefault="00F22632" w:rsidP="00186078">
      <w:pPr>
        <w:autoSpaceDE w:val="0"/>
        <w:autoSpaceDN w:val="0"/>
        <w:spacing w:after="0"/>
        <w:jc w:val="both"/>
        <w:rPr>
          <w:rFonts w:ascii="Arial" w:hAnsi="Arial" w:cs="Arial"/>
        </w:rPr>
      </w:pPr>
      <w:r w:rsidRPr="00F22632">
        <w:rPr>
          <w:rFonts w:ascii="Arial" w:hAnsi="Arial" w:cs="Arial"/>
        </w:rPr>
        <w:t>march boundary with the person who has control of the neighbouring land.</w:t>
      </w:r>
    </w:p>
    <w:p w14:paraId="351C16BB" w14:textId="77777777" w:rsidR="00F22632" w:rsidRPr="00F22632" w:rsidRDefault="00F22632" w:rsidP="00186078">
      <w:pPr>
        <w:autoSpaceDE w:val="0"/>
        <w:autoSpaceDN w:val="0"/>
        <w:spacing w:after="0" w:line="240" w:lineRule="auto"/>
        <w:jc w:val="both"/>
        <w:rPr>
          <w:rFonts w:ascii="Arial" w:hAnsi="Arial" w:cs="Arial"/>
        </w:rPr>
      </w:pPr>
    </w:p>
    <w:p w14:paraId="5262D4FE" w14:textId="77777777" w:rsidR="00F22632" w:rsidRPr="00F22632" w:rsidRDefault="00F22632" w:rsidP="00186078">
      <w:pPr>
        <w:autoSpaceDE w:val="0"/>
        <w:autoSpaceDN w:val="0"/>
        <w:spacing w:after="0" w:line="240" w:lineRule="auto"/>
        <w:jc w:val="both"/>
        <w:rPr>
          <w:rFonts w:ascii="Arial" w:hAnsi="Arial" w:cs="Arial"/>
        </w:rPr>
      </w:pPr>
      <w:r w:rsidRPr="00F22632">
        <w:rPr>
          <w:rFonts w:ascii="Arial" w:hAnsi="Arial" w:cs="Arial"/>
        </w:rPr>
        <w:t xml:space="preserve">Straining posts should be at least 2.10 m long when not set in concrete and at least 1.87 </w:t>
      </w:r>
      <w:proofErr w:type="gramStart"/>
      <w:r w:rsidRPr="00F22632">
        <w:rPr>
          <w:rFonts w:ascii="Arial" w:hAnsi="Arial" w:cs="Arial"/>
        </w:rPr>
        <w:t>m</w:t>
      </w:r>
      <w:proofErr w:type="gramEnd"/>
    </w:p>
    <w:p w14:paraId="3491E9C5" w14:textId="11A0DB27" w:rsidR="00F22632" w:rsidRDefault="00F22632" w:rsidP="00186078">
      <w:pPr>
        <w:autoSpaceDE w:val="0"/>
        <w:autoSpaceDN w:val="0"/>
        <w:spacing w:after="0" w:line="240" w:lineRule="auto"/>
        <w:jc w:val="both"/>
        <w:rPr>
          <w:rFonts w:ascii="Arial" w:hAnsi="Arial" w:cs="Arial"/>
        </w:rPr>
      </w:pPr>
      <w:r w:rsidRPr="00F22632">
        <w:rPr>
          <w:rFonts w:ascii="Arial" w:hAnsi="Arial" w:cs="Arial"/>
        </w:rPr>
        <w:t>long when set in concrete.</w:t>
      </w:r>
    </w:p>
    <w:p w14:paraId="63042B20" w14:textId="77777777" w:rsidR="00F22632" w:rsidRPr="00F22632" w:rsidRDefault="00F22632" w:rsidP="00186078">
      <w:pPr>
        <w:autoSpaceDE w:val="0"/>
        <w:autoSpaceDN w:val="0"/>
        <w:spacing w:after="0" w:line="240" w:lineRule="auto"/>
        <w:jc w:val="both"/>
        <w:rPr>
          <w:rFonts w:ascii="Arial" w:hAnsi="Arial" w:cs="Arial"/>
        </w:rPr>
      </w:pPr>
    </w:p>
    <w:p w14:paraId="5CC1E7B5" w14:textId="31F7612A" w:rsidR="00F22632" w:rsidRDefault="00F22632" w:rsidP="00186078">
      <w:pPr>
        <w:autoSpaceDE w:val="0"/>
        <w:autoSpaceDN w:val="0"/>
        <w:spacing w:after="0" w:line="240" w:lineRule="auto"/>
        <w:jc w:val="both"/>
        <w:rPr>
          <w:rFonts w:ascii="Arial" w:hAnsi="Arial" w:cs="Arial"/>
        </w:rPr>
      </w:pPr>
      <w:r w:rsidRPr="00F22632">
        <w:rPr>
          <w:rFonts w:ascii="Arial" w:hAnsi="Arial" w:cs="Arial"/>
        </w:rPr>
        <w:t>Struts should be set at least 450 mm into the ground.</w:t>
      </w:r>
    </w:p>
    <w:p w14:paraId="7A57495E" w14:textId="77777777" w:rsidR="00F22632" w:rsidRPr="00F22632" w:rsidRDefault="00F22632" w:rsidP="00186078">
      <w:pPr>
        <w:autoSpaceDE w:val="0"/>
        <w:autoSpaceDN w:val="0"/>
        <w:spacing w:after="0" w:line="240" w:lineRule="auto"/>
        <w:jc w:val="both"/>
        <w:rPr>
          <w:rFonts w:ascii="Arial" w:hAnsi="Arial" w:cs="Arial"/>
        </w:rPr>
      </w:pPr>
    </w:p>
    <w:p w14:paraId="15E2ECFD" w14:textId="77777777" w:rsidR="00F22632" w:rsidRPr="00F22632" w:rsidRDefault="00F22632" w:rsidP="00186078">
      <w:pPr>
        <w:autoSpaceDE w:val="0"/>
        <w:autoSpaceDN w:val="0"/>
        <w:spacing w:after="0" w:line="240" w:lineRule="auto"/>
        <w:jc w:val="both"/>
        <w:rPr>
          <w:rFonts w:ascii="Arial" w:hAnsi="Arial" w:cs="Arial"/>
        </w:rPr>
      </w:pPr>
      <w:r w:rsidRPr="00F22632">
        <w:rPr>
          <w:rFonts w:ascii="Arial" w:hAnsi="Arial" w:cs="Arial"/>
        </w:rPr>
        <w:t xml:space="preserve">To allow for future adjustments and to prevent damage to the galvanising, staples should </w:t>
      </w:r>
      <w:proofErr w:type="gramStart"/>
      <w:r w:rsidRPr="00F22632">
        <w:rPr>
          <w:rFonts w:ascii="Arial" w:hAnsi="Arial" w:cs="Arial"/>
        </w:rPr>
        <w:t>be</w:t>
      </w:r>
      <w:proofErr w:type="gramEnd"/>
    </w:p>
    <w:p w14:paraId="3DAA5E68" w14:textId="01A6956F" w:rsidR="00F22632" w:rsidRDefault="00F22632" w:rsidP="00186078">
      <w:pPr>
        <w:autoSpaceDE w:val="0"/>
        <w:autoSpaceDN w:val="0"/>
        <w:spacing w:after="0" w:line="240" w:lineRule="auto"/>
        <w:jc w:val="both"/>
        <w:rPr>
          <w:rFonts w:ascii="Arial" w:hAnsi="Arial" w:cs="Arial"/>
        </w:rPr>
      </w:pPr>
      <w:r w:rsidRPr="00F22632">
        <w:rPr>
          <w:rFonts w:ascii="Arial" w:hAnsi="Arial" w:cs="Arial"/>
        </w:rPr>
        <w:t>driven in at an angle, but not fully home.</w:t>
      </w:r>
    </w:p>
    <w:p w14:paraId="6EBF8795" w14:textId="77777777" w:rsidR="00F22632" w:rsidRPr="00F22632" w:rsidRDefault="00F22632" w:rsidP="00186078">
      <w:pPr>
        <w:autoSpaceDE w:val="0"/>
        <w:autoSpaceDN w:val="0"/>
        <w:spacing w:after="0" w:line="240" w:lineRule="auto"/>
        <w:jc w:val="both"/>
        <w:rPr>
          <w:rFonts w:ascii="Arial" w:hAnsi="Arial" w:cs="Arial"/>
        </w:rPr>
      </w:pPr>
    </w:p>
    <w:p w14:paraId="4BF493F9" w14:textId="77777777" w:rsidR="00F22632" w:rsidRPr="00F22632" w:rsidRDefault="00F22632" w:rsidP="00186078">
      <w:pPr>
        <w:autoSpaceDE w:val="0"/>
        <w:autoSpaceDN w:val="0"/>
        <w:spacing w:after="0" w:line="240" w:lineRule="auto"/>
        <w:jc w:val="both"/>
        <w:rPr>
          <w:rFonts w:ascii="Arial" w:hAnsi="Arial" w:cs="Arial"/>
        </w:rPr>
      </w:pPr>
      <w:r w:rsidRPr="00F22632">
        <w:rPr>
          <w:rFonts w:ascii="Arial" w:hAnsi="Arial" w:cs="Arial"/>
        </w:rPr>
        <w:t xml:space="preserve">Approval should be sought from DFI </w:t>
      </w:r>
      <w:proofErr w:type="spellStart"/>
      <w:r w:rsidRPr="00F22632">
        <w:rPr>
          <w:rFonts w:ascii="Arial" w:hAnsi="Arial" w:cs="Arial"/>
        </w:rPr>
        <w:t>TransportNI</w:t>
      </w:r>
      <w:proofErr w:type="spellEnd"/>
      <w:r w:rsidRPr="00F22632">
        <w:rPr>
          <w:rFonts w:ascii="Arial" w:hAnsi="Arial" w:cs="Arial"/>
        </w:rPr>
        <w:t xml:space="preserve"> before new ‘Stock-proof fencing’ is </w:t>
      </w:r>
      <w:proofErr w:type="gramStart"/>
      <w:r w:rsidRPr="00F22632">
        <w:rPr>
          <w:rFonts w:ascii="Arial" w:hAnsi="Arial" w:cs="Arial"/>
        </w:rPr>
        <w:t>erected</w:t>
      </w:r>
      <w:proofErr w:type="gramEnd"/>
    </w:p>
    <w:p w14:paraId="00DD8948" w14:textId="44C14B2D" w:rsidR="00F22632" w:rsidRDefault="00F22632" w:rsidP="00186078">
      <w:pPr>
        <w:autoSpaceDE w:val="0"/>
        <w:autoSpaceDN w:val="0"/>
        <w:spacing w:after="0" w:line="240" w:lineRule="auto"/>
        <w:jc w:val="both"/>
        <w:rPr>
          <w:rFonts w:ascii="Arial" w:hAnsi="Arial" w:cs="Arial"/>
        </w:rPr>
      </w:pPr>
      <w:r w:rsidRPr="00F22632">
        <w:rPr>
          <w:rFonts w:ascii="Arial" w:hAnsi="Arial" w:cs="Arial"/>
        </w:rPr>
        <w:t>along a roadway.</w:t>
      </w:r>
    </w:p>
    <w:p w14:paraId="466DDFE1" w14:textId="77777777" w:rsidR="00F22632" w:rsidRPr="00F22632" w:rsidRDefault="00F22632" w:rsidP="00186078">
      <w:pPr>
        <w:autoSpaceDE w:val="0"/>
        <w:autoSpaceDN w:val="0"/>
        <w:spacing w:after="0" w:line="240" w:lineRule="auto"/>
        <w:jc w:val="both"/>
        <w:rPr>
          <w:rFonts w:ascii="Arial" w:hAnsi="Arial" w:cs="Arial"/>
        </w:rPr>
      </w:pPr>
    </w:p>
    <w:p w14:paraId="4DE8501E" w14:textId="77777777" w:rsidR="00F22632" w:rsidRPr="00F22632" w:rsidRDefault="00F22632" w:rsidP="00186078">
      <w:pPr>
        <w:autoSpaceDE w:val="0"/>
        <w:autoSpaceDN w:val="0"/>
        <w:spacing w:after="0" w:line="240" w:lineRule="auto"/>
        <w:jc w:val="both"/>
        <w:rPr>
          <w:rFonts w:ascii="Arial" w:hAnsi="Arial" w:cs="Arial"/>
        </w:rPr>
      </w:pPr>
      <w:r w:rsidRPr="00F22632">
        <w:rPr>
          <w:rFonts w:ascii="Arial" w:hAnsi="Arial" w:cs="Arial"/>
        </w:rPr>
        <w:t xml:space="preserve">Do not attach the ‘Stock-proof fencing’ to trees, hedgerows or electricity poles and do </w:t>
      </w:r>
      <w:proofErr w:type="gramStart"/>
      <w:r w:rsidRPr="00F22632">
        <w:rPr>
          <w:rFonts w:ascii="Arial" w:hAnsi="Arial" w:cs="Arial"/>
        </w:rPr>
        <w:t>not</w:t>
      </w:r>
      <w:proofErr w:type="gramEnd"/>
    </w:p>
    <w:p w14:paraId="64567B3E" w14:textId="00328F1D" w:rsidR="00F22632" w:rsidRDefault="00F22632" w:rsidP="00186078">
      <w:pPr>
        <w:autoSpaceDE w:val="0"/>
        <w:autoSpaceDN w:val="0"/>
        <w:spacing w:after="0" w:line="240" w:lineRule="auto"/>
        <w:jc w:val="both"/>
        <w:rPr>
          <w:rFonts w:ascii="Arial" w:hAnsi="Arial" w:cs="Arial"/>
        </w:rPr>
      </w:pPr>
      <w:r w:rsidRPr="00F22632">
        <w:rPr>
          <w:rFonts w:ascii="Arial" w:hAnsi="Arial" w:cs="Arial"/>
        </w:rPr>
        <w:t>block or restrict rights of way.</w:t>
      </w:r>
    </w:p>
    <w:p w14:paraId="2EA8ECE1" w14:textId="77777777" w:rsidR="00F22632" w:rsidRPr="00F22632" w:rsidRDefault="00F22632" w:rsidP="00F22632">
      <w:pPr>
        <w:autoSpaceDE w:val="0"/>
        <w:autoSpaceDN w:val="0"/>
        <w:spacing w:after="0" w:line="240" w:lineRule="auto"/>
        <w:rPr>
          <w:rFonts w:ascii="Arial" w:hAnsi="Arial" w:cs="Arial"/>
        </w:rPr>
      </w:pPr>
    </w:p>
    <w:p w14:paraId="14A8C23B" w14:textId="77777777" w:rsidR="001E6781" w:rsidRDefault="001E6781" w:rsidP="00F22632">
      <w:pPr>
        <w:autoSpaceDE w:val="0"/>
        <w:autoSpaceDN w:val="0"/>
        <w:spacing w:after="0" w:line="240" w:lineRule="auto"/>
        <w:rPr>
          <w:rFonts w:ascii="Arial" w:hAnsi="Arial" w:cs="Arial"/>
          <w:b/>
          <w:bCs/>
        </w:rPr>
      </w:pPr>
    </w:p>
    <w:p w14:paraId="64C2F7DA" w14:textId="3B53B08C" w:rsidR="00F22632" w:rsidRPr="00F22632" w:rsidRDefault="00F22632" w:rsidP="00F22632">
      <w:pPr>
        <w:autoSpaceDE w:val="0"/>
        <w:autoSpaceDN w:val="0"/>
        <w:spacing w:after="0" w:line="240" w:lineRule="auto"/>
        <w:rPr>
          <w:rFonts w:ascii="Arial" w:hAnsi="Arial" w:cs="Arial"/>
          <w:b/>
          <w:bCs/>
        </w:rPr>
      </w:pPr>
      <w:r w:rsidRPr="00F22632">
        <w:rPr>
          <w:rFonts w:ascii="Arial" w:hAnsi="Arial" w:cs="Arial"/>
          <w:b/>
          <w:bCs/>
        </w:rPr>
        <w:t>Health and Safety</w:t>
      </w:r>
    </w:p>
    <w:p w14:paraId="5076F213" w14:textId="77777777" w:rsidR="00F22632" w:rsidRPr="00F22632" w:rsidRDefault="00F22632" w:rsidP="00F22632">
      <w:pPr>
        <w:autoSpaceDE w:val="0"/>
        <w:autoSpaceDN w:val="0"/>
        <w:spacing w:after="0" w:line="240" w:lineRule="auto"/>
        <w:rPr>
          <w:rFonts w:ascii="Arial" w:hAnsi="Arial" w:cs="Arial"/>
          <w:sz w:val="12"/>
        </w:rPr>
      </w:pPr>
    </w:p>
    <w:p w14:paraId="26AB497A" w14:textId="77777777" w:rsidR="00F22632" w:rsidRPr="00F22632" w:rsidRDefault="00F22632" w:rsidP="00186078">
      <w:pPr>
        <w:autoSpaceDE w:val="0"/>
        <w:autoSpaceDN w:val="0"/>
        <w:spacing w:after="0"/>
        <w:jc w:val="both"/>
        <w:rPr>
          <w:rFonts w:ascii="Arial" w:hAnsi="Arial" w:cs="Arial"/>
        </w:rPr>
      </w:pPr>
      <w:r w:rsidRPr="00F22632">
        <w:rPr>
          <w:rFonts w:ascii="Arial" w:hAnsi="Arial" w:cs="Arial"/>
        </w:rPr>
        <w:t>Due to the carcinogenic properties of creosote, it is only authorised for industrial and</w:t>
      </w:r>
    </w:p>
    <w:p w14:paraId="142E9AA6" w14:textId="77777777" w:rsidR="00F22632" w:rsidRPr="00F22632" w:rsidRDefault="00F22632" w:rsidP="00186078">
      <w:pPr>
        <w:autoSpaceDE w:val="0"/>
        <w:autoSpaceDN w:val="0"/>
        <w:spacing w:after="0"/>
        <w:jc w:val="both"/>
        <w:rPr>
          <w:rFonts w:ascii="Arial" w:hAnsi="Arial" w:cs="Arial"/>
        </w:rPr>
      </w:pPr>
      <w:r w:rsidRPr="00F22632">
        <w:rPr>
          <w:rFonts w:ascii="Arial" w:hAnsi="Arial" w:cs="Arial"/>
        </w:rPr>
        <w:t xml:space="preserve">professional use where adequate risk mitigation measures can be taken. It was </w:t>
      </w:r>
      <w:proofErr w:type="gramStart"/>
      <w:r w:rsidRPr="00F22632">
        <w:rPr>
          <w:rFonts w:ascii="Arial" w:hAnsi="Arial" w:cs="Arial"/>
        </w:rPr>
        <w:t>withdrawn</w:t>
      </w:r>
      <w:proofErr w:type="gramEnd"/>
    </w:p>
    <w:p w14:paraId="640524F1" w14:textId="5128BF6D" w:rsidR="008259A7" w:rsidRDefault="00F22632" w:rsidP="00186078">
      <w:pPr>
        <w:autoSpaceDE w:val="0"/>
        <w:autoSpaceDN w:val="0"/>
        <w:spacing w:after="0"/>
        <w:jc w:val="both"/>
        <w:rPr>
          <w:rFonts w:ascii="Arial" w:hAnsi="Arial" w:cs="Arial"/>
        </w:rPr>
      </w:pPr>
      <w:r w:rsidRPr="00F22632">
        <w:rPr>
          <w:rFonts w:ascii="Arial" w:hAnsi="Arial" w:cs="Arial"/>
        </w:rPr>
        <w:t>from public use in 2003.</w:t>
      </w:r>
    </w:p>
    <w:p w14:paraId="2344A4CC" w14:textId="1B72E4AD" w:rsidR="001E6781" w:rsidRDefault="001E6781" w:rsidP="00186078">
      <w:pPr>
        <w:autoSpaceDE w:val="0"/>
        <w:autoSpaceDN w:val="0"/>
        <w:spacing w:after="0"/>
        <w:jc w:val="both"/>
        <w:rPr>
          <w:rFonts w:ascii="Arial" w:hAnsi="Arial" w:cs="Arial"/>
        </w:rPr>
      </w:pPr>
    </w:p>
    <w:p w14:paraId="699F8D0F" w14:textId="56F7E187" w:rsidR="00F22632" w:rsidRPr="00F22632" w:rsidRDefault="00F22632" w:rsidP="00F22632">
      <w:pPr>
        <w:autoSpaceDE w:val="0"/>
        <w:autoSpaceDN w:val="0"/>
        <w:spacing w:after="0" w:line="240" w:lineRule="auto"/>
        <w:rPr>
          <w:rFonts w:ascii="Arial" w:hAnsi="Arial" w:cs="Arial"/>
          <w:bCs/>
        </w:rPr>
      </w:pPr>
      <w:r w:rsidRPr="00F22632">
        <w:rPr>
          <w:rFonts w:ascii="Arial" w:hAnsi="Arial" w:cs="Arial"/>
          <w:bCs/>
        </w:rPr>
        <w:t>If using creosote treated posts request and read the product data sheet from the supplier</w:t>
      </w:r>
    </w:p>
    <w:p w14:paraId="28F37728" w14:textId="77777777" w:rsidR="00F22632" w:rsidRPr="00F22632" w:rsidRDefault="00F22632" w:rsidP="00F22632">
      <w:pPr>
        <w:autoSpaceDE w:val="0"/>
        <w:autoSpaceDN w:val="0"/>
        <w:spacing w:after="0" w:line="240" w:lineRule="auto"/>
        <w:rPr>
          <w:rFonts w:ascii="Arial" w:hAnsi="Arial" w:cs="Arial"/>
          <w:bCs/>
        </w:rPr>
      </w:pPr>
      <w:r w:rsidRPr="00F22632">
        <w:rPr>
          <w:rFonts w:ascii="Arial" w:hAnsi="Arial" w:cs="Arial"/>
          <w:bCs/>
        </w:rPr>
        <w:t>and comply fully with any health and safety precautions listed. DAERA recommends at a</w:t>
      </w:r>
    </w:p>
    <w:p w14:paraId="1F2EF2EE" w14:textId="1E9B6E62" w:rsidR="00F22632" w:rsidRDefault="00F22632" w:rsidP="00F22632">
      <w:pPr>
        <w:autoSpaceDE w:val="0"/>
        <w:autoSpaceDN w:val="0"/>
        <w:spacing w:after="0" w:line="240" w:lineRule="auto"/>
        <w:rPr>
          <w:rFonts w:ascii="Arial" w:hAnsi="Arial" w:cs="Arial"/>
          <w:bCs/>
        </w:rPr>
      </w:pPr>
      <w:r w:rsidRPr="00F22632">
        <w:rPr>
          <w:rFonts w:ascii="Arial" w:hAnsi="Arial" w:cs="Arial"/>
          <w:bCs/>
        </w:rPr>
        <w:t>minimum that the following precautions should be taken:</w:t>
      </w:r>
    </w:p>
    <w:p w14:paraId="4BE66FC8" w14:textId="77777777" w:rsidR="00186078" w:rsidRPr="00F22632" w:rsidRDefault="00186078" w:rsidP="00F22632">
      <w:pPr>
        <w:autoSpaceDE w:val="0"/>
        <w:autoSpaceDN w:val="0"/>
        <w:spacing w:after="0" w:line="240" w:lineRule="auto"/>
        <w:rPr>
          <w:rFonts w:ascii="Arial" w:hAnsi="Arial" w:cs="Arial"/>
          <w:bCs/>
        </w:rPr>
      </w:pPr>
    </w:p>
    <w:p w14:paraId="672A4D2E" w14:textId="5CB79672" w:rsidR="00F22632" w:rsidRPr="00186078" w:rsidRDefault="00F22632" w:rsidP="00186078">
      <w:pPr>
        <w:pStyle w:val="ListParagraph"/>
        <w:numPr>
          <w:ilvl w:val="0"/>
          <w:numId w:val="7"/>
        </w:numPr>
        <w:autoSpaceDE w:val="0"/>
        <w:autoSpaceDN w:val="0"/>
        <w:spacing w:after="0"/>
        <w:rPr>
          <w:rFonts w:ascii="Arial" w:hAnsi="Arial" w:cs="Arial"/>
          <w:bCs/>
        </w:rPr>
      </w:pPr>
      <w:r w:rsidRPr="00186078">
        <w:rPr>
          <w:rFonts w:ascii="Arial" w:hAnsi="Arial" w:cs="Arial"/>
          <w:bCs/>
        </w:rPr>
        <w:t>Avoid direct contact with skin.</w:t>
      </w:r>
    </w:p>
    <w:p w14:paraId="5CDFCACE" w14:textId="2A18FCD5" w:rsidR="00F22632" w:rsidRPr="00186078" w:rsidRDefault="00F22632" w:rsidP="00186078">
      <w:pPr>
        <w:pStyle w:val="ListParagraph"/>
        <w:numPr>
          <w:ilvl w:val="0"/>
          <w:numId w:val="7"/>
        </w:numPr>
        <w:autoSpaceDE w:val="0"/>
        <w:autoSpaceDN w:val="0"/>
        <w:spacing w:after="0"/>
        <w:rPr>
          <w:rFonts w:ascii="Arial" w:hAnsi="Arial" w:cs="Arial"/>
          <w:bCs/>
        </w:rPr>
      </w:pPr>
      <w:r w:rsidRPr="00186078">
        <w:rPr>
          <w:rFonts w:ascii="Arial" w:hAnsi="Arial" w:cs="Arial"/>
          <w:bCs/>
        </w:rPr>
        <w:t>Handle with impervious gloves.</w:t>
      </w:r>
    </w:p>
    <w:p w14:paraId="10742CA9" w14:textId="22A56A00" w:rsidR="00F22632" w:rsidRPr="00186078" w:rsidRDefault="00F22632" w:rsidP="00186078">
      <w:pPr>
        <w:pStyle w:val="ListParagraph"/>
        <w:numPr>
          <w:ilvl w:val="0"/>
          <w:numId w:val="7"/>
        </w:numPr>
        <w:autoSpaceDE w:val="0"/>
        <w:autoSpaceDN w:val="0"/>
        <w:spacing w:after="0"/>
        <w:rPr>
          <w:rFonts w:ascii="Arial" w:hAnsi="Arial" w:cs="Arial"/>
          <w:bCs/>
        </w:rPr>
      </w:pPr>
      <w:r w:rsidRPr="00186078">
        <w:rPr>
          <w:rFonts w:ascii="Arial" w:hAnsi="Arial" w:cs="Arial"/>
          <w:bCs/>
        </w:rPr>
        <w:t>Wear a dust mask and eye protection when sawing or machining.</w:t>
      </w:r>
    </w:p>
    <w:p w14:paraId="53E2117B" w14:textId="3EF9A6BF" w:rsidR="00F22632" w:rsidRPr="00186078" w:rsidRDefault="00F22632" w:rsidP="00186078">
      <w:pPr>
        <w:pStyle w:val="ListParagraph"/>
        <w:numPr>
          <w:ilvl w:val="0"/>
          <w:numId w:val="7"/>
        </w:numPr>
        <w:autoSpaceDE w:val="0"/>
        <w:autoSpaceDN w:val="0"/>
        <w:spacing w:after="0"/>
        <w:rPr>
          <w:rFonts w:ascii="Arial" w:hAnsi="Arial" w:cs="Arial"/>
          <w:bCs/>
        </w:rPr>
      </w:pPr>
      <w:r w:rsidRPr="00186078">
        <w:rPr>
          <w:rFonts w:ascii="Arial" w:hAnsi="Arial" w:cs="Arial"/>
          <w:bCs/>
        </w:rPr>
        <w:t>Dispose of off-cuts, sawdust etc safely.</w:t>
      </w:r>
    </w:p>
    <w:p w14:paraId="22C57D78" w14:textId="3A5228E7" w:rsidR="00F22632" w:rsidRPr="00186078" w:rsidRDefault="00F22632" w:rsidP="00186078">
      <w:pPr>
        <w:pStyle w:val="ListParagraph"/>
        <w:numPr>
          <w:ilvl w:val="0"/>
          <w:numId w:val="7"/>
        </w:numPr>
        <w:autoSpaceDE w:val="0"/>
        <w:autoSpaceDN w:val="0"/>
        <w:spacing w:after="0"/>
        <w:rPr>
          <w:rFonts w:ascii="Arial" w:hAnsi="Arial" w:cs="Arial"/>
          <w:bCs/>
        </w:rPr>
      </w:pPr>
      <w:r w:rsidRPr="00186078">
        <w:rPr>
          <w:rFonts w:ascii="Arial" w:hAnsi="Arial" w:cs="Arial"/>
          <w:bCs/>
        </w:rPr>
        <w:t>Waste wood may be disposed of by burning subject to any local rules on burning in</w:t>
      </w:r>
    </w:p>
    <w:p w14:paraId="0D6B19A5" w14:textId="77777777" w:rsidR="00F22632" w:rsidRPr="00186078" w:rsidRDefault="00F22632" w:rsidP="00186078">
      <w:pPr>
        <w:pStyle w:val="ListParagraph"/>
        <w:numPr>
          <w:ilvl w:val="0"/>
          <w:numId w:val="7"/>
        </w:numPr>
        <w:autoSpaceDE w:val="0"/>
        <w:autoSpaceDN w:val="0"/>
        <w:spacing w:after="0"/>
        <w:rPr>
          <w:rFonts w:ascii="Arial" w:hAnsi="Arial" w:cs="Arial"/>
          <w:bCs/>
        </w:rPr>
      </w:pPr>
      <w:r w:rsidRPr="00186078">
        <w:rPr>
          <w:rFonts w:ascii="Arial" w:hAnsi="Arial" w:cs="Arial"/>
          <w:bCs/>
        </w:rPr>
        <w:t>the open or via your local waste disposal facility.</w:t>
      </w:r>
    </w:p>
    <w:p w14:paraId="4AE46CB6" w14:textId="5656B8CD" w:rsidR="00F22632" w:rsidRPr="001E6781" w:rsidRDefault="00F22632" w:rsidP="00643D88">
      <w:pPr>
        <w:pStyle w:val="ListParagraph"/>
        <w:numPr>
          <w:ilvl w:val="0"/>
          <w:numId w:val="7"/>
        </w:numPr>
        <w:autoSpaceDE w:val="0"/>
        <w:autoSpaceDN w:val="0"/>
        <w:spacing w:after="0"/>
        <w:rPr>
          <w:rFonts w:ascii="Arial" w:hAnsi="Arial" w:cs="Arial"/>
          <w:bCs/>
        </w:rPr>
      </w:pPr>
      <w:r w:rsidRPr="001E6781">
        <w:rPr>
          <w:rFonts w:ascii="Arial" w:hAnsi="Arial" w:cs="Arial"/>
          <w:bCs/>
        </w:rPr>
        <w:lastRenderedPageBreak/>
        <w:t>Creosoted timber should not be used where there is risk of frequent (</w:t>
      </w:r>
      <w:r w:rsidR="00186078" w:rsidRPr="001E6781">
        <w:rPr>
          <w:rFonts w:ascii="Arial" w:hAnsi="Arial" w:cs="Arial"/>
          <w:bCs/>
        </w:rPr>
        <w:t>i.e.,</w:t>
      </w:r>
      <w:r w:rsidRPr="001E6781">
        <w:rPr>
          <w:rFonts w:ascii="Arial" w:hAnsi="Arial" w:cs="Arial"/>
          <w:bCs/>
        </w:rPr>
        <w:t xml:space="preserve"> often</w:t>
      </w:r>
      <w:r w:rsidR="00186078" w:rsidRPr="001E6781">
        <w:rPr>
          <w:rFonts w:ascii="Arial" w:hAnsi="Arial" w:cs="Arial"/>
          <w:bCs/>
        </w:rPr>
        <w:t xml:space="preserve"> </w:t>
      </w:r>
      <w:r w:rsidRPr="001E6781">
        <w:rPr>
          <w:rFonts w:ascii="Arial" w:hAnsi="Arial" w:cs="Arial"/>
          <w:bCs/>
        </w:rPr>
        <w:t xml:space="preserve">occurring, habitual or constant) skin contact nor where it may </w:t>
      </w:r>
      <w:proofErr w:type="gramStart"/>
      <w:r w:rsidRPr="001E6781">
        <w:rPr>
          <w:rFonts w:ascii="Arial" w:hAnsi="Arial" w:cs="Arial"/>
          <w:bCs/>
        </w:rPr>
        <w:t>come into contact with</w:t>
      </w:r>
      <w:proofErr w:type="gramEnd"/>
      <w:r w:rsidR="001E6781" w:rsidRPr="001E6781">
        <w:rPr>
          <w:rFonts w:ascii="Arial" w:hAnsi="Arial" w:cs="Arial"/>
          <w:bCs/>
        </w:rPr>
        <w:t xml:space="preserve"> </w:t>
      </w:r>
      <w:r w:rsidRPr="001E6781">
        <w:rPr>
          <w:rFonts w:ascii="Arial" w:hAnsi="Arial" w:cs="Arial"/>
          <w:bCs/>
        </w:rPr>
        <w:t>or contaminate animal or human foodstuff.</w:t>
      </w:r>
    </w:p>
    <w:p w14:paraId="17262631" w14:textId="0BAC1151" w:rsidR="00F22632" w:rsidRDefault="00F22632" w:rsidP="00186078">
      <w:pPr>
        <w:autoSpaceDE w:val="0"/>
        <w:autoSpaceDN w:val="0"/>
        <w:spacing w:after="0"/>
        <w:rPr>
          <w:rFonts w:ascii="Arial" w:hAnsi="Arial" w:cs="Arial"/>
          <w:bCs/>
        </w:rPr>
      </w:pPr>
      <w:r w:rsidRPr="00F22632">
        <w:rPr>
          <w:rFonts w:ascii="Arial" w:hAnsi="Arial" w:cs="Arial"/>
          <w:bCs/>
        </w:rPr>
        <w:t xml:space="preserve">Further information is available at: </w:t>
      </w:r>
      <w:hyperlink r:id="rId8" w:history="1">
        <w:r w:rsidR="00186078" w:rsidRPr="00B431F9">
          <w:rPr>
            <w:rStyle w:val="Hyperlink"/>
            <w:rFonts w:ascii="Arial" w:hAnsi="Arial" w:cs="Arial"/>
            <w:bCs/>
          </w:rPr>
          <w:t>http://www.hse.gov.uk/biocides/copr/creosote.htm</w:t>
        </w:r>
      </w:hyperlink>
    </w:p>
    <w:p w14:paraId="3F9E955B" w14:textId="77777777" w:rsidR="00186078" w:rsidRDefault="00186078" w:rsidP="00186078">
      <w:pPr>
        <w:autoSpaceDE w:val="0"/>
        <w:autoSpaceDN w:val="0"/>
        <w:spacing w:after="0" w:line="240" w:lineRule="auto"/>
        <w:rPr>
          <w:rFonts w:ascii="Arial" w:hAnsi="Arial" w:cs="Arial"/>
          <w:b/>
        </w:rPr>
      </w:pPr>
    </w:p>
    <w:p w14:paraId="156F6A15" w14:textId="77777777" w:rsidR="00186078" w:rsidRDefault="00186078" w:rsidP="00186078">
      <w:pPr>
        <w:autoSpaceDE w:val="0"/>
        <w:autoSpaceDN w:val="0"/>
        <w:spacing w:after="0" w:line="240" w:lineRule="auto"/>
        <w:rPr>
          <w:rFonts w:ascii="Arial" w:hAnsi="Arial" w:cs="Arial"/>
          <w:b/>
        </w:rPr>
      </w:pPr>
    </w:p>
    <w:p w14:paraId="7BAC49C1" w14:textId="41D4A29E" w:rsidR="00186078" w:rsidRDefault="00186078" w:rsidP="00186078">
      <w:pPr>
        <w:autoSpaceDE w:val="0"/>
        <w:autoSpaceDN w:val="0"/>
        <w:spacing w:after="0" w:line="240" w:lineRule="auto"/>
        <w:rPr>
          <w:rFonts w:ascii="Arial" w:hAnsi="Arial" w:cs="Arial"/>
          <w:b/>
        </w:rPr>
      </w:pPr>
      <w:r w:rsidRPr="00186078">
        <w:rPr>
          <w:rFonts w:ascii="Arial" w:hAnsi="Arial" w:cs="Arial"/>
          <w:b/>
        </w:rPr>
        <w:t>Environmental</w:t>
      </w:r>
    </w:p>
    <w:p w14:paraId="1642B468" w14:textId="77777777" w:rsidR="00186078" w:rsidRPr="00186078" w:rsidRDefault="00186078" w:rsidP="00186078">
      <w:pPr>
        <w:autoSpaceDE w:val="0"/>
        <w:autoSpaceDN w:val="0"/>
        <w:spacing w:after="0" w:line="240" w:lineRule="auto"/>
        <w:rPr>
          <w:rFonts w:ascii="Arial" w:hAnsi="Arial" w:cs="Arial"/>
          <w:b/>
        </w:rPr>
      </w:pPr>
    </w:p>
    <w:p w14:paraId="1B965E96" w14:textId="77777777" w:rsidR="00186078" w:rsidRPr="00186078" w:rsidRDefault="00186078" w:rsidP="00186078">
      <w:pPr>
        <w:autoSpaceDE w:val="0"/>
        <w:autoSpaceDN w:val="0"/>
        <w:spacing w:after="0"/>
        <w:jc w:val="both"/>
        <w:rPr>
          <w:rFonts w:ascii="Arial" w:hAnsi="Arial" w:cs="Arial"/>
          <w:bCs/>
        </w:rPr>
      </w:pPr>
      <w:r w:rsidRPr="00186078">
        <w:rPr>
          <w:rFonts w:ascii="Arial" w:hAnsi="Arial" w:cs="Arial"/>
          <w:bCs/>
        </w:rPr>
        <w:t>There are also significant environmental risks when wood treated with creosote comes into</w:t>
      </w:r>
    </w:p>
    <w:p w14:paraId="004AC9AE" w14:textId="2CB8ABAD" w:rsidR="00186078" w:rsidRPr="00186078" w:rsidRDefault="00186078" w:rsidP="00186078">
      <w:pPr>
        <w:autoSpaceDE w:val="0"/>
        <w:autoSpaceDN w:val="0"/>
        <w:spacing w:after="0"/>
        <w:jc w:val="both"/>
        <w:rPr>
          <w:rFonts w:ascii="Arial" w:hAnsi="Arial" w:cs="Arial"/>
          <w:bCs/>
        </w:rPr>
      </w:pPr>
      <w:r w:rsidRPr="00186078">
        <w:rPr>
          <w:rFonts w:ascii="Arial" w:hAnsi="Arial" w:cs="Arial"/>
          <w:bCs/>
        </w:rPr>
        <w:t>contact with soil or water. Therefore, creosote should be applied to posts by the</w:t>
      </w:r>
      <w:r>
        <w:rPr>
          <w:rFonts w:ascii="Arial" w:hAnsi="Arial" w:cs="Arial"/>
          <w:bCs/>
        </w:rPr>
        <w:t xml:space="preserve"> </w:t>
      </w:r>
      <w:r w:rsidRPr="00186078">
        <w:rPr>
          <w:rFonts w:ascii="Arial" w:hAnsi="Arial" w:cs="Arial"/>
          <w:bCs/>
        </w:rPr>
        <w:t xml:space="preserve">manufacturer and fully dried / cured before use, to minimise the risk of soil and </w:t>
      </w:r>
      <w:proofErr w:type="gramStart"/>
      <w:r w:rsidRPr="00186078">
        <w:rPr>
          <w:rFonts w:ascii="Arial" w:hAnsi="Arial" w:cs="Arial"/>
          <w:bCs/>
        </w:rPr>
        <w:t>water</w:t>
      </w:r>
      <w:proofErr w:type="gramEnd"/>
    </w:p>
    <w:p w14:paraId="5027D161" w14:textId="439ED32E" w:rsidR="00186078" w:rsidRDefault="00186078" w:rsidP="00186078">
      <w:pPr>
        <w:autoSpaceDE w:val="0"/>
        <w:autoSpaceDN w:val="0"/>
        <w:spacing w:after="0"/>
        <w:jc w:val="both"/>
        <w:rPr>
          <w:rFonts w:ascii="Arial" w:hAnsi="Arial" w:cs="Arial"/>
          <w:bCs/>
        </w:rPr>
      </w:pPr>
      <w:r w:rsidRPr="00186078">
        <w:rPr>
          <w:rFonts w:ascii="Arial" w:hAnsi="Arial" w:cs="Arial"/>
          <w:bCs/>
        </w:rPr>
        <w:t>contamination.</w:t>
      </w:r>
    </w:p>
    <w:p w14:paraId="3F18628E" w14:textId="77777777" w:rsidR="00186078" w:rsidRPr="00186078" w:rsidRDefault="00186078" w:rsidP="00186078">
      <w:pPr>
        <w:autoSpaceDE w:val="0"/>
        <w:autoSpaceDN w:val="0"/>
        <w:spacing w:after="0" w:line="240" w:lineRule="auto"/>
        <w:rPr>
          <w:rFonts w:ascii="Arial" w:hAnsi="Arial" w:cs="Arial"/>
          <w:bCs/>
        </w:rPr>
      </w:pPr>
    </w:p>
    <w:p w14:paraId="229866C9" w14:textId="77777777" w:rsidR="00186078" w:rsidRPr="00186078" w:rsidRDefault="00186078" w:rsidP="00186078">
      <w:pPr>
        <w:autoSpaceDE w:val="0"/>
        <w:autoSpaceDN w:val="0"/>
        <w:spacing w:after="0"/>
        <w:jc w:val="both"/>
        <w:rPr>
          <w:rFonts w:ascii="Arial" w:hAnsi="Arial" w:cs="Arial"/>
          <w:bCs/>
        </w:rPr>
      </w:pPr>
      <w:r w:rsidRPr="00186078">
        <w:rPr>
          <w:rFonts w:ascii="Arial" w:hAnsi="Arial" w:cs="Arial"/>
          <w:bCs/>
        </w:rPr>
        <w:t xml:space="preserve">In addition, posts treated with creosote can be unsuitable in some circumstances. This </w:t>
      </w:r>
      <w:proofErr w:type="gramStart"/>
      <w:r w:rsidRPr="00186078">
        <w:rPr>
          <w:rFonts w:ascii="Arial" w:hAnsi="Arial" w:cs="Arial"/>
          <w:bCs/>
        </w:rPr>
        <w:t>is</w:t>
      </w:r>
      <w:proofErr w:type="gramEnd"/>
    </w:p>
    <w:p w14:paraId="4BABE823" w14:textId="77777777" w:rsidR="00186078" w:rsidRPr="00186078" w:rsidRDefault="00186078" w:rsidP="00186078">
      <w:pPr>
        <w:autoSpaceDE w:val="0"/>
        <w:autoSpaceDN w:val="0"/>
        <w:spacing w:after="0"/>
        <w:jc w:val="both"/>
        <w:rPr>
          <w:rFonts w:ascii="Arial" w:hAnsi="Arial" w:cs="Arial"/>
          <w:bCs/>
        </w:rPr>
      </w:pPr>
      <w:r w:rsidRPr="00186078">
        <w:rPr>
          <w:rFonts w:ascii="Arial" w:hAnsi="Arial" w:cs="Arial"/>
          <w:bCs/>
        </w:rPr>
        <w:t>because creosote is a biocide which could have an adverse environmental impact on certain</w:t>
      </w:r>
    </w:p>
    <w:p w14:paraId="1CF56C9F" w14:textId="2D27D5F5" w:rsidR="00186078" w:rsidRPr="00186078" w:rsidRDefault="00186078" w:rsidP="00186078">
      <w:pPr>
        <w:autoSpaceDE w:val="0"/>
        <w:autoSpaceDN w:val="0"/>
        <w:spacing w:after="0"/>
        <w:jc w:val="both"/>
        <w:rPr>
          <w:rFonts w:ascii="Arial" w:hAnsi="Arial" w:cs="Arial"/>
          <w:bCs/>
        </w:rPr>
      </w:pPr>
      <w:r w:rsidRPr="00186078">
        <w:rPr>
          <w:rFonts w:ascii="Arial" w:hAnsi="Arial" w:cs="Arial"/>
          <w:bCs/>
        </w:rPr>
        <w:t xml:space="preserve">sites. For example, creosote treated posts erected along a riverbank close to pearl </w:t>
      </w:r>
      <w:proofErr w:type="gramStart"/>
      <w:r w:rsidRPr="00186078">
        <w:rPr>
          <w:rFonts w:ascii="Arial" w:hAnsi="Arial" w:cs="Arial"/>
          <w:bCs/>
        </w:rPr>
        <w:t>mussel</w:t>
      </w:r>
      <w:proofErr w:type="gramEnd"/>
    </w:p>
    <w:p w14:paraId="6500CAC3" w14:textId="1B194B0E" w:rsidR="00186078" w:rsidRPr="00186078" w:rsidRDefault="00186078" w:rsidP="00186078">
      <w:pPr>
        <w:autoSpaceDE w:val="0"/>
        <w:autoSpaceDN w:val="0"/>
        <w:spacing w:after="0"/>
        <w:jc w:val="both"/>
        <w:rPr>
          <w:rFonts w:ascii="Arial" w:hAnsi="Arial" w:cs="Arial"/>
          <w:bCs/>
        </w:rPr>
      </w:pPr>
      <w:r w:rsidRPr="00186078">
        <w:rPr>
          <w:rFonts w:ascii="Arial" w:hAnsi="Arial" w:cs="Arial"/>
          <w:bCs/>
        </w:rPr>
        <w:t>beds could impact negatively on a protected species. NIEA, in certain sensitive</w:t>
      </w:r>
      <w:r>
        <w:rPr>
          <w:rFonts w:ascii="Arial" w:hAnsi="Arial" w:cs="Arial"/>
          <w:bCs/>
        </w:rPr>
        <w:t xml:space="preserve"> </w:t>
      </w:r>
      <w:r w:rsidRPr="00186078">
        <w:rPr>
          <w:rFonts w:ascii="Arial" w:hAnsi="Arial" w:cs="Arial"/>
          <w:bCs/>
        </w:rPr>
        <w:t>environmentally designated sites, have specified the use of untreated posts. In such cases,</w:t>
      </w:r>
    </w:p>
    <w:p w14:paraId="1F74F2D2" w14:textId="6A6F7F04" w:rsidR="00186078" w:rsidRPr="00F22632" w:rsidRDefault="00186078" w:rsidP="00186078">
      <w:pPr>
        <w:autoSpaceDE w:val="0"/>
        <w:autoSpaceDN w:val="0"/>
        <w:spacing w:after="0"/>
        <w:jc w:val="both"/>
        <w:rPr>
          <w:rFonts w:ascii="Arial" w:hAnsi="Arial" w:cs="Arial"/>
          <w:bCs/>
        </w:rPr>
      </w:pPr>
      <w:r w:rsidRPr="00186078">
        <w:rPr>
          <w:rFonts w:ascii="Arial" w:hAnsi="Arial" w:cs="Arial"/>
          <w:bCs/>
        </w:rPr>
        <w:t>DAERA may specify the use of an alternative post.</w:t>
      </w:r>
    </w:p>
    <w:sectPr w:rsidR="00186078" w:rsidRPr="00F22632" w:rsidSect="003F3B5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95D0" w14:textId="77777777" w:rsidR="00B3668C" w:rsidRDefault="00B3668C" w:rsidP="0036635A">
      <w:pPr>
        <w:spacing w:after="0" w:line="240" w:lineRule="auto"/>
      </w:pPr>
      <w:r>
        <w:separator/>
      </w:r>
    </w:p>
  </w:endnote>
  <w:endnote w:type="continuationSeparator" w:id="0">
    <w:p w14:paraId="0A33B5E4" w14:textId="77777777" w:rsidR="00B3668C" w:rsidRDefault="00B3668C" w:rsidP="0036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8910" w14:textId="77777777" w:rsidR="00470661" w:rsidRDefault="00470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2410" w14:textId="77777777" w:rsidR="00470661" w:rsidRDefault="00470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EA3" w14:textId="77777777" w:rsidR="00470661" w:rsidRDefault="00470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8AD0" w14:textId="77777777" w:rsidR="00B3668C" w:rsidRDefault="00B3668C" w:rsidP="0036635A">
      <w:pPr>
        <w:spacing w:after="0" w:line="240" w:lineRule="auto"/>
      </w:pPr>
      <w:r>
        <w:separator/>
      </w:r>
    </w:p>
  </w:footnote>
  <w:footnote w:type="continuationSeparator" w:id="0">
    <w:p w14:paraId="610E5977" w14:textId="77777777" w:rsidR="00B3668C" w:rsidRDefault="00B3668C" w:rsidP="00366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4B6C" w14:textId="77777777" w:rsidR="00470661" w:rsidRDefault="00470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26D0" w14:textId="4C2C3AA3" w:rsidR="008403AE" w:rsidRDefault="008403AE" w:rsidP="008403AE">
    <w:pPr>
      <w:pStyle w:val="Header"/>
      <w:jc w:val="center"/>
    </w:pPr>
    <w:r>
      <w:rPr>
        <w:b/>
        <w:color w:val="FF0000"/>
        <w:sz w:val="32"/>
        <w:szCs w:val="32"/>
      </w:rPr>
      <w:t>EFS AGREEMENTS COMMENCING 01 JANUARY 202</w:t>
    </w:r>
    <w:r w:rsidR="00470661">
      <w:rPr>
        <w:b/>
        <w:color w:val="FF0000"/>
        <w:sz w:val="32"/>
        <w:szCs w:val="3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83FE" w14:textId="77777777" w:rsidR="00470661" w:rsidRDefault="00470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43"/>
    <w:multiLevelType w:val="hybridMultilevel"/>
    <w:tmpl w:val="9B188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13CDC"/>
    <w:multiLevelType w:val="hybridMultilevel"/>
    <w:tmpl w:val="2364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D020D"/>
    <w:multiLevelType w:val="hybridMultilevel"/>
    <w:tmpl w:val="4B8E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75245"/>
    <w:multiLevelType w:val="hybridMultilevel"/>
    <w:tmpl w:val="CA6067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97147"/>
    <w:multiLevelType w:val="hybridMultilevel"/>
    <w:tmpl w:val="EBD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83E96"/>
    <w:multiLevelType w:val="hybridMultilevel"/>
    <w:tmpl w:val="8196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44065">
    <w:abstractNumId w:val="3"/>
  </w:num>
  <w:num w:numId="2" w16cid:durableId="758404389">
    <w:abstractNumId w:val="4"/>
  </w:num>
  <w:num w:numId="3" w16cid:durableId="1230534942">
    <w:abstractNumId w:val="0"/>
  </w:num>
  <w:num w:numId="4" w16cid:durableId="1725254986">
    <w:abstractNumId w:val="2"/>
  </w:num>
  <w:num w:numId="5" w16cid:durableId="13197250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483812">
    <w:abstractNumId w:val="1"/>
  </w:num>
  <w:num w:numId="7" w16cid:durableId="1071542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Hlu+KWIebsxEkhSy77ROkSjHle1q54tM4vKEnP26na7eGU68E367Qqpg/r847nTOqjxv/R0pFhLhqUArSY6og==" w:salt="W660X9sNM8s9XczwjW4+E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38"/>
    <w:rsid w:val="00002EF1"/>
    <w:rsid w:val="000042C1"/>
    <w:rsid w:val="00011403"/>
    <w:rsid w:val="000213DD"/>
    <w:rsid w:val="00023ABA"/>
    <w:rsid w:val="00034527"/>
    <w:rsid w:val="00036E57"/>
    <w:rsid w:val="00066EEF"/>
    <w:rsid w:val="00080004"/>
    <w:rsid w:val="00082165"/>
    <w:rsid w:val="00092B79"/>
    <w:rsid w:val="000966C1"/>
    <w:rsid w:val="000A0B14"/>
    <w:rsid w:val="000B0104"/>
    <w:rsid w:val="000E3962"/>
    <w:rsid w:val="000F20E7"/>
    <w:rsid w:val="001015DC"/>
    <w:rsid w:val="00104B7F"/>
    <w:rsid w:val="00105149"/>
    <w:rsid w:val="00110559"/>
    <w:rsid w:val="001143DB"/>
    <w:rsid w:val="00115D64"/>
    <w:rsid w:val="001226A8"/>
    <w:rsid w:val="00134CD1"/>
    <w:rsid w:val="00140A70"/>
    <w:rsid w:val="001460FA"/>
    <w:rsid w:val="001465DF"/>
    <w:rsid w:val="001537DB"/>
    <w:rsid w:val="00161DC2"/>
    <w:rsid w:val="001624DA"/>
    <w:rsid w:val="00172BAA"/>
    <w:rsid w:val="00186078"/>
    <w:rsid w:val="001870FB"/>
    <w:rsid w:val="001B61C0"/>
    <w:rsid w:val="001D12F3"/>
    <w:rsid w:val="001E6781"/>
    <w:rsid w:val="002179F7"/>
    <w:rsid w:val="002258C1"/>
    <w:rsid w:val="00227BD1"/>
    <w:rsid w:val="00272994"/>
    <w:rsid w:val="002955CB"/>
    <w:rsid w:val="002A4877"/>
    <w:rsid w:val="002A4C2C"/>
    <w:rsid w:val="002A58B8"/>
    <w:rsid w:val="002C1240"/>
    <w:rsid w:val="002D78FF"/>
    <w:rsid w:val="003117E7"/>
    <w:rsid w:val="0036635A"/>
    <w:rsid w:val="003937A9"/>
    <w:rsid w:val="00395D8D"/>
    <w:rsid w:val="00395FE1"/>
    <w:rsid w:val="003A5901"/>
    <w:rsid w:val="003C6F26"/>
    <w:rsid w:val="003D45BD"/>
    <w:rsid w:val="003E09A7"/>
    <w:rsid w:val="003E4AD3"/>
    <w:rsid w:val="003F23E9"/>
    <w:rsid w:val="003F3B51"/>
    <w:rsid w:val="00405AA5"/>
    <w:rsid w:val="004109CA"/>
    <w:rsid w:val="0041545A"/>
    <w:rsid w:val="00470661"/>
    <w:rsid w:val="0049298B"/>
    <w:rsid w:val="004A2798"/>
    <w:rsid w:val="004C2DD9"/>
    <w:rsid w:val="004C48DD"/>
    <w:rsid w:val="004C7D0D"/>
    <w:rsid w:val="004D0711"/>
    <w:rsid w:val="004E36BD"/>
    <w:rsid w:val="004F501D"/>
    <w:rsid w:val="00524FE2"/>
    <w:rsid w:val="0053654C"/>
    <w:rsid w:val="005A5E0C"/>
    <w:rsid w:val="005B28BC"/>
    <w:rsid w:val="005B29BA"/>
    <w:rsid w:val="005B33CA"/>
    <w:rsid w:val="005B3C45"/>
    <w:rsid w:val="005C1635"/>
    <w:rsid w:val="005E0F63"/>
    <w:rsid w:val="005E5212"/>
    <w:rsid w:val="005E7793"/>
    <w:rsid w:val="005F3BA5"/>
    <w:rsid w:val="00617D0C"/>
    <w:rsid w:val="00622C48"/>
    <w:rsid w:val="00624C9E"/>
    <w:rsid w:val="00634617"/>
    <w:rsid w:val="00646A35"/>
    <w:rsid w:val="00656F22"/>
    <w:rsid w:val="00684A38"/>
    <w:rsid w:val="00685261"/>
    <w:rsid w:val="00694F10"/>
    <w:rsid w:val="006955C9"/>
    <w:rsid w:val="00695CE6"/>
    <w:rsid w:val="006A0791"/>
    <w:rsid w:val="006C4952"/>
    <w:rsid w:val="006C6913"/>
    <w:rsid w:val="006D3F3E"/>
    <w:rsid w:val="00707459"/>
    <w:rsid w:val="00725A9E"/>
    <w:rsid w:val="007A0EC9"/>
    <w:rsid w:val="007A5BD3"/>
    <w:rsid w:val="007C1868"/>
    <w:rsid w:val="007C55AB"/>
    <w:rsid w:val="007D64CC"/>
    <w:rsid w:val="007E16CC"/>
    <w:rsid w:val="007F67BD"/>
    <w:rsid w:val="008204F6"/>
    <w:rsid w:val="0082156C"/>
    <w:rsid w:val="008248C6"/>
    <w:rsid w:val="008259A7"/>
    <w:rsid w:val="00827072"/>
    <w:rsid w:val="008308B5"/>
    <w:rsid w:val="00834DE0"/>
    <w:rsid w:val="008377CA"/>
    <w:rsid w:val="00837F4C"/>
    <w:rsid w:val="008403AE"/>
    <w:rsid w:val="00861BDB"/>
    <w:rsid w:val="00862935"/>
    <w:rsid w:val="008A5ED8"/>
    <w:rsid w:val="008C340E"/>
    <w:rsid w:val="008D357A"/>
    <w:rsid w:val="009158B3"/>
    <w:rsid w:val="00915BA2"/>
    <w:rsid w:val="00924D90"/>
    <w:rsid w:val="0092605C"/>
    <w:rsid w:val="009313AC"/>
    <w:rsid w:val="00943CCB"/>
    <w:rsid w:val="00972369"/>
    <w:rsid w:val="00992ED5"/>
    <w:rsid w:val="0099465C"/>
    <w:rsid w:val="009B0DFD"/>
    <w:rsid w:val="009C33DC"/>
    <w:rsid w:val="009C5283"/>
    <w:rsid w:val="009C6F72"/>
    <w:rsid w:val="009D5C4C"/>
    <w:rsid w:val="009D6B40"/>
    <w:rsid w:val="009E598C"/>
    <w:rsid w:val="00A00332"/>
    <w:rsid w:val="00A257E1"/>
    <w:rsid w:val="00A31CA4"/>
    <w:rsid w:val="00A6059F"/>
    <w:rsid w:val="00A93017"/>
    <w:rsid w:val="00AA2561"/>
    <w:rsid w:val="00AB5BBB"/>
    <w:rsid w:val="00AC3D7C"/>
    <w:rsid w:val="00AD6B6F"/>
    <w:rsid w:val="00AF209C"/>
    <w:rsid w:val="00B02434"/>
    <w:rsid w:val="00B14992"/>
    <w:rsid w:val="00B171D9"/>
    <w:rsid w:val="00B208DF"/>
    <w:rsid w:val="00B3668C"/>
    <w:rsid w:val="00B4775F"/>
    <w:rsid w:val="00B525A9"/>
    <w:rsid w:val="00B661CA"/>
    <w:rsid w:val="00B91D49"/>
    <w:rsid w:val="00BA3C88"/>
    <w:rsid w:val="00BD39FA"/>
    <w:rsid w:val="00BE3C7D"/>
    <w:rsid w:val="00C02B80"/>
    <w:rsid w:val="00C11338"/>
    <w:rsid w:val="00C1372C"/>
    <w:rsid w:val="00C16A6B"/>
    <w:rsid w:val="00C22BED"/>
    <w:rsid w:val="00C23B5E"/>
    <w:rsid w:val="00C56B9F"/>
    <w:rsid w:val="00C7730A"/>
    <w:rsid w:val="00C828E9"/>
    <w:rsid w:val="00C97BDD"/>
    <w:rsid w:val="00CD50BB"/>
    <w:rsid w:val="00CF197B"/>
    <w:rsid w:val="00D00AC2"/>
    <w:rsid w:val="00D418A0"/>
    <w:rsid w:val="00D61CE4"/>
    <w:rsid w:val="00D86715"/>
    <w:rsid w:val="00D87938"/>
    <w:rsid w:val="00D9490E"/>
    <w:rsid w:val="00DB5722"/>
    <w:rsid w:val="00DC11F0"/>
    <w:rsid w:val="00DE3CE9"/>
    <w:rsid w:val="00DE6DDD"/>
    <w:rsid w:val="00DF183F"/>
    <w:rsid w:val="00E23415"/>
    <w:rsid w:val="00E2531E"/>
    <w:rsid w:val="00E756D7"/>
    <w:rsid w:val="00E8395F"/>
    <w:rsid w:val="00E90501"/>
    <w:rsid w:val="00E9052E"/>
    <w:rsid w:val="00E905CF"/>
    <w:rsid w:val="00E92A87"/>
    <w:rsid w:val="00EA7236"/>
    <w:rsid w:val="00EB23CB"/>
    <w:rsid w:val="00EB4B55"/>
    <w:rsid w:val="00EC2ECF"/>
    <w:rsid w:val="00ED1D98"/>
    <w:rsid w:val="00EE23F9"/>
    <w:rsid w:val="00EE4EFD"/>
    <w:rsid w:val="00F022E4"/>
    <w:rsid w:val="00F22632"/>
    <w:rsid w:val="00F5270D"/>
    <w:rsid w:val="00FA6AD4"/>
    <w:rsid w:val="00FB43E7"/>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D1D0"/>
  <w15:docId w15:val="{30A1AAC0-988D-48C0-9226-26AA5DB9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4EFD"/>
    <w:rPr>
      <w:color w:val="0000FF"/>
      <w:u w:val="single"/>
    </w:rPr>
  </w:style>
  <w:style w:type="paragraph" w:styleId="BalloonText">
    <w:name w:val="Balloon Text"/>
    <w:basedOn w:val="Normal"/>
    <w:link w:val="BalloonTextChar"/>
    <w:uiPriority w:val="99"/>
    <w:semiHidden/>
    <w:unhideWhenUsed/>
    <w:rsid w:val="00C0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80"/>
    <w:rPr>
      <w:rFonts w:ascii="Tahoma" w:hAnsi="Tahoma" w:cs="Tahoma"/>
      <w:sz w:val="16"/>
      <w:szCs w:val="16"/>
    </w:rPr>
  </w:style>
  <w:style w:type="paragraph" w:styleId="Header">
    <w:name w:val="header"/>
    <w:basedOn w:val="Normal"/>
    <w:link w:val="HeaderChar"/>
    <w:uiPriority w:val="99"/>
    <w:unhideWhenUsed/>
    <w:rsid w:val="0036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5A"/>
  </w:style>
  <w:style w:type="paragraph" w:styleId="Footer">
    <w:name w:val="footer"/>
    <w:basedOn w:val="Normal"/>
    <w:link w:val="FooterChar"/>
    <w:uiPriority w:val="99"/>
    <w:unhideWhenUsed/>
    <w:rsid w:val="0036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5A"/>
  </w:style>
  <w:style w:type="paragraph" w:styleId="ListParagraph">
    <w:name w:val="List Paragraph"/>
    <w:basedOn w:val="Normal"/>
    <w:uiPriority w:val="34"/>
    <w:qFormat/>
    <w:rsid w:val="00ED1D98"/>
    <w:pPr>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ED1D98"/>
    <w:pPr>
      <w:spacing w:after="0" w:line="240" w:lineRule="auto"/>
    </w:pPr>
    <w:rPr>
      <w:rFonts w:ascii="Times New Roman" w:eastAsia="Times New Roman" w:hAnsi="Times New Roman" w:cs="Times New Roman"/>
      <w:bCs/>
      <w:sz w:val="20"/>
      <w:szCs w:val="20"/>
    </w:rPr>
  </w:style>
  <w:style w:type="character" w:customStyle="1" w:styleId="FootnoteTextChar">
    <w:name w:val="Footnote Text Char"/>
    <w:basedOn w:val="DefaultParagraphFont"/>
    <w:link w:val="FootnoteText"/>
    <w:uiPriority w:val="99"/>
    <w:semiHidden/>
    <w:rsid w:val="00ED1D98"/>
    <w:rPr>
      <w:rFonts w:ascii="Times New Roman" w:eastAsia="Times New Roman" w:hAnsi="Times New Roman" w:cs="Times New Roman"/>
      <w:bCs/>
      <w:sz w:val="20"/>
      <w:szCs w:val="20"/>
    </w:rPr>
  </w:style>
  <w:style w:type="character" w:styleId="FootnoteReference">
    <w:name w:val="footnote reference"/>
    <w:basedOn w:val="DefaultParagraphFont"/>
    <w:uiPriority w:val="99"/>
    <w:semiHidden/>
    <w:unhideWhenUsed/>
    <w:rsid w:val="00ED1D98"/>
    <w:rPr>
      <w:vertAlign w:val="superscript"/>
    </w:rPr>
  </w:style>
  <w:style w:type="paragraph" w:styleId="NormalWeb">
    <w:name w:val="Normal (Web)"/>
    <w:basedOn w:val="Normal"/>
    <w:uiPriority w:val="99"/>
    <w:unhideWhenUsed/>
    <w:rsid w:val="00ED1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105149"/>
    <w:pPr>
      <w:spacing w:before="120"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0514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2156C"/>
    <w:rPr>
      <w:sz w:val="16"/>
      <w:szCs w:val="16"/>
    </w:rPr>
  </w:style>
  <w:style w:type="paragraph" w:styleId="CommentText">
    <w:name w:val="annotation text"/>
    <w:basedOn w:val="Normal"/>
    <w:link w:val="CommentTextChar"/>
    <w:uiPriority w:val="99"/>
    <w:semiHidden/>
    <w:unhideWhenUsed/>
    <w:rsid w:val="0082156C"/>
    <w:pPr>
      <w:spacing w:after="0" w:line="240" w:lineRule="auto"/>
    </w:pPr>
    <w:rPr>
      <w:rFonts w:ascii="Times New Roman" w:eastAsia="Times New Roman" w:hAnsi="Times New Roman" w:cs="Times New Roman"/>
      <w:bCs/>
      <w:sz w:val="20"/>
      <w:szCs w:val="20"/>
    </w:rPr>
  </w:style>
  <w:style w:type="character" w:customStyle="1" w:styleId="CommentTextChar">
    <w:name w:val="Comment Text Char"/>
    <w:basedOn w:val="DefaultParagraphFont"/>
    <w:link w:val="CommentText"/>
    <w:uiPriority w:val="99"/>
    <w:semiHidden/>
    <w:rsid w:val="0082156C"/>
    <w:rPr>
      <w:rFonts w:ascii="Times New Roman" w:eastAsia="Times New Roman"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0A0B14"/>
    <w:pPr>
      <w:spacing w:after="20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0A0B1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8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7624">
      <w:bodyDiv w:val="1"/>
      <w:marLeft w:val="0"/>
      <w:marRight w:val="0"/>
      <w:marTop w:val="0"/>
      <w:marBottom w:val="0"/>
      <w:divBdr>
        <w:top w:val="none" w:sz="0" w:space="0" w:color="auto"/>
        <w:left w:val="none" w:sz="0" w:space="0" w:color="auto"/>
        <w:bottom w:val="none" w:sz="0" w:space="0" w:color="auto"/>
        <w:right w:val="none" w:sz="0" w:space="0" w:color="auto"/>
      </w:divBdr>
    </w:div>
    <w:div w:id="760220729">
      <w:bodyDiv w:val="1"/>
      <w:marLeft w:val="0"/>
      <w:marRight w:val="0"/>
      <w:marTop w:val="0"/>
      <w:marBottom w:val="0"/>
      <w:divBdr>
        <w:top w:val="none" w:sz="0" w:space="0" w:color="auto"/>
        <w:left w:val="none" w:sz="0" w:space="0" w:color="auto"/>
        <w:bottom w:val="none" w:sz="0" w:space="0" w:color="auto"/>
        <w:right w:val="none" w:sz="0" w:space="0" w:color="auto"/>
      </w:divBdr>
    </w:div>
    <w:div w:id="924000824">
      <w:bodyDiv w:val="1"/>
      <w:marLeft w:val="0"/>
      <w:marRight w:val="0"/>
      <w:marTop w:val="0"/>
      <w:marBottom w:val="0"/>
      <w:divBdr>
        <w:top w:val="none" w:sz="0" w:space="0" w:color="auto"/>
        <w:left w:val="none" w:sz="0" w:space="0" w:color="auto"/>
        <w:bottom w:val="none" w:sz="0" w:space="0" w:color="auto"/>
        <w:right w:val="none" w:sz="0" w:space="0" w:color="auto"/>
      </w:divBdr>
    </w:div>
    <w:div w:id="971060893">
      <w:bodyDiv w:val="1"/>
      <w:marLeft w:val="0"/>
      <w:marRight w:val="0"/>
      <w:marTop w:val="0"/>
      <w:marBottom w:val="0"/>
      <w:divBdr>
        <w:top w:val="none" w:sz="0" w:space="0" w:color="auto"/>
        <w:left w:val="none" w:sz="0" w:space="0" w:color="auto"/>
        <w:bottom w:val="none" w:sz="0" w:space="0" w:color="auto"/>
        <w:right w:val="none" w:sz="0" w:space="0" w:color="auto"/>
      </w:divBdr>
    </w:div>
    <w:div w:id="1221019530">
      <w:bodyDiv w:val="1"/>
      <w:marLeft w:val="0"/>
      <w:marRight w:val="0"/>
      <w:marTop w:val="0"/>
      <w:marBottom w:val="0"/>
      <w:divBdr>
        <w:top w:val="none" w:sz="0" w:space="0" w:color="auto"/>
        <w:left w:val="none" w:sz="0" w:space="0" w:color="auto"/>
        <w:bottom w:val="none" w:sz="0" w:space="0" w:color="auto"/>
        <w:right w:val="none" w:sz="0" w:space="0" w:color="auto"/>
      </w:divBdr>
    </w:div>
    <w:div w:id="1471367553">
      <w:bodyDiv w:val="1"/>
      <w:marLeft w:val="0"/>
      <w:marRight w:val="0"/>
      <w:marTop w:val="0"/>
      <w:marBottom w:val="0"/>
      <w:divBdr>
        <w:top w:val="none" w:sz="0" w:space="0" w:color="auto"/>
        <w:left w:val="none" w:sz="0" w:space="0" w:color="auto"/>
        <w:bottom w:val="none" w:sz="0" w:space="0" w:color="auto"/>
        <w:right w:val="none" w:sz="0" w:space="0" w:color="auto"/>
      </w:divBdr>
    </w:div>
    <w:div w:id="1850095250">
      <w:bodyDiv w:val="1"/>
      <w:marLeft w:val="0"/>
      <w:marRight w:val="0"/>
      <w:marTop w:val="0"/>
      <w:marBottom w:val="0"/>
      <w:divBdr>
        <w:top w:val="none" w:sz="0" w:space="0" w:color="auto"/>
        <w:left w:val="none" w:sz="0" w:space="0" w:color="auto"/>
        <w:bottom w:val="none" w:sz="0" w:space="0" w:color="auto"/>
        <w:right w:val="none" w:sz="0" w:space="0" w:color="auto"/>
      </w:divBdr>
    </w:div>
    <w:div w:id="1884901382">
      <w:bodyDiv w:val="1"/>
      <w:marLeft w:val="0"/>
      <w:marRight w:val="0"/>
      <w:marTop w:val="0"/>
      <w:marBottom w:val="0"/>
      <w:divBdr>
        <w:top w:val="none" w:sz="0" w:space="0" w:color="auto"/>
        <w:left w:val="none" w:sz="0" w:space="0" w:color="auto"/>
        <w:bottom w:val="none" w:sz="0" w:space="0" w:color="auto"/>
        <w:right w:val="none" w:sz="0" w:space="0" w:color="auto"/>
      </w:divBdr>
    </w:div>
    <w:div w:id="19195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biocides/copr/creosote.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939B-7809-42B8-8A5E-E7229203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4</Pages>
  <Words>1008</Words>
  <Characters>5288</Characters>
  <Application>Microsoft Office Word</Application>
  <DocSecurity>8</DocSecurity>
  <Lines>211</Lines>
  <Paragraphs>153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Quinn</dc:creator>
  <cp:keywords/>
  <dc:description/>
  <cp:lastModifiedBy>Brown, Kitty</cp:lastModifiedBy>
  <cp:revision>88</cp:revision>
  <cp:lastPrinted>2016-06-01T11:28:00Z</cp:lastPrinted>
  <dcterms:created xsi:type="dcterms:W3CDTF">2016-05-11T14:46:00Z</dcterms:created>
  <dcterms:modified xsi:type="dcterms:W3CDTF">2024-05-08T17:04:00Z</dcterms:modified>
</cp:coreProperties>
</file>