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3651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32B026F3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C2975E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81A" w14:textId="195F0EDC" w:rsidR="003E09A7" w:rsidRPr="00D754EC" w:rsidRDefault="00E9710D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710D">
              <w:rPr>
                <w:rFonts w:ascii="Arial" w:hAnsi="Arial" w:cs="Arial"/>
                <w:b/>
              </w:rPr>
              <w:t>Pasture pump and associated pipe work</w:t>
            </w:r>
          </w:p>
        </w:tc>
      </w:tr>
      <w:tr w:rsidR="003E09A7" w:rsidRPr="009203CB" w14:paraId="2CFE0BD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D31963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AE06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3DC1F07C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186A02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85BA" w14:textId="77777777" w:rsidR="003E09A7" w:rsidRPr="002179F7" w:rsidRDefault="00D754EC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GPD</w:t>
            </w:r>
          </w:p>
        </w:tc>
      </w:tr>
      <w:tr w:rsidR="002955CB" w:rsidRPr="000148A9" w14:paraId="022BF7C1" w14:textId="77777777" w:rsidTr="00B94F1E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4339C90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5B0A202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E80117F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940CAB5" w14:textId="77777777" w:rsidTr="00B94F1E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BCC4695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74696E">
              <w:rPr>
                <w:rFonts w:ascii="Arial" w:hAnsi="Arial" w:cs="Arial"/>
                <w:b/>
              </w:rPr>
              <w:t>P</w:t>
            </w:r>
            <w:r w:rsidR="002955CB">
              <w:rPr>
                <w:rFonts w:ascii="Arial" w:hAnsi="Arial" w:cs="Arial"/>
                <w:b/>
              </w:rPr>
              <w:t>ayment: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16BCA710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1CEA0" w14:textId="52313C07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549D0">
              <w:rPr>
                <w:rFonts w:ascii="Arial" w:hAnsi="Arial" w:cs="Arial"/>
              </w:rPr>
              <w:t>312.00</w:t>
            </w:r>
            <w:r w:rsidR="002955CB">
              <w:rPr>
                <w:rFonts w:ascii="Arial" w:hAnsi="Arial" w:cs="Arial"/>
              </w:rPr>
              <w:t xml:space="preserve"> </w:t>
            </w:r>
            <w:r w:rsidR="005549D0" w:rsidRPr="005549D0">
              <w:rPr>
                <w:rFonts w:ascii="Arial" w:hAnsi="Arial" w:cs="Arial"/>
              </w:rPr>
              <w:t>per pump and pipe work</w:t>
            </w:r>
          </w:p>
        </w:tc>
      </w:tr>
      <w:tr w:rsidR="002955CB" w:rsidRPr="000148A9" w14:paraId="35136E2F" w14:textId="77777777" w:rsidTr="00B94F1E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5AD61E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7911D08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F93F545" w14:textId="77777777" w:rsidTr="00B94F1E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4576D658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8F8" w14:textId="77777777" w:rsidR="00E9710D" w:rsidRPr="00E9710D" w:rsidRDefault="00E9710D" w:rsidP="00E9710D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 xml:space="preserve">To protect newly created habitats, reduce the potential for direct </w:t>
            </w:r>
            <w:proofErr w:type="gramStart"/>
            <w:r w:rsidRPr="00E9710D">
              <w:rPr>
                <w:rFonts w:ascii="Arial" w:hAnsi="Arial" w:cs="Arial"/>
              </w:rPr>
              <w:t>nutrient</w:t>
            </w:r>
            <w:proofErr w:type="gramEnd"/>
          </w:p>
          <w:p w14:paraId="7B09BC91" w14:textId="7657DFDF" w:rsidR="002955CB" w:rsidRPr="000148A9" w:rsidRDefault="00E9710D" w:rsidP="00E9710D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enrichment of a watercourse and facilitate management of EFS(H) sites</w:t>
            </w:r>
          </w:p>
        </w:tc>
      </w:tr>
      <w:tr w:rsidR="002955CB" w:rsidRPr="000148A9" w14:paraId="15E2FD71" w14:textId="77777777" w:rsidTr="00B94F1E">
        <w:trPr>
          <w:trHeight w:val="283"/>
        </w:trPr>
        <w:tc>
          <w:tcPr>
            <w:tcW w:w="1167" w:type="pct"/>
            <w:vAlign w:val="center"/>
            <w:hideMark/>
          </w:tcPr>
          <w:p w14:paraId="2A3535CE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65DDC3A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69D6865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65ECBFA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4682244B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09B71FE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51506FEF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4D70AF2" w14:textId="77777777" w:rsidTr="00B94F1E">
        <w:trPr>
          <w:trHeight w:val="272"/>
        </w:trPr>
        <w:tc>
          <w:tcPr>
            <w:tcW w:w="1167" w:type="pct"/>
            <w:vAlign w:val="center"/>
            <w:hideMark/>
          </w:tcPr>
          <w:p w14:paraId="402194D1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F79C0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6356FBA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F51" w14:textId="65F2B7C8" w:rsidR="002955CB" w:rsidRPr="00B37630" w:rsidRDefault="00E9710D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4661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DAAC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D6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B95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7ADBA88B" w14:textId="77777777" w:rsidTr="00B94F1E">
        <w:trPr>
          <w:gridAfter w:val="14"/>
          <w:wAfter w:w="3833" w:type="pct"/>
          <w:trHeight w:val="283"/>
        </w:trPr>
        <w:tc>
          <w:tcPr>
            <w:tcW w:w="1167" w:type="pct"/>
            <w:vAlign w:val="center"/>
            <w:hideMark/>
          </w:tcPr>
          <w:p w14:paraId="38CBBB42" w14:textId="77777777" w:rsidR="00694F10" w:rsidRPr="0069355A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694F10" w:rsidRPr="000148A9" w14:paraId="5939D907" w14:textId="77777777" w:rsidTr="00B94F1E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57DDC6F8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7226F647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BC2E7FE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5F4AF22F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635C40DF" w14:textId="77777777" w:rsidTr="00B94F1E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1B47C739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2BB29BD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18A" w14:textId="77777777" w:rsidR="002955CB" w:rsidRPr="000148A9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F48C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42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3A1F71C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393293D3" w14:textId="77777777" w:rsidTr="00B94F1E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65318E97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3938200E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3DE04A9" w14:textId="77777777" w:rsidTr="00B94F1E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45DDE37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8855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‘Pasture pump and associated pipe work’ is eligible in any EFS(W)</w:t>
            </w:r>
          </w:p>
          <w:p w14:paraId="2412F61A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 xml:space="preserve">Option where it is included as an approved additional optional </w:t>
            </w:r>
            <w:proofErr w:type="gramStart"/>
            <w:r w:rsidRPr="00E9710D">
              <w:rPr>
                <w:rFonts w:ascii="Arial" w:hAnsi="Arial" w:cs="Arial"/>
              </w:rPr>
              <w:t>capital</w:t>
            </w:r>
            <w:proofErr w:type="gramEnd"/>
          </w:p>
          <w:p w14:paraId="06781964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works item. This NPI is eligible where it will maintain and enhance the</w:t>
            </w:r>
          </w:p>
          <w:p w14:paraId="4872D1EB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biodiversity value of EFS(H) sites and is included in the site specific</w:t>
            </w:r>
          </w:p>
          <w:p w14:paraId="77EBEDDF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Remedial Management Plan (</w:t>
            </w:r>
            <w:proofErr w:type="spellStart"/>
            <w:r w:rsidRPr="00E9710D">
              <w:rPr>
                <w:rFonts w:ascii="Arial" w:hAnsi="Arial" w:cs="Arial"/>
              </w:rPr>
              <w:t>ssRMP</w:t>
            </w:r>
            <w:proofErr w:type="spellEnd"/>
            <w:r w:rsidRPr="00E9710D">
              <w:rPr>
                <w:rFonts w:ascii="Arial" w:hAnsi="Arial" w:cs="Arial"/>
              </w:rPr>
              <w:t xml:space="preserve">). A ‘Pasture pump and </w:t>
            </w:r>
            <w:proofErr w:type="gramStart"/>
            <w:r w:rsidRPr="00E9710D">
              <w:rPr>
                <w:rFonts w:ascii="Arial" w:hAnsi="Arial" w:cs="Arial"/>
              </w:rPr>
              <w:t>associated</w:t>
            </w:r>
            <w:proofErr w:type="gramEnd"/>
          </w:p>
          <w:p w14:paraId="31118B7C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pipe work’ will help reduce the potential for direct nutrient enrichment of a</w:t>
            </w:r>
          </w:p>
          <w:p w14:paraId="480F2C58" w14:textId="77777777" w:rsidR="005F3BA5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watercourse and protect environmental features.</w:t>
            </w:r>
          </w:p>
          <w:p w14:paraId="0022D8A6" w14:textId="4BE91674" w:rsidR="00E9710D" w:rsidRPr="00761FD0" w:rsidRDefault="00E9710D" w:rsidP="00E9710D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65DA6A" w14:textId="77777777" w:rsidTr="00B94F1E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765B59F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37AD" w14:textId="77777777" w:rsidR="00C16A6B" w:rsidRDefault="00C16A6B" w:rsidP="00D75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1DE7930" w14:textId="77777777" w:rsidTr="00B94F1E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4B78E3EE" w14:textId="77777777" w:rsidR="002955CB" w:rsidRDefault="0074696E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D0FFA" w14:textId="77777777" w:rsidR="002955CB" w:rsidRPr="00115C6F" w:rsidRDefault="002955CB" w:rsidP="00313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E6F4" w14:textId="77777777" w:rsidR="002955CB" w:rsidRDefault="00527B69" w:rsidP="00D75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ADF4E" w14:textId="77777777" w:rsidR="002955CB" w:rsidRDefault="002955CB" w:rsidP="00313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83D0" w14:textId="77777777" w:rsidR="002955CB" w:rsidRDefault="0031335F" w:rsidP="00D75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15A7FC23" w14:textId="18F82AE9" w:rsidR="0031335F" w:rsidRDefault="00E9710D" w:rsidP="00E9710D">
      <w:pPr>
        <w:spacing w:after="0"/>
        <w:rPr>
          <w:rFonts w:ascii="Arial" w:hAnsi="Arial" w:cs="Arial"/>
          <w:b/>
        </w:rPr>
      </w:pPr>
      <w:r w:rsidRPr="00E9710D">
        <w:rPr>
          <w:rFonts w:ascii="Arial" w:eastAsia="Times New Roman" w:hAnsi="Arial" w:cs="Arial"/>
          <w:bCs/>
          <w:sz w:val="20"/>
          <w:szCs w:val="20"/>
        </w:rPr>
        <w:t>* The number of ‘Pasture pump and associated pipe work ‘NPIs applied for must be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9710D">
        <w:rPr>
          <w:rFonts w:ascii="Arial" w:eastAsia="Times New Roman" w:hAnsi="Arial" w:cs="Arial"/>
          <w:bCs/>
          <w:sz w:val="20"/>
          <w:szCs w:val="20"/>
        </w:rPr>
        <w:t xml:space="preserve">indicative of the </w:t>
      </w:r>
      <w:r>
        <w:rPr>
          <w:rFonts w:ascii="Arial" w:eastAsia="Times New Roman" w:hAnsi="Arial" w:cs="Arial"/>
          <w:bCs/>
          <w:sz w:val="20"/>
          <w:szCs w:val="20"/>
        </w:rPr>
        <w:t>E</w:t>
      </w:r>
      <w:r w:rsidRPr="00E9710D">
        <w:rPr>
          <w:rFonts w:ascii="Arial" w:eastAsia="Times New Roman" w:hAnsi="Arial" w:cs="Arial"/>
          <w:bCs/>
          <w:sz w:val="20"/>
          <w:szCs w:val="20"/>
        </w:rPr>
        <w:t>FS Option area or length they are associated with.</w:t>
      </w:r>
      <w:r w:rsidR="0031335F">
        <w:rPr>
          <w:rFonts w:ascii="Arial" w:hAnsi="Arial" w:cs="Arial"/>
          <w:b/>
        </w:rPr>
        <w:br w:type="page"/>
      </w:r>
    </w:p>
    <w:p w14:paraId="6880824F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072F5100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14085D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918E56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0E35B6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113FAF46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2439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386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549CD33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B51D82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DDCF8C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D754EC" w:rsidRPr="000148A9" w14:paraId="77AA54D8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3DBE2" w14:textId="7C4496A3" w:rsidR="00D754EC" w:rsidRPr="00D754EC" w:rsidRDefault="00E9710D" w:rsidP="00624B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</w:t>
            </w:r>
            <w:r w:rsidR="00D754EC" w:rsidRPr="00D754EC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656AE8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The ‘Pasture pump and associated pipe work’ must be installed by</w:t>
            </w:r>
          </w:p>
          <w:p w14:paraId="07874393" w14:textId="68C33373" w:rsidR="00D754EC" w:rsidRPr="00C43FB6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38030A" w14:textId="77777777" w:rsidR="00D754EC" w:rsidRPr="00C43FB6" w:rsidRDefault="00D754EC" w:rsidP="00624BF1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D99004" w14:textId="41CF24BC" w:rsidR="00D754EC" w:rsidRPr="00C43FB6" w:rsidRDefault="00D754EC" w:rsidP="0062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76CD2E" w14:textId="77777777" w:rsidR="00D754EC" w:rsidRPr="00C43FB6" w:rsidRDefault="00D754EC" w:rsidP="00624BF1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D754EC" w:rsidRPr="000148A9" w14:paraId="642858C6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85DB54" w14:textId="71AB85C9" w:rsidR="00D754EC" w:rsidRPr="00D754EC" w:rsidRDefault="00E9710D" w:rsidP="00E9710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</w:t>
            </w:r>
            <w:r w:rsidR="00D754EC" w:rsidRPr="00D754EC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E5C732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The claimed number of pasture pumps(s) must be installed in the</w:t>
            </w:r>
          </w:p>
          <w:p w14:paraId="163BFEE8" w14:textId="5617AEFE" w:rsidR="00D754EC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correct location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AED882" w14:textId="77777777" w:rsidR="00D754EC" w:rsidRPr="00C43FB6" w:rsidRDefault="00D754EC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B4BEFB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0F6F29" w14:textId="77777777" w:rsidR="00D754EC" w:rsidRPr="00C43FB6" w:rsidRDefault="00D754EC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D754EC" w:rsidRPr="000148A9" w14:paraId="31C2A254" w14:textId="77777777" w:rsidTr="00E9710D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AE29ECF" w14:textId="7807D196" w:rsidR="00D754EC" w:rsidRPr="00D754EC" w:rsidRDefault="00E9710D" w:rsidP="00E9710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</w:t>
            </w:r>
            <w:r w:rsidR="00D754EC" w:rsidRPr="00D754EC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F36734" w14:textId="2B3D279A" w:rsidR="00D754EC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New pasture pump(s)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B2769" w14:textId="0370D546" w:rsidR="00D754EC" w:rsidRPr="00C43FB6" w:rsidRDefault="00D754EC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B3A1BD" w14:textId="42C10F32" w:rsidR="00D754EC" w:rsidRPr="00C43FB6" w:rsidRDefault="00D754EC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050AB27" w14:textId="77777777" w:rsidR="00D754EC" w:rsidRPr="00C43FB6" w:rsidRDefault="00D754EC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D754EC" w:rsidRPr="000148A9" w14:paraId="70D6F80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2DA3BF9" w14:textId="52BC9816" w:rsidR="00D754EC" w:rsidRPr="00D754EC" w:rsidRDefault="00E9710D" w:rsidP="00E9710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</w:t>
            </w:r>
            <w:r w:rsidR="00D754EC" w:rsidRPr="00D754EC">
              <w:rPr>
                <w:rFonts w:ascii="Arial" w:hAnsi="Arial" w:cs="Arial"/>
                <w:b/>
              </w:rPr>
              <w:t>4C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3B7DF2" w14:textId="0D42B770" w:rsidR="00D754EC" w:rsidRPr="00C43FB6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The pasture pump height must be suitable for livestock to operate.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B997C" w14:textId="1AB28552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1C0B75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04013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E9710D" w:rsidRPr="000148A9" w14:paraId="007868B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712FA1" w14:textId="4A612118" w:rsidR="00E9710D" w:rsidRDefault="00E9710D" w:rsidP="00E9710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PAP5C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7A2F56" w14:textId="77777777" w:rsidR="00E9710D" w:rsidRP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The pasture pump and pipe work must be installed as detailed in the</w:t>
            </w:r>
          </w:p>
          <w:p w14:paraId="3D3CF50D" w14:textId="1176CB5D" w:rsidR="00E9710D" w:rsidRDefault="00E9710D" w:rsidP="00E9710D">
            <w:pPr>
              <w:spacing w:after="0"/>
              <w:rPr>
                <w:rFonts w:ascii="Arial" w:hAnsi="Arial" w:cs="Arial"/>
              </w:rPr>
            </w:pPr>
            <w:r w:rsidRPr="00E9710D">
              <w:rPr>
                <w:rFonts w:ascii="Arial" w:hAnsi="Arial" w:cs="Arial"/>
              </w:rPr>
              <w:t>Specification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1CB16" w14:textId="77777777" w:rsidR="00E9710D" w:rsidRPr="00C43FB6" w:rsidRDefault="00E9710D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290342" w14:textId="77777777" w:rsidR="00E9710D" w:rsidRPr="00C43FB6" w:rsidRDefault="00E9710D" w:rsidP="00E97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6E9C8B" w14:textId="4E0D5919" w:rsidR="00E9710D" w:rsidRPr="00C43FB6" w:rsidRDefault="00F17001" w:rsidP="00E9710D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D754EC" w:rsidRPr="000148A9" w14:paraId="34CA5A62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F74B84" w14:textId="196B8C5C" w:rsidR="00D754EC" w:rsidRPr="00D754EC" w:rsidRDefault="00E9710D" w:rsidP="00E9710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PAP6</w:t>
            </w:r>
            <w:r w:rsidR="00D754EC" w:rsidRPr="00D754E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D54F0F" w14:textId="77777777" w:rsidR="00F17001" w:rsidRPr="00F17001" w:rsidRDefault="00F17001" w:rsidP="00F17001">
            <w:pPr>
              <w:spacing w:after="0"/>
              <w:rPr>
                <w:rFonts w:ascii="Arial" w:hAnsi="Arial" w:cs="Arial"/>
              </w:rPr>
            </w:pPr>
            <w:r w:rsidRPr="00F17001">
              <w:rPr>
                <w:rFonts w:ascii="Arial" w:hAnsi="Arial" w:cs="Arial"/>
              </w:rPr>
              <w:t xml:space="preserve">Field records must be kept detailing location, number, date </w:t>
            </w:r>
            <w:proofErr w:type="gramStart"/>
            <w:r w:rsidRPr="00F17001">
              <w:rPr>
                <w:rFonts w:ascii="Arial" w:hAnsi="Arial" w:cs="Arial"/>
              </w:rPr>
              <w:t>installed</w:t>
            </w:r>
            <w:proofErr w:type="gramEnd"/>
          </w:p>
          <w:p w14:paraId="63469D02" w14:textId="77777777" w:rsidR="00F17001" w:rsidRPr="00F17001" w:rsidRDefault="00F17001" w:rsidP="00F17001">
            <w:pPr>
              <w:spacing w:after="0"/>
              <w:rPr>
                <w:rFonts w:ascii="Arial" w:hAnsi="Arial" w:cs="Arial"/>
              </w:rPr>
            </w:pPr>
            <w:r w:rsidRPr="00F17001">
              <w:rPr>
                <w:rFonts w:ascii="Arial" w:hAnsi="Arial" w:cs="Arial"/>
              </w:rPr>
              <w:t>and all requirements for the ‘Pasture pump and associated pipe</w:t>
            </w:r>
          </w:p>
          <w:p w14:paraId="0718C85F" w14:textId="27023629" w:rsidR="00D754EC" w:rsidRPr="00D754EC" w:rsidRDefault="00F17001" w:rsidP="00F17001">
            <w:pPr>
              <w:spacing w:after="0"/>
              <w:rPr>
                <w:rFonts w:ascii="Arial" w:hAnsi="Arial" w:cs="Arial"/>
              </w:rPr>
            </w:pPr>
            <w:r w:rsidRPr="00F17001">
              <w:rPr>
                <w:rFonts w:ascii="Arial" w:hAnsi="Arial" w:cs="Arial"/>
              </w:rPr>
              <w:t>work’.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B8794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1D29E7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DD31C1" w14:textId="77777777" w:rsidR="00D754EC" w:rsidRPr="00C43FB6" w:rsidRDefault="00D754EC" w:rsidP="00E971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51FA2DF4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05C1C701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75FC3146" w14:textId="77777777" w:rsidR="00D754EC" w:rsidRDefault="00D754EC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6FB484F" w14:textId="77777777" w:rsidR="00D754EC" w:rsidRDefault="00D754EC" w:rsidP="00F17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77F4B096" w14:textId="09C4EB4B" w:rsidR="00F17001" w:rsidRPr="00F17001" w:rsidRDefault="00F17001" w:rsidP="00F17001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17001">
        <w:rPr>
          <w:rFonts w:ascii="Arial" w:hAnsi="Arial" w:cs="Arial"/>
        </w:rPr>
        <w:t xml:space="preserve">The pipe work must be compatible with the pasture </w:t>
      </w:r>
      <w:proofErr w:type="gramStart"/>
      <w:r w:rsidRPr="00F17001">
        <w:rPr>
          <w:rFonts w:ascii="Arial" w:hAnsi="Arial" w:cs="Arial"/>
        </w:rPr>
        <w:t>pump;</w:t>
      </w:r>
      <w:proofErr w:type="gramEnd"/>
    </w:p>
    <w:p w14:paraId="012755B8" w14:textId="3E42A1A9" w:rsidR="00F17001" w:rsidRPr="00F17001" w:rsidRDefault="00F17001" w:rsidP="00F17001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17001">
        <w:rPr>
          <w:rFonts w:ascii="Arial" w:hAnsi="Arial" w:cs="Arial"/>
        </w:rPr>
        <w:t xml:space="preserve">All joints on the pipe work must be made of brass or </w:t>
      </w:r>
      <w:proofErr w:type="gramStart"/>
      <w:r w:rsidRPr="00F17001">
        <w:rPr>
          <w:rFonts w:ascii="Arial" w:hAnsi="Arial" w:cs="Arial"/>
        </w:rPr>
        <w:t>plastic;</w:t>
      </w:r>
      <w:proofErr w:type="gramEnd"/>
    </w:p>
    <w:p w14:paraId="5D10249F" w14:textId="0E23DE97" w:rsidR="00F17001" w:rsidRPr="00F17001" w:rsidRDefault="00F17001" w:rsidP="00F17001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17001">
        <w:rPr>
          <w:rFonts w:ascii="Arial" w:hAnsi="Arial" w:cs="Arial"/>
        </w:rPr>
        <w:t>The pipe work must be buried with a tubular steel guard if crossing an open drain (25</w:t>
      </w:r>
    </w:p>
    <w:p w14:paraId="4F59CB1E" w14:textId="42855843" w:rsidR="00F17001" w:rsidRPr="00F17001" w:rsidRDefault="00F17001" w:rsidP="00F17001">
      <w:pPr>
        <w:pStyle w:val="ListParagraph"/>
        <w:spacing w:after="0" w:line="360" w:lineRule="auto"/>
        <w:rPr>
          <w:rFonts w:ascii="Arial" w:hAnsi="Arial" w:cs="Arial"/>
        </w:rPr>
      </w:pPr>
      <w:r w:rsidRPr="00F17001">
        <w:rPr>
          <w:rFonts w:ascii="Arial" w:hAnsi="Arial" w:cs="Arial"/>
        </w:rPr>
        <w:t>m of pipe work included in costing</w:t>
      </w:r>
      <w:proofErr w:type="gramStart"/>
      <w:r w:rsidRPr="00F17001">
        <w:rPr>
          <w:rFonts w:ascii="Arial" w:hAnsi="Arial" w:cs="Arial"/>
        </w:rPr>
        <w:t>);</w:t>
      </w:r>
      <w:proofErr w:type="gramEnd"/>
      <w:r w:rsidRPr="00F17001">
        <w:rPr>
          <w:rFonts w:ascii="Arial" w:hAnsi="Arial" w:cs="Arial"/>
        </w:rPr>
        <w:t xml:space="preserve"> </w:t>
      </w:r>
    </w:p>
    <w:p w14:paraId="42D21DA8" w14:textId="4D8D5867" w:rsidR="00F17001" w:rsidRPr="00F17001" w:rsidRDefault="00F17001" w:rsidP="00F17001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17001">
        <w:rPr>
          <w:rFonts w:ascii="Arial" w:hAnsi="Arial" w:cs="Arial"/>
        </w:rPr>
        <w:t>The ‘Pasture pump and associated pipe work’ must be installed as detailed in the</w:t>
      </w:r>
    </w:p>
    <w:p w14:paraId="057BE9EF" w14:textId="67738C5D" w:rsidR="00D754EC" w:rsidRDefault="00F17001" w:rsidP="00F17001">
      <w:pPr>
        <w:pStyle w:val="ListParagraph"/>
        <w:spacing w:after="0"/>
        <w:rPr>
          <w:rFonts w:ascii="Arial" w:hAnsi="Arial" w:cs="Arial"/>
        </w:rPr>
      </w:pPr>
      <w:proofErr w:type="spellStart"/>
      <w:r w:rsidRPr="00F17001">
        <w:rPr>
          <w:rFonts w:ascii="Arial" w:hAnsi="Arial" w:cs="Arial"/>
        </w:rPr>
        <w:t>ssRMP</w:t>
      </w:r>
      <w:proofErr w:type="spellEnd"/>
      <w:r w:rsidRPr="00F17001">
        <w:rPr>
          <w:rFonts w:ascii="Arial" w:hAnsi="Arial" w:cs="Arial"/>
        </w:rPr>
        <w:t xml:space="preserve"> for EFS(H) sites.</w:t>
      </w:r>
      <w:r w:rsidRPr="00F17001">
        <w:rPr>
          <w:rFonts w:ascii="Arial" w:hAnsi="Arial" w:cs="Arial"/>
        </w:rPr>
        <w:cr/>
      </w:r>
    </w:p>
    <w:p w14:paraId="34CFAB7F" w14:textId="77777777" w:rsidR="00F17001" w:rsidRPr="00F17001" w:rsidRDefault="00F17001" w:rsidP="00F17001">
      <w:pPr>
        <w:spacing w:after="0" w:line="360" w:lineRule="auto"/>
        <w:rPr>
          <w:rFonts w:ascii="Arial" w:hAnsi="Arial" w:cs="Arial"/>
          <w:b/>
        </w:rPr>
      </w:pPr>
      <w:r w:rsidRPr="00F17001">
        <w:rPr>
          <w:rFonts w:ascii="Arial" w:hAnsi="Arial" w:cs="Arial"/>
          <w:b/>
        </w:rPr>
        <w:t>Loughs Agency permit:</w:t>
      </w:r>
    </w:p>
    <w:p w14:paraId="5F52E245" w14:textId="7EF5CEBD" w:rsidR="00F17001" w:rsidRPr="00F17001" w:rsidRDefault="00F17001" w:rsidP="006672A0">
      <w:pPr>
        <w:spacing w:after="0"/>
        <w:rPr>
          <w:rFonts w:ascii="Arial" w:hAnsi="Arial" w:cs="Arial"/>
          <w:bCs/>
        </w:rPr>
      </w:pPr>
      <w:r w:rsidRPr="00F17001">
        <w:rPr>
          <w:rFonts w:ascii="Arial" w:hAnsi="Arial" w:cs="Arial"/>
          <w:bCs/>
        </w:rPr>
        <w:t>Within the Foyle and Carlingford areas, any in stream or bank works on rivers which may impact on the riverbed material from the freshwater portion of any river may require a permit issued under Article 46 and 47 of the Foyle Fisheries Act (Northern Ireland) 1952. An application form and further information can be downloaded from the link below:</w:t>
      </w:r>
    </w:p>
    <w:p w14:paraId="09BF56D3" w14:textId="2C94FB28" w:rsidR="00F17001" w:rsidRDefault="00000000" w:rsidP="006672A0">
      <w:pPr>
        <w:spacing w:after="0"/>
        <w:rPr>
          <w:rFonts w:ascii="Arial" w:hAnsi="Arial" w:cs="Arial"/>
          <w:bCs/>
        </w:rPr>
      </w:pPr>
      <w:hyperlink r:id="rId8" w:history="1">
        <w:r w:rsidR="006672A0" w:rsidRPr="00B431F9">
          <w:rPr>
            <w:rStyle w:val="Hyperlink"/>
            <w:rFonts w:ascii="Arial" w:hAnsi="Arial" w:cs="Arial"/>
            <w:bCs/>
          </w:rPr>
          <w:t>http://www.loughs-agency.org/application-for-section-4647-permit/</w:t>
        </w:r>
      </w:hyperlink>
    </w:p>
    <w:p w14:paraId="04AC9487" w14:textId="77777777" w:rsidR="006672A0" w:rsidRPr="00F17001" w:rsidRDefault="006672A0" w:rsidP="00F17001">
      <w:pPr>
        <w:spacing w:after="0" w:line="240" w:lineRule="auto"/>
        <w:rPr>
          <w:rFonts w:ascii="Arial" w:hAnsi="Arial" w:cs="Arial"/>
          <w:bCs/>
        </w:rPr>
      </w:pPr>
    </w:p>
    <w:p w14:paraId="56DCA972" w14:textId="09F85514" w:rsidR="00F17001" w:rsidRPr="00F17001" w:rsidRDefault="00F17001" w:rsidP="00F17001">
      <w:pPr>
        <w:spacing w:after="0" w:line="240" w:lineRule="auto"/>
        <w:rPr>
          <w:rFonts w:ascii="Arial" w:hAnsi="Arial" w:cs="Arial"/>
          <w:bCs/>
        </w:rPr>
      </w:pPr>
      <w:r w:rsidRPr="00F17001">
        <w:rPr>
          <w:rFonts w:ascii="Arial" w:hAnsi="Arial" w:cs="Arial"/>
          <w:bCs/>
        </w:rPr>
        <w:t>This permit and any accompanying conditions must be included in your application, where applicable. In addition, any such works will require Loughs Agency supervision /inspection.</w:t>
      </w:r>
    </w:p>
    <w:p w14:paraId="4F3AB0AB" w14:textId="77777777" w:rsidR="0031335F" w:rsidRDefault="0031335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998676A" w14:textId="77777777" w:rsidR="00D754EC" w:rsidRPr="00D754EC" w:rsidRDefault="00D754EC" w:rsidP="00D754EC">
      <w:pPr>
        <w:spacing w:line="240" w:lineRule="auto"/>
        <w:rPr>
          <w:rFonts w:ascii="Arial" w:hAnsi="Arial" w:cs="Arial"/>
          <w:u w:val="single"/>
        </w:rPr>
      </w:pPr>
      <w:r w:rsidRPr="00D754EC">
        <w:rPr>
          <w:rFonts w:ascii="Arial" w:hAnsi="Arial" w:cs="Arial"/>
          <w:b/>
          <w:u w:val="single"/>
        </w:rPr>
        <w:lastRenderedPageBreak/>
        <w:t>Further Advice:</w:t>
      </w:r>
    </w:p>
    <w:p w14:paraId="7C9669E8" w14:textId="51A33159" w:rsidR="006672A0" w:rsidRPr="006672A0" w:rsidRDefault="006672A0" w:rsidP="006672A0">
      <w:pPr>
        <w:autoSpaceDE w:val="0"/>
        <w:autoSpaceDN w:val="0"/>
        <w:spacing w:line="240" w:lineRule="auto"/>
        <w:rPr>
          <w:rFonts w:ascii="Arial" w:hAnsi="Arial" w:cs="Arial"/>
        </w:rPr>
      </w:pPr>
      <w:r w:rsidRPr="006672A0">
        <w:rPr>
          <w:rFonts w:ascii="Arial" w:hAnsi="Arial" w:cs="Arial"/>
        </w:rPr>
        <w:t>If you intend to complete this NPI on a march boundary, you should ensure that you have</w:t>
      </w:r>
      <w:r>
        <w:rPr>
          <w:rFonts w:ascii="Arial" w:hAnsi="Arial" w:cs="Arial"/>
        </w:rPr>
        <w:t xml:space="preserve"> </w:t>
      </w:r>
      <w:r w:rsidRPr="006672A0">
        <w:rPr>
          <w:rFonts w:ascii="Arial" w:hAnsi="Arial" w:cs="Arial"/>
        </w:rPr>
        <w:t>fully discussed and agreed that you can carry out the NPI requirements and controls on the</w:t>
      </w:r>
      <w:r>
        <w:rPr>
          <w:rFonts w:ascii="Arial" w:hAnsi="Arial" w:cs="Arial"/>
        </w:rPr>
        <w:t xml:space="preserve"> </w:t>
      </w:r>
      <w:r w:rsidRPr="006672A0">
        <w:rPr>
          <w:rFonts w:ascii="Arial" w:hAnsi="Arial" w:cs="Arial"/>
        </w:rPr>
        <w:t>march boundary with the person who has control of the neighbouring land.</w:t>
      </w:r>
    </w:p>
    <w:p w14:paraId="4842FF61" w14:textId="7D9489A8" w:rsidR="006672A0" w:rsidRPr="006672A0" w:rsidRDefault="006672A0" w:rsidP="006672A0">
      <w:pPr>
        <w:autoSpaceDE w:val="0"/>
        <w:autoSpaceDN w:val="0"/>
        <w:spacing w:line="240" w:lineRule="auto"/>
        <w:rPr>
          <w:rFonts w:ascii="Arial" w:hAnsi="Arial" w:cs="Arial"/>
        </w:rPr>
      </w:pPr>
      <w:r w:rsidRPr="006672A0">
        <w:rPr>
          <w:rFonts w:ascii="Arial" w:hAnsi="Arial" w:cs="Arial"/>
        </w:rPr>
        <w:t>Pipe work should comply with British Standards and be buried at least 750 mm into the</w:t>
      </w:r>
      <w:r>
        <w:rPr>
          <w:rFonts w:ascii="Arial" w:hAnsi="Arial" w:cs="Arial"/>
        </w:rPr>
        <w:t xml:space="preserve"> </w:t>
      </w:r>
      <w:r w:rsidRPr="006672A0">
        <w:rPr>
          <w:rFonts w:ascii="Arial" w:hAnsi="Arial" w:cs="Arial"/>
        </w:rPr>
        <w:t>ground.</w:t>
      </w:r>
    </w:p>
    <w:p w14:paraId="37D63A2D" w14:textId="77777777" w:rsidR="006672A0" w:rsidRDefault="006672A0" w:rsidP="006672A0">
      <w:pPr>
        <w:autoSpaceDE w:val="0"/>
        <w:autoSpaceDN w:val="0"/>
        <w:spacing w:line="240" w:lineRule="auto"/>
        <w:rPr>
          <w:rFonts w:ascii="Arial" w:hAnsi="Arial" w:cs="Arial"/>
        </w:rPr>
      </w:pPr>
      <w:r w:rsidRPr="006672A0">
        <w:rPr>
          <w:rFonts w:ascii="Arial" w:hAnsi="Arial" w:cs="Arial"/>
        </w:rPr>
        <w:t>Regular inspections should be carried out to ensure that there are no leaks.</w:t>
      </w:r>
      <w:r>
        <w:rPr>
          <w:rFonts w:ascii="Arial" w:hAnsi="Arial" w:cs="Arial"/>
        </w:rPr>
        <w:t xml:space="preserve"> </w:t>
      </w:r>
    </w:p>
    <w:p w14:paraId="40C82FFD" w14:textId="631BAD5A" w:rsidR="008259A7" w:rsidRDefault="006672A0" w:rsidP="006672A0">
      <w:pPr>
        <w:autoSpaceDE w:val="0"/>
        <w:autoSpaceDN w:val="0"/>
        <w:spacing w:line="240" w:lineRule="auto"/>
        <w:rPr>
          <w:rFonts w:ascii="Arial" w:hAnsi="Arial" w:cs="Arial"/>
          <w:b/>
        </w:rPr>
      </w:pPr>
      <w:r w:rsidRPr="006672A0">
        <w:rPr>
          <w:rFonts w:ascii="Arial" w:hAnsi="Arial" w:cs="Arial"/>
        </w:rPr>
        <w:t xml:space="preserve">The pump should be removed during the winter and stored indoors to prevent frost </w:t>
      </w:r>
      <w:proofErr w:type="gramStart"/>
      <w:r w:rsidRPr="006672A0">
        <w:rPr>
          <w:rFonts w:ascii="Arial" w:hAnsi="Arial" w:cs="Arial"/>
        </w:rPr>
        <w:t>damage</w:t>
      </w:r>
      <w:proofErr w:type="gramEnd"/>
    </w:p>
    <w:sectPr w:rsidR="008259A7" w:rsidSect="00BE5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CAC1" w14:textId="77777777" w:rsidR="007D0E97" w:rsidRDefault="007D0E97" w:rsidP="0036635A">
      <w:pPr>
        <w:spacing w:after="0" w:line="240" w:lineRule="auto"/>
      </w:pPr>
      <w:r>
        <w:separator/>
      </w:r>
    </w:p>
  </w:endnote>
  <w:endnote w:type="continuationSeparator" w:id="0">
    <w:p w14:paraId="5B69E369" w14:textId="77777777" w:rsidR="007D0E97" w:rsidRDefault="007D0E97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957" w14:textId="77777777" w:rsidR="00554245" w:rsidRDefault="00554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ADA" w14:textId="77777777" w:rsidR="00554245" w:rsidRDefault="00554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F60E" w14:textId="77777777" w:rsidR="00554245" w:rsidRDefault="0055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8E5" w14:textId="77777777" w:rsidR="007D0E97" w:rsidRDefault="007D0E97" w:rsidP="0036635A">
      <w:pPr>
        <w:spacing w:after="0" w:line="240" w:lineRule="auto"/>
      </w:pPr>
      <w:r>
        <w:separator/>
      </w:r>
    </w:p>
  </w:footnote>
  <w:footnote w:type="continuationSeparator" w:id="0">
    <w:p w14:paraId="575E5B94" w14:textId="77777777" w:rsidR="007D0E97" w:rsidRDefault="007D0E97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5CE" w14:textId="77777777" w:rsidR="00554245" w:rsidRDefault="00554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F9D3" w14:textId="21386B68" w:rsidR="0048614E" w:rsidRPr="0048614E" w:rsidRDefault="0048614E" w:rsidP="0048614E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FF0000"/>
        <w:sz w:val="32"/>
        <w:szCs w:val="32"/>
      </w:rPr>
    </w:pPr>
    <w:r w:rsidRPr="0048614E">
      <w:rPr>
        <w:rFonts w:ascii="Calibri" w:eastAsia="Calibri" w:hAnsi="Calibri" w:cs="Times New Roman"/>
        <w:b/>
        <w:color w:val="FF0000"/>
        <w:sz w:val="32"/>
        <w:szCs w:val="32"/>
      </w:rPr>
      <w:t>EFS AGREEMENTS COMMENCING 01 JANUARY 202</w:t>
    </w:r>
    <w:r w:rsidR="00554245">
      <w:rPr>
        <w:rFonts w:ascii="Calibri" w:eastAsia="Calibri" w:hAnsi="Calibri" w:cs="Times New Roman"/>
        <w:b/>
        <w:color w:val="FF0000"/>
        <w:sz w:val="32"/>
        <w:szCs w:val="32"/>
      </w:rPr>
      <w:t>4</w:t>
    </w:r>
  </w:p>
  <w:p w14:paraId="04176310" w14:textId="77777777" w:rsidR="0048614E" w:rsidRDefault="00486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35F" w14:textId="77777777" w:rsidR="00554245" w:rsidRDefault="00554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242F"/>
    <w:multiLevelType w:val="hybridMultilevel"/>
    <w:tmpl w:val="C84C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0209">
    <w:abstractNumId w:val="2"/>
  </w:num>
  <w:num w:numId="2" w16cid:durableId="378088613">
    <w:abstractNumId w:val="3"/>
  </w:num>
  <w:num w:numId="3" w16cid:durableId="1035737807">
    <w:abstractNumId w:val="0"/>
  </w:num>
  <w:num w:numId="4" w16cid:durableId="2100983969">
    <w:abstractNumId w:val="1"/>
  </w:num>
  <w:num w:numId="5" w16cid:durableId="1696492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XTI5uHwg7AfacORx79irLMVgROYJl4E+uT36lH5LEOOLF7QWOF8iZjo7/QK4f232FyQd6vMlXzrF9E+Fi+0w==" w:salt="7V8TjqnokXQvSOVADMn4t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B0492"/>
    <w:rsid w:val="000B2A6D"/>
    <w:rsid w:val="000E3962"/>
    <w:rsid w:val="000F20E7"/>
    <w:rsid w:val="001015DC"/>
    <w:rsid w:val="00104B7F"/>
    <w:rsid w:val="00105149"/>
    <w:rsid w:val="00110559"/>
    <w:rsid w:val="001143DB"/>
    <w:rsid w:val="00115D64"/>
    <w:rsid w:val="001163B2"/>
    <w:rsid w:val="001226A8"/>
    <w:rsid w:val="00134CD1"/>
    <w:rsid w:val="00140A70"/>
    <w:rsid w:val="001460FA"/>
    <w:rsid w:val="001465DF"/>
    <w:rsid w:val="001537DB"/>
    <w:rsid w:val="001624DA"/>
    <w:rsid w:val="001870FB"/>
    <w:rsid w:val="00195329"/>
    <w:rsid w:val="001D12F3"/>
    <w:rsid w:val="002070ED"/>
    <w:rsid w:val="002179F7"/>
    <w:rsid w:val="002258C1"/>
    <w:rsid w:val="00227BD1"/>
    <w:rsid w:val="002632DE"/>
    <w:rsid w:val="002955CB"/>
    <w:rsid w:val="002A4877"/>
    <w:rsid w:val="002A4C2C"/>
    <w:rsid w:val="002A58B8"/>
    <w:rsid w:val="002C1240"/>
    <w:rsid w:val="002D78FF"/>
    <w:rsid w:val="003117E7"/>
    <w:rsid w:val="0031335F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614E"/>
    <w:rsid w:val="004921FD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27B69"/>
    <w:rsid w:val="0053654C"/>
    <w:rsid w:val="00554245"/>
    <w:rsid w:val="005549D0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2F2A"/>
    <w:rsid w:val="00646A35"/>
    <w:rsid w:val="00656F22"/>
    <w:rsid w:val="00666444"/>
    <w:rsid w:val="006672A0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4696E"/>
    <w:rsid w:val="007A0EC9"/>
    <w:rsid w:val="007C55AB"/>
    <w:rsid w:val="007D0E97"/>
    <w:rsid w:val="007F67BD"/>
    <w:rsid w:val="00817740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60866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93017"/>
    <w:rsid w:val="00AA194C"/>
    <w:rsid w:val="00AB5BBB"/>
    <w:rsid w:val="00AC3D7C"/>
    <w:rsid w:val="00AD6B6F"/>
    <w:rsid w:val="00AF209C"/>
    <w:rsid w:val="00AF79C0"/>
    <w:rsid w:val="00B02434"/>
    <w:rsid w:val="00B14992"/>
    <w:rsid w:val="00B171D9"/>
    <w:rsid w:val="00B208DF"/>
    <w:rsid w:val="00B661CA"/>
    <w:rsid w:val="00B91D49"/>
    <w:rsid w:val="00B94F1E"/>
    <w:rsid w:val="00BA3C88"/>
    <w:rsid w:val="00BA7EE4"/>
    <w:rsid w:val="00BC1333"/>
    <w:rsid w:val="00BD39FA"/>
    <w:rsid w:val="00BE3C7D"/>
    <w:rsid w:val="00BE5EFB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D50BB"/>
    <w:rsid w:val="00CF197B"/>
    <w:rsid w:val="00D00AC2"/>
    <w:rsid w:val="00D418A0"/>
    <w:rsid w:val="00D61CE4"/>
    <w:rsid w:val="00D754EC"/>
    <w:rsid w:val="00D75553"/>
    <w:rsid w:val="00D86715"/>
    <w:rsid w:val="00D87938"/>
    <w:rsid w:val="00D9490E"/>
    <w:rsid w:val="00DB5722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2A87"/>
    <w:rsid w:val="00E9710D"/>
    <w:rsid w:val="00EA7236"/>
    <w:rsid w:val="00EB23CB"/>
    <w:rsid w:val="00EC090B"/>
    <w:rsid w:val="00EC2ECF"/>
    <w:rsid w:val="00ED1D98"/>
    <w:rsid w:val="00EE4EFD"/>
    <w:rsid w:val="00F022E4"/>
    <w:rsid w:val="00F17001"/>
    <w:rsid w:val="00F5270D"/>
    <w:rsid w:val="00FA6AD4"/>
    <w:rsid w:val="00FB43E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E446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ghs-agency.org/application-for-section-4647-perm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14E2-5AF3-4423-A4D3-7D0BCD81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3</Pages>
  <Words>583</Words>
  <Characters>3027</Characters>
  <Application>Microsoft Office Word</Application>
  <DocSecurity>8</DocSecurity>
  <Lines>151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88</cp:revision>
  <cp:lastPrinted>2016-06-01T11:28:00Z</cp:lastPrinted>
  <dcterms:created xsi:type="dcterms:W3CDTF">2016-05-11T14:46:00Z</dcterms:created>
  <dcterms:modified xsi:type="dcterms:W3CDTF">2024-05-08T16:52:00Z</dcterms:modified>
</cp:coreProperties>
</file>