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522"/>
      </w:tblGrid>
      <w:tr w:rsidR="001641CF" w:rsidRPr="00DA3AE2" w14:paraId="7789E5AD" w14:textId="77777777" w:rsidTr="00A52781">
        <w:trPr>
          <w:trHeight w:hRule="exact" w:val="436"/>
        </w:trPr>
        <w:tc>
          <w:tcPr>
            <w:tcW w:w="5688" w:type="dxa"/>
            <w:vMerge w:val="restart"/>
            <w:shd w:val="clear" w:color="auto" w:fill="auto"/>
          </w:tcPr>
          <w:p w14:paraId="4EDF23F2" w14:textId="77777777" w:rsidR="001641CF" w:rsidRPr="00DA3AE2" w:rsidRDefault="001641CF">
            <w:pPr>
              <w:rPr>
                <w:b/>
              </w:rPr>
            </w:pPr>
            <w:r w:rsidRPr="00DA3AE2">
              <w:rPr>
                <w:b/>
              </w:rPr>
              <w:t>Title:</w:t>
            </w:r>
          </w:p>
          <w:p w14:paraId="6172DB6C" w14:textId="0541892A" w:rsidR="001641CF" w:rsidRPr="00DA3AE2" w:rsidRDefault="00810AE9">
            <w:pPr>
              <w:rPr>
                <w:sz w:val="20"/>
              </w:rPr>
            </w:pPr>
            <w:r w:rsidRPr="00DA3AE2">
              <w:rPr>
                <w:b/>
                <w:sz w:val="20"/>
              </w:rPr>
              <w:t>Draft Ammonia Strategy</w:t>
            </w:r>
          </w:p>
        </w:tc>
        <w:tc>
          <w:tcPr>
            <w:tcW w:w="4608" w:type="dxa"/>
            <w:shd w:val="solid" w:color="auto" w:fill="0C0C0C"/>
          </w:tcPr>
          <w:p w14:paraId="0E589647" w14:textId="77777777" w:rsidR="001641CF" w:rsidRPr="00DA3AE2" w:rsidRDefault="001641CF" w:rsidP="001577E1">
            <w:pPr>
              <w:spacing w:before="120"/>
              <w:rPr>
                <w:b/>
                <w:color w:val="FFFFFF"/>
              </w:rPr>
            </w:pPr>
            <w:r w:rsidRPr="00DA3AE2">
              <w:rPr>
                <w:b/>
                <w:color w:val="FFFFFF"/>
              </w:rPr>
              <w:t>Regulatory Impact Assessment (RIA)</w:t>
            </w:r>
          </w:p>
        </w:tc>
      </w:tr>
      <w:tr w:rsidR="001641CF" w:rsidRPr="00DA3AE2" w14:paraId="30A6CA3A" w14:textId="77777777" w:rsidTr="001577E1">
        <w:trPr>
          <w:trHeight w:hRule="exact" w:val="357"/>
        </w:trPr>
        <w:tc>
          <w:tcPr>
            <w:tcW w:w="5688" w:type="dxa"/>
            <w:vMerge/>
            <w:shd w:val="clear" w:color="auto" w:fill="auto"/>
          </w:tcPr>
          <w:p w14:paraId="003D0D6C" w14:textId="77777777" w:rsidR="001641CF" w:rsidRPr="00DA3AE2" w:rsidRDefault="001641CF" w:rsidP="001641CF"/>
        </w:tc>
        <w:tc>
          <w:tcPr>
            <w:tcW w:w="4608" w:type="dxa"/>
            <w:shd w:val="clear" w:color="auto" w:fill="auto"/>
            <w:tcMar>
              <w:top w:w="85" w:type="dxa"/>
              <w:bottom w:w="85" w:type="dxa"/>
            </w:tcMar>
          </w:tcPr>
          <w:p w14:paraId="4138872E" w14:textId="5E699FA9" w:rsidR="001641CF" w:rsidRPr="00DA3AE2" w:rsidRDefault="001641CF" w:rsidP="00B7510F">
            <w:pPr>
              <w:rPr>
                <w:sz w:val="22"/>
                <w:szCs w:val="22"/>
              </w:rPr>
            </w:pPr>
            <w:r w:rsidRPr="00DA3AE2">
              <w:rPr>
                <w:b/>
                <w:sz w:val="22"/>
                <w:szCs w:val="22"/>
              </w:rPr>
              <w:t>Date:</w:t>
            </w:r>
            <w:r w:rsidR="000C0433" w:rsidRPr="00DA3AE2">
              <w:rPr>
                <w:b/>
                <w:sz w:val="22"/>
                <w:szCs w:val="22"/>
              </w:rPr>
              <w:t xml:space="preserve"> </w:t>
            </w:r>
            <w:r w:rsidR="00A1662D">
              <w:rPr>
                <w:b/>
                <w:sz w:val="22"/>
                <w:szCs w:val="22"/>
              </w:rPr>
              <w:t>2</w:t>
            </w:r>
            <w:r w:rsidR="004C1FFC">
              <w:rPr>
                <w:b/>
                <w:sz w:val="22"/>
                <w:szCs w:val="22"/>
              </w:rPr>
              <w:t>8</w:t>
            </w:r>
            <w:r w:rsidR="00A1662D">
              <w:rPr>
                <w:b/>
                <w:sz w:val="22"/>
                <w:szCs w:val="22"/>
              </w:rPr>
              <w:t xml:space="preserve"> October</w:t>
            </w:r>
            <w:r w:rsidR="00B7510F" w:rsidRPr="00DA3AE2">
              <w:rPr>
                <w:b/>
                <w:sz w:val="20"/>
              </w:rPr>
              <w:t xml:space="preserve"> 2022</w:t>
            </w:r>
          </w:p>
        </w:tc>
      </w:tr>
      <w:tr w:rsidR="001641CF" w:rsidRPr="00DA3AE2" w14:paraId="249A9030" w14:textId="77777777" w:rsidTr="001577E1">
        <w:trPr>
          <w:trHeight w:hRule="exact" w:val="357"/>
        </w:trPr>
        <w:tc>
          <w:tcPr>
            <w:tcW w:w="5688" w:type="dxa"/>
            <w:vMerge/>
            <w:shd w:val="clear" w:color="auto" w:fill="auto"/>
          </w:tcPr>
          <w:p w14:paraId="09A8E51F" w14:textId="77777777" w:rsidR="001641CF" w:rsidRPr="00DA3AE2" w:rsidRDefault="001641CF" w:rsidP="00126611"/>
        </w:tc>
        <w:tc>
          <w:tcPr>
            <w:tcW w:w="4608" w:type="dxa"/>
            <w:shd w:val="clear" w:color="auto" w:fill="auto"/>
            <w:tcMar>
              <w:top w:w="85" w:type="dxa"/>
              <w:bottom w:w="85" w:type="dxa"/>
            </w:tcMar>
          </w:tcPr>
          <w:p w14:paraId="2F6A85C5" w14:textId="77777777" w:rsidR="001641CF" w:rsidRPr="00DA3AE2" w:rsidRDefault="001641CF" w:rsidP="007660AD">
            <w:pPr>
              <w:rPr>
                <w:b/>
                <w:sz w:val="22"/>
                <w:szCs w:val="22"/>
              </w:rPr>
            </w:pPr>
            <w:r w:rsidRPr="00DA3AE2">
              <w:rPr>
                <w:b/>
                <w:sz w:val="22"/>
                <w:szCs w:val="22"/>
              </w:rPr>
              <w:t>Type of measure:</w:t>
            </w:r>
            <w:r w:rsidR="007660AD" w:rsidRPr="00DA3AE2">
              <w:rPr>
                <w:b/>
                <w:sz w:val="22"/>
                <w:szCs w:val="22"/>
              </w:rPr>
              <w:t xml:space="preserve"> </w:t>
            </w:r>
            <w:r w:rsidR="007660AD" w:rsidRPr="00DA3AE2">
              <w:rPr>
                <w:sz w:val="22"/>
                <w:szCs w:val="22"/>
              </w:rPr>
              <w:t>Strategy</w:t>
            </w:r>
          </w:p>
        </w:tc>
      </w:tr>
      <w:tr w:rsidR="001641CF" w:rsidRPr="00DA3AE2" w14:paraId="1E6E6AF0" w14:textId="77777777" w:rsidTr="001577E1">
        <w:trPr>
          <w:trHeight w:hRule="exact" w:val="357"/>
        </w:trPr>
        <w:tc>
          <w:tcPr>
            <w:tcW w:w="5688" w:type="dxa"/>
            <w:vMerge w:val="restart"/>
            <w:shd w:val="clear" w:color="auto" w:fill="auto"/>
          </w:tcPr>
          <w:p w14:paraId="589A4F10" w14:textId="77777777" w:rsidR="001641CF" w:rsidRPr="00DA3AE2" w:rsidRDefault="001641CF" w:rsidP="001641CF">
            <w:pPr>
              <w:rPr>
                <w:b/>
              </w:rPr>
            </w:pPr>
            <w:r w:rsidRPr="00DA3AE2">
              <w:rPr>
                <w:b/>
              </w:rPr>
              <w:t>Lead department or agency:</w:t>
            </w:r>
          </w:p>
          <w:p w14:paraId="32D7F98C" w14:textId="7CA37033" w:rsidR="00AE6D20" w:rsidRPr="00DA3AE2" w:rsidRDefault="00810AE9" w:rsidP="001641CF">
            <w:pPr>
              <w:rPr>
                <w:sz w:val="20"/>
              </w:rPr>
            </w:pPr>
            <w:r w:rsidRPr="00DA3AE2">
              <w:rPr>
                <w:b/>
                <w:sz w:val="20"/>
              </w:rPr>
              <w:t>DAERA</w:t>
            </w:r>
          </w:p>
        </w:tc>
        <w:tc>
          <w:tcPr>
            <w:tcW w:w="4608" w:type="dxa"/>
            <w:shd w:val="clear" w:color="auto" w:fill="auto"/>
            <w:tcMar>
              <w:top w:w="85" w:type="dxa"/>
              <w:bottom w:w="85" w:type="dxa"/>
            </w:tcMar>
          </w:tcPr>
          <w:p w14:paraId="228D3672" w14:textId="77777777" w:rsidR="001641CF" w:rsidRPr="00DA3AE2" w:rsidRDefault="001641CF" w:rsidP="007660AD">
            <w:pPr>
              <w:rPr>
                <w:sz w:val="22"/>
                <w:szCs w:val="22"/>
              </w:rPr>
            </w:pPr>
            <w:r w:rsidRPr="00DA3AE2">
              <w:rPr>
                <w:b/>
                <w:sz w:val="22"/>
                <w:szCs w:val="22"/>
              </w:rPr>
              <w:t>Stage:</w:t>
            </w:r>
            <w:bookmarkStart w:id="0" w:name="Dropdown2"/>
            <w:r w:rsidR="007660AD" w:rsidRPr="00DA3AE2">
              <w:rPr>
                <w:b/>
                <w:sz w:val="22"/>
                <w:szCs w:val="22"/>
              </w:rPr>
              <w:t xml:space="preserve"> Consultation</w:t>
            </w:r>
            <w:bookmarkEnd w:id="0"/>
          </w:p>
        </w:tc>
      </w:tr>
      <w:tr w:rsidR="001641CF" w:rsidRPr="00DA3AE2" w14:paraId="5EBC4900" w14:textId="77777777" w:rsidTr="001577E1">
        <w:trPr>
          <w:trHeight w:hRule="exact" w:val="357"/>
        </w:trPr>
        <w:tc>
          <w:tcPr>
            <w:tcW w:w="5688" w:type="dxa"/>
            <w:vMerge/>
            <w:shd w:val="clear" w:color="auto" w:fill="auto"/>
          </w:tcPr>
          <w:p w14:paraId="0D094385" w14:textId="77777777" w:rsidR="001641CF" w:rsidRPr="00DA3AE2" w:rsidRDefault="001641CF"/>
        </w:tc>
        <w:tc>
          <w:tcPr>
            <w:tcW w:w="4608" w:type="dxa"/>
            <w:shd w:val="clear" w:color="auto" w:fill="auto"/>
            <w:tcMar>
              <w:top w:w="85" w:type="dxa"/>
              <w:bottom w:w="85" w:type="dxa"/>
            </w:tcMar>
          </w:tcPr>
          <w:p w14:paraId="376FFFFC" w14:textId="0E5B1771" w:rsidR="001641CF" w:rsidRPr="00DA3AE2" w:rsidRDefault="001641CF">
            <w:pPr>
              <w:rPr>
                <w:sz w:val="22"/>
                <w:szCs w:val="22"/>
              </w:rPr>
            </w:pPr>
            <w:r w:rsidRPr="00DA3AE2">
              <w:rPr>
                <w:b/>
                <w:sz w:val="22"/>
                <w:szCs w:val="22"/>
              </w:rPr>
              <w:t>Source of intervention:</w:t>
            </w:r>
            <w:r w:rsidR="00C526A5">
              <w:rPr>
                <w:b/>
                <w:sz w:val="22"/>
                <w:szCs w:val="22"/>
              </w:rPr>
              <w:t xml:space="preserve">  </w:t>
            </w:r>
            <w:r w:rsidR="00C526A5">
              <w:rPr>
                <w:sz w:val="22"/>
                <w:szCs w:val="22"/>
              </w:rPr>
              <w:t>Domestic NI</w:t>
            </w:r>
          </w:p>
        </w:tc>
      </w:tr>
      <w:tr w:rsidR="001641CF" w:rsidRPr="00DA3AE2" w14:paraId="360D73F5" w14:textId="77777777" w:rsidTr="001577E1">
        <w:trPr>
          <w:trHeight w:hRule="exact" w:val="357"/>
        </w:trPr>
        <w:tc>
          <w:tcPr>
            <w:tcW w:w="5688" w:type="dxa"/>
            <w:vMerge w:val="restart"/>
            <w:shd w:val="clear" w:color="auto" w:fill="auto"/>
          </w:tcPr>
          <w:p w14:paraId="784978C3" w14:textId="77777777" w:rsidR="001641CF" w:rsidRPr="00DA3AE2" w:rsidRDefault="001641CF">
            <w:pPr>
              <w:rPr>
                <w:b/>
              </w:rPr>
            </w:pPr>
            <w:r w:rsidRPr="00DA3AE2">
              <w:rPr>
                <w:b/>
              </w:rPr>
              <w:t>Other departments or agencies:</w:t>
            </w:r>
          </w:p>
          <w:p w14:paraId="35AAC308" w14:textId="3E7E0B6F" w:rsidR="00AE6D20" w:rsidRPr="00DA3AE2" w:rsidRDefault="00C526A5">
            <w:pPr>
              <w:rPr>
                <w:sz w:val="20"/>
              </w:rPr>
            </w:pPr>
            <w:r>
              <w:rPr>
                <w:b/>
                <w:sz w:val="20"/>
              </w:rPr>
              <w:t>N/A</w:t>
            </w:r>
          </w:p>
        </w:tc>
        <w:tc>
          <w:tcPr>
            <w:tcW w:w="4608" w:type="dxa"/>
            <w:shd w:val="clear" w:color="auto" w:fill="auto"/>
            <w:tcMar>
              <w:top w:w="85" w:type="dxa"/>
              <w:bottom w:w="85" w:type="dxa"/>
            </w:tcMar>
          </w:tcPr>
          <w:p w14:paraId="7308DCD9" w14:textId="06FC093A" w:rsidR="001641CF" w:rsidRPr="00DA3AE2" w:rsidRDefault="001641CF" w:rsidP="00810AE9">
            <w:pPr>
              <w:rPr>
                <w:sz w:val="22"/>
                <w:szCs w:val="22"/>
              </w:rPr>
            </w:pPr>
            <w:r w:rsidRPr="00DA3AE2">
              <w:rPr>
                <w:b/>
                <w:sz w:val="22"/>
                <w:szCs w:val="22"/>
              </w:rPr>
              <w:t>Contact details:</w:t>
            </w:r>
            <w:r w:rsidR="00810AE9" w:rsidRPr="00DA3AE2">
              <w:rPr>
                <w:sz w:val="20"/>
              </w:rPr>
              <w:t xml:space="preserve"> </w:t>
            </w:r>
            <w:r w:rsidR="002D31F7">
              <w:rPr>
                <w:sz w:val="20"/>
              </w:rPr>
              <w:t>Kate Semple</w:t>
            </w:r>
          </w:p>
        </w:tc>
      </w:tr>
      <w:tr w:rsidR="001641CF" w:rsidRPr="00DA3AE2" w14:paraId="58578477" w14:textId="77777777" w:rsidTr="001577E1">
        <w:trPr>
          <w:trHeight w:hRule="exact" w:val="357"/>
        </w:trPr>
        <w:tc>
          <w:tcPr>
            <w:tcW w:w="5688" w:type="dxa"/>
            <w:vMerge/>
            <w:shd w:val="clear" w:color="auto" w:fill="auto"/>
          </w:tcPr>
          <w:p w14:paraId="3D26530C" w14:textId="77777777" w:rsidR="001641CF" w:rsidRPr="00DA3AE2" w:rsidRDefault="001641CF"/>
        </w:tc>
        <w:tc>
          <w:tcPr>
            <w:tcW w:w="4608" w:type="dxa"/>
            <w:shd w:val="clear" w:color="auto" w:fill="auto"/>
            <w:tcMar>
              <w:top w:w="85" w:type="dxa"/>
              <w:bottom w:w="85" w:type="dxa"/>
            </w:tcMar>
          </w:tcPr>
          <w:p w14:paraId="024CD36C" w14:textId="25D5FD48" w:rsidR="001641CF" w:rsidRPr="00DA3AE2" w:rsidRDefault="009211B3">
            <w:pPr>
              <w:rPr>
                <w:sz w:val="22"/>
                <w:szCs w:val="22"/>
              </w:rPr>
            </w:pPr>
            <w:hyperlink r:id="rId9" w:history="1">
              <w:r w:rsidR="002D31F7" w:rsidRPr="00D82930">
                <w:rPr>
                  <w:rStyle w:val="Hyperlink"/>
                  <w:sz w:val="20"/>
                </w:rPr>
                <w:t>Kate.semple@daera-ni.gov.uk</w:t>
              </w:r>
            </w:hyperlink>
            <w:r w:rsidR="002D31F7">
              <w:rPr>
                <w:sz w:val="20"/>
              </w:rPr>
              <w:t xml:space="preserve"> </w:t>
            </w:r>
          </w:p>
        </w:tc>
      </w:tr>
      <w:tr w:rsidR="001641CF" w:rsidRPr="00DA3AE2" w14:paraId="190FA643" w14:textId="77777777" w:rsidTr="001577E1">
        <w:trPr>
          <w:trHeight w:hRule="exact" w:val="357"/>
        </w:trPr>
        <w:tc>
          <w:tcPr>
            <w:tcW w:w="5688" w:type="dxa"/>
            <w:vMerge/>
            <w:shd w:val="clear" w:color="auto" w:fill="auto"/>
          </w:tcPr>
          <w:p w14:paraId="3081A5D8" w14:textId="77777777" w:rsidR="001641CF" w:rsidRPr="00DA3AE2" w:rsidRDefault="001641CF"/>
        </w:tc>
        <w:tc>
          <w:tcPr>
            <w:tcW w:w="4608" w:type="dxa"/>
            <w:shd w:val="clear" w:color="auto" w:fill="auto"/>
            <w:tcMar>
              <w:top w:w="85" w:type="dxa"/>
              <w:bottom w:w="85" w:type="dxa"/>
            </w:tcMar>
          </w:tcPr>
          <w:p w14:paraId="78C42D6D" w14:textId="2285320B" w:rsidR="001641CF" w:rsidRPr="00DA3AE2" w:rsidRDefault="00C526A5">
            <w:pPr>
              <w:rPr>
                <w:sz w:val="22"/>
                <w:szCs w:val="22"/>
              </w:rPr>
            </w:pPr>
            <w:r>
              <w:rPr>
                <w:sz w:val="20"/>
              </w:rPr>
              <w:t>Tel 02890 52</w:t>
            </w:r>
            <w:r w:rsidR="00B73AC8">
              <w:rPr>
                <w:sz w:val="20"/>
              </w:rPr>
              <w:t>4</w:t>
            </w:r>
            <w:r>
              <w:rPr>
                <w:sz w:val="20"/>
              </w:rPr>
              <w:t>516</w:t>
            </w:r>
          </w:p>
        </w:tc>
      </w:tr>
    </w:tbl>
    <w:p w14:paraId="086A0EF7" w14:textId="77777777" w:rsidR="009150B3" w:rsidRPr="00DA3AE2" w:rsidRDefault="009150B3">
      <w:pPr>
        <w:rPr>
          <w:sz w:val="16"/>
          <w:szCs w:val="16"/>
        </w:rPr>
      </w:pPr>
    </w:p>
    <w:p w14:paraId="67CCDD2A" w14:textId="77777777" w:rsidR="00AE6D20" w:rsidRPr="00DA3AE2" w:rsidRDefault="00AE6D20">
      <w:pPr>
        <w:rPr>
          <w:b/>
        </w:rPr>
      </w:pPr>
      <w:r w:rsidRPr="00DA3AE2">
        <w:rPr>
          <w:b/>
        </w:rPr>
        <w:t>Summary Intervention and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801"/>
      </w:tblGrid>
      <w:tr w:rsidR="00AE6D20" w:rsidRPr="00DA3AE2" w14:paraId="3AAC60D3" w14:textId="77777777" w:rsidTr="00B73AC8">
        <w:trPr>
          <w:trHeight w:hRule="exact" w:val="2411"/>
        </w:trPr>
        <w:tc>
          <w:tcPr>
            <w:tcW w:w="10296" w:type="dxa"/>
            <w:gridSpan w:val="2"/>
            <w:shd w:val="clear" w:color="auto" w:fill="auto"/>
            <w:tcMar>
              <w:top w:w="28" w:type="dxa"/>
            </w:tcMar>
          </w:tcPr>
          <w:p w14:paraId="394D8061" w14:textId="4F704ABF" w:rsidR="00AE6D20" w:rsidRPr="00DA3AE2" w:rsidRDefault="00AE6D20">
            <w:pPr>
              <w:rPr>
                <w:b/>
                <w:sz w:val="20"/>
              </w:rPr>
            </w:pPr>
            <w:r w:rsidRPr="00DA3AE2">
              <w:rPr>
                <w:b/>
                <w:sz w:val="20"/>
              </w:rPr>
              <w:t>What is the problem under consideration?  Why is government intervention necessary?</w:t>
            </w:r>
            <w:r w:rsidR="00E3724A" w:rsidRPr="00DA3AE2">
              <w:rPr>
                <w:b/>
                <w:sz w:val="20"/>
              </w:rPr>
              <w:t xml:space="preserve"> </w:t>
            </w:r>
            <w:r w:rsidR="00E3724A" w:rsidRPr="00DA3AE2">
              <w:rPr>
                <w:sz w:val="20"/>
              </w:rPr>
              <w:t>(7 lines maximum)</w:t>
            </w:r>
          </w:p>
          <w:p w14:paraId="2418986E" w14:textId="77777777" w:rsidR="001B1171" w:rsidRPr="00DA3AE2" w:rsidRDefault="001B1171" w:rsidP="0072504E">
            <w:pPr>
              <w:rPr>
                <w:sz w:val="20"/>
              </w:rPr>
            </w:pPr>
          </w:p>
          <w:p w14:paraId="6D42E732" w14:textId="68387E42" w:rsidR="00B73AC8" w:rsidRPr="00DA3AE2" w:rsidRDefault="00B73AC8" w:rsidP="003C65E9">
            <w:pPr>
              <w:rPr>
                <w:sz w:val="20"/>
              </w:rPr>
            </w:pPr>
            <w:r w:rsidRPr="00B73AC8">
              <w:rPr>
                <w:sz w:val="20"/>
              </w:rPr>
              <w:t xml:space="preserve">Northern Ireland’s agricultural ammonia emissions are too high and need to be reduced. Government intervention is necessary to meet legislative emissions reduction commitments and nature protection requirements, and to deliver ‘Sustainability for the Future – DAERA’s Plan to 2050’. Northern Ireland currently has 6% of the UK land area and 3% of the population and is responsible for 12% of UK ammonia emissions. Between 2009 and 2019 ammonia emissions from agriculture in Northern Ireland increased by almost 19%. Excess ammonia levels and associated nitrogen deposition damage sensitive species and habitats. Ammonia also impacts public health through its contribution to the formation of particulate matter. </w:t>
            </w:r>
          </w:p>
        </w:tc>
      </w:tr>
      <w:tr w:rsidR="00AE6D20" w:rsidRPr="00DA3AE2" w14:paraId="08C76604" w14:textId="77777777" w:rsidTr="001577E1">
        <w:trPr>
          <w:trHeight w:val="70"/>
        </w:trPr>
        <w:tc>
          <w:tcPr>
            <w:tcW w:w="10296" w:type="dxa"/>
            <w:gridSpan w:val="2"/>
            <w:shd w:val="clear" w:color="auto" w:fill="auto"/>
          </w:tcPr>
          <w:p w14:paraId="020B5BA4" w14:textId="77777777" w:rsidR="00AE6D20" w:rsidRPr="00DA3AE2" w:rsidRDefault="00AE6D20">
            <w:pPr>
              <w:rPr>
                <w:sz w:val="8"/>
                <w:szCs w:val="8"/>
              </w:rPr>
            </w:pPr>
          </w:p>
        </w:tc>
      </w:tr>
      <w:tr w:rsidR="00AE6D20" w:rsidRPr="00DA3AE2" w14:paraId="14C7B15A" w14:textId="77777777" w:rsidTr="00B73AC8">
        <w:trPr>
          <w:trHeight w:hRule="exact" w:val="2447"/>
        </w:trPr>
        <w:tc>
          <w:tcPr>
            <w:tcW w:w="10296" w:type="dxa"/>
            <w:gridSpan w:val="2"/>
            <w:shd w:val="clear" w:color="auto" w:fill="auto"/>
            <w:tcMar>
              <w:top w:w="28" w:type="dxa"/>
            </w:tcMar>
          </w:tcPr>
          <w:p w14:paraId="64A16D36" w14:textId="61D219E0" w:rsidR="00AE6D20" w:rsidRPr="00DA3AE2" w:rsidRDefault="0072504E">
            <w:pPr>
              <w:rPr>
                <w:b/>
                <w:sz w:val="20"/>
              </w:rPr>
            </w:pPr>
            <w:r w:rsidRPr="00DA3AE2">
              <w:rPr>
                <w:b/>
                <w:sz w:val="20"/>
              </w:rPr>
              <w:t>What are the policy objectives and the intended effects?</w:t>
            </w:r>
            <w:r w:rsidR="00E3724A" w:rsidRPr="00DA3AE2">
              <w:rPr>
                <w:b/>
                <w:sz w:val="20"/>
              </w:rPr>
              <w:t xml:space="preserve"> </w:t>
            </w:r>
            <w:r w:rsidR="00E3724A" w:rsidRPr="00DA3AE2">
              <w:rPr>
                <w:sz w:val="20"/>
              </w:rPr>
              <w:t>(7 lines maximum)</w:t>
            </w:r>
          </w:p>
          <w:p w14:paraId="682D189A" w14:textId="77777777" w:rsidR="0072504E" w:rsidRPr="00DA3AE2" w:rsidRDefault="0072504E" w:rsidP="0072504E">
            <w:pPr>
              <w:rPr>
                <w:sz w:val="20"/>
              </w:rPr>
            </w:pPr>
          </w:p>
          <w:p w14:paraId="21470D44" w14:textId="620A85D5" w:rsidR="00A175C5" w:rsidRPr="00DA3AE2" w:rsidRDefault="00A175C5" w:rsidP="004347FB">
            <w:pPr>
              <w:rPr>
                <w:sz w:val="20"/>
              </w:rPr>
            </w:pPr>
            <w:r w:rsidRPr="00DA3AE2">
              <w:rPr>
                <w:sz w:val="20"/>
              </w:rPr>
              <w:t xml:space="preserve">The policy </w:t>
            </w:r>
            <w:r w:rsidR="003C65E9" w:rsidRPr="00DA3AE2">
              <w:rPr>
                <w:sz w:val="20"/>
              </w:rPr>
              <w:t>objective</w:t>
            </w:r>
            <w:r w:rsidRPr="00DA3AE2">
              <w:rPr>
                <w:sz w:val="20"/>
              </w:rPr>
              <w:t>s are to meet 2030</w:t>
            </w:r>
            <w:r w:rsidR="004347FB">
              <w:rPr>
                <w:sz w:val="20"/>
              </w:rPr>
              <w:t xml:space="preserve"> targets of a reduction in total </w:t>
            </w:r>
            <w:r w:rsidRPr="00DA3AE2">
              <w:rPr>
                <w:sz w:val="20"/>
              </w:rPr>
              <w:t xml:space="preserve">NI agricultural </w:t>
            </w:r>
            <w:r w:rsidR="003C65E9" w:rsidRPr="00DA3AE2">
              <w:rPr>
                <w:sz w:val="20"/>
              </w:rPr>
              <w:t xml:space="preserve">ammonia emissions </w:t>
            </w:r>
            <w:r w:rsidRPr="00DA3AE2">
              <w:rPr>
                <w:sz w:val="20"/>
              </w:rPr>
              <w:t>by at least 30%</w:t>
            </w:r>
            <w:r w:rsidR="002D31F7">
              <w:rPr>
                <w:sz w:val="20"/>
              </w:rPr>
              <w:t>, from the 20</w:t>
            </w:r>
            <w:r w:rsidR="00AF22D0">
              <w:rPr>
                <w:sz w:val="20"/>
              </w:rPr>
              <w:t>20</w:t>
            </w:r>
            <w:r w:rsidR="002D31F7">
              <w:rPr>
                <w:sz w:val="20"/>
              </w:rPr>
              <w:t xml:space="preserve"> baseline of </w:t>
            </w:r>
            <w:r w:rsidR="00AF22D0">
              <w:rPr>
                <w:sz w:val="20"/>
              </w:rPr>
              <w:t>31.2</w:t>
            </w:r>
            <w:r w:rsidR="002D31F7">
              <w:rPr>
                <w:sz w:val="20"/>
              </w:rPr>
              <w:t xml:space="preserve"> kt</w:t>
            </w:r>
            <w:r w:rsidRPr="00DA3AE2">
              <w:rPr>
                <w:sz w:val="20"/>
              </w:rPr>
              <w:t>; and</w:t>
            </w:r>
            <w:r w:rsidR="004347FB">
              <w:rPr>
                <w:sz w:val="20"/>
              </w:rPr>
              <w:t xml:space="preserve"> t</w:t>
            </w:r>
            <w:r w:rsidRPr="00DA3AE2">
              <w:rPr>
                <w:sz w:val="20"/>
              </w:rPr>
              <w:t xml:space="preserve">o reduce ammonia levels at internationally designated sites by 40% </w:t>
            </w:r>
            <w:r w:rsidR="006419F6">
              <w:rPr>
                <w:sz w:val="20"/>
              </w:rPr>
              <w:t>from the 202</w:t>
            </w:r>
            <w:r w:rsidR="00AF22D0">
              <w:rPr>
                <w:sz w:val="20"/>
              </w:rPr>
              <w:t>0</w:t>
            </w:r>
            <w:r w:rsidR="006419F6">
              <w:rPr>
                <w:sz w:val="20"/>
              </w:rPr>
              <w:t xml:space="preserve"> baseline, </w:t>
            </w:r>
            <w:r w:rsidRPr="00DA3AE2">
              <w:rPr>
                <w:sz w:val="20"/>
              </w:rPr>
              <w:t>or to below the site’s Critical L</w:t>
            </w:r>
            <w:r w:rsidR="00AF22D0">
              <w:rPr>
                <w:sz w:val="20"/>
              </w:rPr>
              <w:t>evel</w:t>
            </w:r>
            <w:r w:rsidRPr="00DA3AE2">
              <w:rPr>
                <w:sz w:val="20"/>
              </w:rPr>
              <w:t>.</w:t>
            </w:r>
          </w:p>
          <w:p w14:paraId="1F177437" w14:textId="07C26830" w:rsidR="004E1D67" w:rsidRPr="00DA3AE2" w:rsidRDefault="00A175C5" w:rsidP="00A175C5">
            <w:pPr>
              <w:rPr>
                <w:sz w:val="20"/>
              </w:rPr>
            </w:pPr>
            <w:r w:rsidRPr="00DA3AE2">
              <w:rPr>
                <w:sz w:val="20"/>
              </w:rPr>
              <w:t xml:space="preserve">The intended effects of meeting these policy objectives are that </w:t>
            </w:r>
            <w:r w:rsidR="004E1D67" w:rsidRPr="00DA3AE2">
              <w:rPr>
                <w:sz w:val="20"/>
              </w:rPr>
              <w:t xml:space="preserve">Northern Ireland </w:t>
            </w:r>
            <w:r w:rsidRPr="00DA3AE2">
              <w:rPr>
                <w:sz w:val="20"/>
              </w:rPr>
              <w:t>achieves i</w:t>
            </w:r>
            <w:r w:rsidR="004E1D67" w:rsidRPr="00DA3AE2">
              <w:rPr>
                <w:sz w:val="20"/>
              </w:rPr>
              <w:t xml:space="preserve">ts fair share of the UK’s international </w:t>
            </w:r>
            <w:r w:rsidRPr="00DA3AE2">
              <w:rPr>
                <w:sz w:val="20"/>
              </w:rPr>
              <w:t xml:space="preserve">ammonia reduction </w:t>
            </w:r>
            <w:r w:rsidR="004E1D67" w:rsidRPr="00DA3AE2">
              <w:rPr>
                <w:sz w:val="20"/>
              </w:rPr>
              <w:t>target under the Gothenburg Protocol</w:t>
            </w:r>
            <w:r w:rsidRPr="00DA3AE2">
              <w:rPr>
                <w:sz w:val="20"/>
              </w:rPr>
              <w:t xml:space="preserve">, and better </w:t>
            </w:r>
            <w:r w:rsidR="004E1D67" w:rsidRPr="00DA3AE2">
              <w:rPr>
                <w:sz w:val="20"/>
              </w:rPr>
              <w:t xml:space="preserve">outcomes </w:t>
            </w:r>
            <w:r w:rsidRPr="00DA3AE2">
              <w:rPr>
                <w:sz w:val="20"/>
              </w:rPr>
              <w:t xml:space="preserve">are achieved </w:t>
            </w:r>
            <w:r w:rsidR="004E1D67" w:rsidRPr="00DA3AE2">
              <w:rPr>
                <w:sz w:val="20"/>
              </w:rPr>
              <w:t xml:space="preserve">for </w:t>
            </w:r>
            <w:r w:rsidR="00B73AC8">
              <w:rPr>
                <w:sz w:val="20"/>
              </w:rPr>
              <w:t xml:space="preserve">agricultural sustainability, </w:t>
            </w:r>
            <w:r w:rsidR="004E1D67" w:rsidRPr="00DA3AE2">
              <w:rPr>
                <w:sz w:val="20"/>
              </w:rPr>
              <w:t>nitrogen sensitive species an</w:t>
            </w:r>
            <w:r w:rsidRPr="00DA3AE2">
              <w:rPr>
                <w:sz w:val="20"/>
              </w:rPr>
              <w:t>d habitats,</w:t>
            </w:r>
            <w:r w:rsidR="004E1D67" w:rsidRPr="00DA3AE2">
              <w:rPr>
                <w:sz w:val="20"/>
              </w:rPr>
              <w:t xml:space="preserve"> public health</w:t>
            </w:r>
            <w:r w:rsidRPr="00DA3AE2">
              <w:rPr>
                <w:sz w:val="20"/>
              </w:rPr>
              <w:t>,</w:t>
            </w:r>
            <w:r w:rsidR="004E1D67" w:rsidRPr="00DA3AE2">
              <w:rPr>
                <w:sz w:val="20"/>
              </w:rPr>
              <w:t xml:space="preserve"> and air quality in NI.</w:t>
            </w:r>
          </w:p>
          <w:p w14:paraId="491134C1" w14:textId="77777777" w:rsidR="004E1D67" w:rsidRPr="00DA3AE2" w:rsidRDefault="004E1D67" w:rsidP="004E1D67">
            <w:pPr>
              <w:rPr>
                <w:sz w:val="20"/>
              </w:rPr>
            </w:pPr>
          </w:p>
          <w:p w14:paraId="1FE7A593" w14:textId="0F1D5D5A" w:rsidR="004E1D67" w:rsidRPr="00DA3AE2" w:rsidRDefault="004E1D67" w:rsidP="004E1D67">
            <w:pPr>
              <w:rPr>
                <w:sz w:val="20"/>
              </w:rPr>
            </w:pPr>
          </w:p>
        </w:tc>
      </w:tr>
      <w:tr w:rsidR="00AE6D20" w:rsidRPr="00DA3AE2" w14:paraId="2472CF8E" w14:textId="77777777" w:rsidTr="001577E1">
        <w:tc>
          <w:tcPr>
            <w:tcW w:w="10296" w:type="dxa"/>
            <w:gridSpan w:val="2"/>
            <w:shd w:val="clear" w:color="auto" w:fill="auto"/>
          </w:tcPr>
          <w:p w14:paraId="4BEB7EF8" w14:textId="77777777" w:rsidR="00AE6D20" w:rsidRPr="00DA3AE2" w:rsidRDefault="00AE6D20">
            <w:pPr>
              <w:rPr>
                <w:sz w:val="8"/>
                <w:szCs w:val="8"/>
              </w:rPr>
            </w:pPr>
          </w:p>
        </w:tc>
      </w:tr>
      <w:tr w:rsidR="00AE6D20" w:rsidRPr="00DA3AE2" w14:paraId="6EA25829" w14:textId="77777777" w:rsidTr="00B73AC8">
        <w:trPr>
          <w:trHeight w:hRule="exact" w:val="3306"/>
        </w:trPr>
        <w:tc>
          <w:tcPr>
            <w:tcW w:w="10296" w:type="dxa"/>
            <w:gridSpan w:val="2"/>
            <w:shd w:val="clear" w:color="auto" w:fill="auto"/>
            <w:tcMar>
              <w:top w:w="28" w:type="dxa"/>
            </w:tcMar>
          </w:tcPr>
          <w:p w14:paraId="63913DCB" w14:textId="77777777" w:rsidR="00AE6D20" w:rsidRPr="00DA3AE2" w:rsidRDefault="0072504E">
            <w:pPr>
              <w:rPr>
                <w:sz w:val="20"/>
              </w:rPr>
            </w:pPr>
            <w:r w:rsidRPr="00DA3AE2">
              <w:rPr>
                <w:b/>
                <w:sz w:val="20"/>
              </w:rPr>
              <w:t>What policy options have been considered, including any alternatives to regulation?  Please justify preferred option (further details in Evidence Base)</w:t>
            </w:r>
            <w:r w:rsidR="00E3724A" w:rsidRPr="00DA3AE2">
              <w:rPr>
                <w:b/>
                <w:sz w:val="20"/>
              </w:rPr>
              <w:t xml:space="preserve"> </w:t>
            </w:r>
            <w:r w:rsidR="00E3724A" w:rsidRPr="00DA3AE2">
              <w:rPr>
                <w:sz w:val="20"/>
              </w:rPr>
              <w:t>(10 lines maximum)</w:t>
            </w:r>
          </w:p>
          <w:p w14:paraId="55FC9253" w14:textId="77777777" w:rsidR="0072504E" w:rsidRPr="00DA3AE2" w:rsidRDefault="0072504E">
            <w:pPr>
              <w:rPr>
                <w:sz w:val="20"/>
              </w:rPr>
            </w:pPr>
          </w:p>
          <w:p w14:paraId="4B1A44A2" w14:textId="64005DB6" w:rsidR="00B73AC8" w:rsidRPr="00B73AC8" w:rsidRDefault="00B73AC8" w:rsidP="00B73AC8">
            <w:pPr>
              <w:rPr>
                <w:sz w:val="20"/>
              </w:rPr>
            </w:pPr>
            <w:r w:rsidRPr="00B73AC8">
              <w:rPr>
                <w:sz w:val="20"/>
              </w:rPr>
              <w:t>Option 1: Do nothing, do not develop or implement an Ammonia Strategy. This is the baseline option</w:t>
            </w:r>
            <w:r w:rsidR="00D360CA">
              <w:rPr>
                <w:sz w:val="20"/>
              </w:rPr>
              <w:t>.</w:t>
            </w:r>
          </w:p>
          <w:p w14:paraId="49C7E1BA" w14:textId="7D17EA60" w:rsidR="00B73AC8" w:rsidRPr="00B73AC8" w:rsidRDefault="00B73AC8" w:rsidP="00B73AC8">
            <w:pPr>
              <w:rPr>
                <w:sz w:val="20"/>
              </w:rPr>
            </w:pPr>
            <w:r w:rsidRPr="00B73AC8">
              <w:rPr>
                <w:sz w:val="20"/>
              </w:rPr>
              <w:t>Option 2: Develop and implement an Ammonia Strategy with lower cost measures only (21% ammonia reduction)</w:t>
            </w:r>
            <w:r w:rsidR="00D360CA">
              <w:rPr>
                <w:sz w:val="20"/>
              </w:rPr>
              <w:t>.</w:t>
            </w:r>
          </w:p>
          <w:p w14:paraId="142B8579" w14:textId="19876E39" w:rsidR="00B73AC8" w:rsidRPr="00B73AC8" w:rsidRDefault="00B73AC8" w:rsidP="00B73AC8">
            <w:pPr>
              <w:rPr>
                <w:sz w:val="20"/>
              </w:rPr>
            </w:pPr>
            <w:r w:rsidRPr="00B73AC8">
              <w:rPr>
                <w:sz w:val="20"/>
              </w:rPr>
              <w:t>Option 3: Develop and implement an Ammonia Strategy including the full range of feasible ammonia reduction measures (25 to 28% ammonia reduction)</w:t>
            </w:r>
            <w:r w:rsidR="00D360CA">
              <w:rPr>
                <w:sz w:val="20"/>
              </w:rPr>
              <w:t>.</w:t>
            </w:r>
          </w:p>
          <w:p w14:paraId="3D002E57" w14:textId="77777777" w:rsidR="00B73AC8" w:rsidRPr="00B73AC8" w:rsidRDefault="00B73AC8" w:rsidP="00B73AC8">
            <w:pPr>
              <w:rPr>
                <w:sz w:val="20"/>
              </w:rPr>
            </w:pPr>
          </w:p>
          <w:p w14:paraId="7AFD9DF9" w14:textId="4AFE8C68" w:rsidR="00425520" w:rsidRPr="00DA3AE2" w:rsidRDefault="00B73AC8" w:rsidP="00B73AC8">
            <w:pPr>
              <w:rPr>
                <w:sz w:val="20"/>
              </w:rPr>
            </w:pPr>
            <w:r w:rsidRPr="00B73AC8">
              <w:rPr>
                <w:sz w:val="20"/>
              </w:rPr>
              <w:t>Option 3 is deemed the most appropriate option as the pressing need identified for sustained and tangible ammonia reduction means that the more ambitious options modelled should be preferred in the draft strategy for consultation. The current draft strategy proposes a wide range of feasible ammonia reduction measures, including legislation in relation to low emission slurry spreading, chemical fertiliser and mandatory standards for new livestock housing. It also seeks views on whether permitting should be extended to cattle farms in Northern Ireland.</w:t>
            </w:r>
          </w:p>
        </w:tc>
      </w:tr>
      <w:tr w:rsidR="0072504E" w:rsidRPr="00C526A5" w14:paraId="5403099B" w14:textId="77777777" w:rsidTr="00B73AC8">
        <w:trPr>
          <w:trHeight w:hRule="exact" w:val="2105"/>
        </w:trPr>
        <w:tc>
          <w:tcPr>
            <w:tcW w:w="5495" w:type="dxa"/>
            <w:shd w:val="clear" w:color="auto" w:fill="auto"/>
          </w:tcPr>
          <w:p w14:paraId="137E8F83" w14:textId="40EC8A5B" w:rsidR="00B73AC8" w:rsidRDefault="0072504E">
            <w:pPr>
              <w:rPr>
                <w:sz w:val="20"/>
              </w:rPr>
            </w:pPr>
            <w:r w:rsidRPr="00C526A5">
              <w:rPr>
                <w:b/>
                <w:sz w:val="20"/>
              </w:rPr>
              <w:t>Will the policy be reviewed?</w:t>
            </w:r>
            <w:bookmarkStart w:id="1" w:name="Dropdown4"/>
            <w:r w:rsidRPr="00C526A5">
              <w:rPr>
                <w:sz w:val="20"/>
              </w:rPr>
              <w:t xml:space="preserve">  </w:t>
            </w:r>
            <w:bookmarkEnd w:id="1"/>
          </w:p>
          <w:p w14:paraId="4D84A45E" w14:textId="77777777" w:rsidR="00B73AC8" w:rsidRDefault="00B73AC8">
            <w:pPr>
              <w:rPr>
                <w:sz w:val="20"/>
              </w:rPr>
            </w:pPr>
          </w:p>
          <w:p w14:paraId="651CFCBA" w14:textId="24134D05" w:rsidR="0072504E" w:rsidRPr="00C526A5" w:rsidRDefault="006419F6">
            <w:pPr>
              <w:rPr>
                <w:sz w:val="20"/>
              </w:rPr>
            </w:pPr>
            <w:r w:rsidRPr="00C526A5">
              <w:rPr>
                <w:sz w:val="20"/>
              </w:rPr>
              <w:t>The Ammonia Strategy</w:t>
            </w:r>
            <w:r w:rsidR="0001683D" w:rsidRPr="00C526A5">
              <w:rPr>
                <w:sz w:val="20"/>
              </w:rPr>
              <w:t xml:space="preserve"> </w:t>
            </w:r>
            <w:r w:rsidRPr="00C526A5">
              <w:rPr>
                <w:sz w:val="20"/>
              </w:rPr>
              <w:t xml:space="preserve">will be delivered through an initial </w:t>
            </w:r>
            <w:r w:rsidR="00AF22D0" w:rsidRPr="00C526A5">
              <w:rPr>
                <w:sz w:val="20"/>
              </w:rPr>
              <w:t>five-year</w:t>
            </w:r>
            <w:r w:rsidRPr="00C526A5">
              <w:rPr>
                <w:sz w:val="20"/>
              </w:rPr>
              <w:t xml:space="preserve"> policy cycle, with a stocktake at the end of year 2 and a full review after year 5. The stocktake will enable account to be taken of ammonia reductions and potential room for sustainable development.</w:t>
            </w:r>
          </w:p>
        </w:tc>
        <w:tc>
          <w:tcPr>
            <w:tcW w:w="4801" w:type="dxa"/>
            <w:shd w:val="clear" w:color="auto" w:fill="auto"/>
          </w:tcPr>
          <w:p w14:paraId="7B1FD692" w14:textId="79544E22" w:rsidR="0072504E" w:rsidRDefault="0072504E" w:rsidP="004E1D67">
            <w:pPr>
              <w:rPr>
                <w:b/>
                <w:sz w:val="20"/>
              </w:rPr>
            </w:pPr>
            <w:r w:rsidRPr="00C526A5">
              <w:rPr>
                <w:b/>
                <w:sz w:val="20"/>
              </w:rPr>
              <w:t xml:space="preserve">If applicable, set review date: </w:t>
            </w:r>
          </w:p>
          <w:p w14:paraId="32465B60" w14:textId="77777777" w:rsidR="00B73AC8" w:rsidRPr="00C526A5" w:rsidRDefault="00B73AC8" w:rsidP="004E1D67">
            <w:pPr>
              <w:rPr>
                <w:sz w:val="20"/>
              </w:rPr>
            </w:pPr>
          </w:p>
          <w:p w14:paraId="42E421CB" w14:textId="7B9C323B" w:rsidR="0001683D" w:rsidRPr="00C526A5" w:rsidRDefault="0001683D" w:rsidP="004E1D67">
            <w:pPr>
              <w:rPr>
                <w:sz w:val="20"/>
              </w:rPr>
            </w:pPr>
            <w:r w:rsidRPr="00C526A5">
              <w:rPr>
                <w:sz w:val="20"/>
              </w:rPr>
              <w:t>Year 2 stocktake by end of 2025</w:t>
            </w:r>
            <w:r w:rsidR="00D360CA">
              <w:rPr>
                <w:sz w:val="20"/>
              </w:rPr>
              <w:t>.</w:t>
            </w:r>
          </w:p>
          <w:p w14:paraId="74891DB3" w14:textId="77777777" w:rsidR="0001683D" w:rsidRPr="00C526A5" w:rsidRDefault="0001683D" w:rsidP="004E1D67">
            <w:pPr>
              <w:rPr>
                <w:sz w:val="20"/>
              </w:rPr>
            </w:pPr>
          </w:p>
          <w:p w14:paraId="241851B3" w14:textId="3240041C" w:rsidR="0001683D" w:rsidRPr="00C526A5" w:rsidRDefault="0001683D" w:rsidP="004E1D67">
            <w:pPr>
              <w:rPr>
                <w:sz w:val="20"/>
              </w:rPr>
            </w:pPr>
            <w:r w:rsidRPr="00C526A5">
              <w:rPr>
                <w:sz w:val="20"/>
              </w:rPr>
              <w:t>Year 5 review by end of 2028</w:t>
            </w:r>
            <w:r w:rsidR="00D360CA">
              <w:rPr>
                <w:sz w:val="20"/>
              </w:rPr>
              <w:t>.</w:t>
            </w:r>
          </w:p>
        </w:tc>
      </w:tr>
    </w:tbl>
    <w:p w14:paraId="13946763" w14:textId="0E240E0B" w:rsidR="00AE6D20" w:rsidRDefault="00AE6D20">
      <w:pPr>
        <w:rPr>
          <w:sz w:val="12"/>
          <w:szCs w:val="12"/>
        </w:rPr>
      </w:pPr>
      <w:bookmarkStart w:id="2" w:name="_Hlk117160029"/>
    </w:p>
    <w:p w14:paraId="183B77F1" w14:textId="3A015BBC" w:rsidR="004347FB" w:rsidRDefault="004347FB">
      <w:pPr>
        <w:rPr>
          <w:sz w:val="12"/>
          <w:szCs w:val="12"/>
        </w:rPr>
      </w:pPr>
    </w:p>
    <w:p w14:paraId="61291908" w14:textId="42448661" w:rsidR="00B73AC8" w:rsidRDefault="00B73AC8">
      <w:pPr>
        <w:rPr>
          <w:sz w:val="12"/>
          <w:szCs w:val="12"/>
        </w:rPr>
      </w:pPr>
    </w:p>
    <w:p w14:paraId="59E41B0B" w14:textId="1EEE4CBD" w:rsidR="00B73AC8" w:rsidRDefault="00B73AC8">
      <w:pPr>
        <w:rPr>
          <w:sz w:val="12"/>
          <w:szCs w:val="12"/>
        </w:rPr>
      </w:pPr>
    </w:p>
    <w:p w14:paraId="3702BD09" w14:textId="7F1ADBF5" w:rsidR="00B73AC8" w:rsidRDefault="00B73AC8">
      <w:pPr>
        <w:rPr>
          <w:sz w:val="12"/>
          <w:szCs w:val="12"/>
        </w:rPr>
      </w:pPr>
    </w:p>
    <w:p w14:paraId="21F78D47" w14:textId="30F39118" w:rsidR="00B73AC8" w:rsidRDefault="00B73AC8">
      <w:pPr>
        <w:rPr>
          <w:sz w:val="12"/>
          <w:szCs w:val="12"/>
        </w:rPr>
      </w:pPr>
    </w:p>
    <w:p w14:paraId="0B121752" w14:textId="501550D9" w:rsidR="00B73AC8" w:rsidRDefault="00B73AC8">
      <w:pPr>
        <w:rPr>
          <w:sz w:val="12"/>
          <w:szCs w:val="12"/>
        </w:rPr>
      </w:pPr>
    </w:p>
    <w:p w14:paraId="392B03FB" w14:textId="77777777" w:rsidR="00B73AC8" w:rsidRPr="00DA3AE2" w:rsidRDefault="00B73AC8">
      <w:pPr>
        <w:rPr>
          <w:sz w:val="12"/>
          <w:szCs w:val="12"/>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357"/>
        <w:gridCol w:w="3358"/>
        <w:gridCol w:w="3629"/>
      </w:tblGrid>
      <w:tr w:rsidR="00A73C2D" w:rsidRPr="00DA3AE2" w14:paraId="54BC30EF" w14:textId="77777777" w:rsidTr="004347FB">
        <w:tc>
          <w:tcPr>
            <w:tcW w:w="5000" w:type="pct"/>
            <w:gridSpan w:val="3"/>
            <w:shd w:val="clear" w:color="auto" w:fill="E6E6E6"/>
            <w:tcMar>
              <w:top w:w="57" w:type="dxa"/>
            </w:tcMar>
          </w:tcPr>
          <w:p w14:paraId="3F4EFFE8" w14:textId="77777777" w:rsidR="00A73C2D" w:rsidRPr="00DA3AE2" w:rsidRDefault="00A73C2D" w:rsidP="001577E1">
            <w:pPr>
              <w:jc w:val="center"/>
              <w:rPr>
                <w:b/>
                <w:sz w:val="22"/>
                <w:szCs w:val="22"/>
              </w:rPr>
            </w:pPr>
            <w:r w:rsidRPr="00DA3AE2">
              <w:rPr>
                <w:b/>
                <w:sz w:val="22"/>
                <w:szCs w:val="22"/>
              </w:rPr>
              <w:t>Cost of Preferred (or more likely) Option</w:t>
            </w:r>
          </w:p>
        </w:tc>
      </w:tr>
      <w:tr w:rsidR="00A73C2D" w:rsidRPr="00DA3AE2" w14:paraId="0FE33A4E" w14:textId="77777777" w:rsidTr="004347FB">
        <w:tc>
          <w:tcPr>
            <w:tcW w:w="1623" w:type="pct"/>
            <w:shd w:val="clear" w:color="auto" w:fill="E6E6E6"/>
            <w:tcMar>
              <w:top w:w="57" w:type="dxa"/>
            </w:tcMar>
          </w:tcPr>
          <w:p w14:paraId="52AE2FDE" w14:textId="36DF2E73" w:rsidR="00A73C2D" w:rsidRPr="00DA3AE2" w:rsidRDefault="00A73C2D">
            <w:pPr>
              <w:rPr>
                <w:sz w:val="20"/>
              </w:rPr>
            </w:pPr>
            <w:r w:rsidRPr="00DA3AE2">
              <w:rPr>
                <w:b/>
                <w:sz w:val="20"/>
              </w:rPr>
              <w:t xml:space="preserve">Total outlay cost for business </w:t>
            </w:r>
            <w:r w:rsidRPr="00DA3AE2">
              <w:rPr>
                <w:sz w:val="20"/>
              </w:rPr>
              <w:t>£m</w:t>
            </w:r>
          </w:p>
        </w:tc>
        <w:tc>
          <w:tcPr>
            <w:tcW w:w="1623" w:type="pct"/>
            <w:shd w:val="clear" w:color="auto" w:fill="E6E6E6"/>
            <w:tcMar>
              <w:top w:w="57" w:type="dxa"/>
            </w:tcMar>
          </w:tcPr>
          <w:p w14:paraId="7F6F38D4" w14:textId="77777777" w:rsidR="00A73C2D" w:rsidRPr="00DA3AE2" w:rsidRDefault="00A73C2D" w:rsidP="00126611">
            <w:pPr>
              <w:rPr>
                <w:sz w:val="20"/>
              </w:rPr>
            </w:pPr>
            <w:r w:rsidRPr="00DA3AE2">
              <w:rPr>
                <w:b/>
                <w:sz w:val="20"/>
              </w:rPr>
              <w:t xml:space="preserve">Total net cost to business per year </w:t>
            </w:r>
            <w:r w:rsidRPr="00DA3AE2">
              <w:rPr>
                <w:sz w:val="20"/>
              </w:rPr>
              <w:t>£m</w:t>
            </w:r>
          </w:p>
        </w:tc>
        <w:tc>
          <w:tcPr>
            <w:tcW w:w="1754" w:type="pct"/>
            <w:shd w:val="clear" w:color="auto" w:fill="E6E6E6"/>
            <w:tcMar>
              <w:top w:w="57" w:type="dxa"/>
            </w:tcMar>
          </w:tcPr>
          <w:p w14:paraId="68E40D68" w14:textId="77777777" w:rsidR="00A73C2D" w:rsidRPr="00DA3AE2" w:rsidRDefault="00A73C2D" w:rsidP="00126611">
            <w:pPr>
              <w:rPr>
                <w:sz w:val="20"/>
              </w:rPr>
            </w:pPr>
            <w:r w:rsidRPr="00DA3AE2">
              <w:rPr>
                <w:b/>
                <w:sz w:val="20"/>
              </w:rPr>
              <w:t>Annual cost for implementation by Regulator</w:t>
            </w:r>
            <w:r w:rsidRPr="00DA3AE2">
              <w:rPr>
                <w:sz w:val="20"/>
              </w:rPr>
              <w:t xml:space="preserve"> £m</w:t>
            </w:r>
          </w:p>
        </w:tc>
      </w:tr>
      <w:tr w:rsidR="00A73C2D" w:rsidRPr="007D67F6" w14:paraId="65C6FC96" w14:textId="77777777" w:rsidTr="004347FB">
        <w:trPr>
          <w:trHeight w:hRule="exact" w:val="605"/>
        </w:trPr>
        <w:tc>
          <w:tcPr>
            <w:tcW w:w="1623" w:type="pct"/>
            <w:shd w:val="clear" w:color="auto" w:fill="E6E6E6"/>
            <w:tcMar>
              <w:top w:w="57" w:type="dxa"/>
            </w:tcMar>
          </w:tcPr>
          <w:p w14:paraId="1B408EEA" w14:textId="584BA561" w:rsidR="00A73C2D" w:rsidRPr="007D67F6" w:rsidRDefault="00A73C2D">
            <w:pPr>
              <w:rPr>
                <w:b/>
                <w:bCs/>
                <w:sz w:val="20"/>
              </w:rPr>
            </w:pPr>
          </w:p>
        </w:tc>
        <w:tc>
          <w:tcPr>
            <w:tcW w:w="1623" w:type="pct"/>
            <w:shd w:val="clear" w:color="auto" w:fill="E6E6E6"/>
            <w:tcMar>
              <w:top w:w="57" w:type="dxa"/>
            </w:tcMar>
          </w:tcPr>
          <w:p w14:paraId="16B772EA" w14:textId="541739E2" w:rsidR="00A73C2D" w:rsidRPr="007D67F6" w:rsidRDefault="00475C21" w:rsidP="00405068">
            <w:pPr>
              <w:rPr>
                <w:b/>
                <w:bCs/>
                <w:sz w:val="20"/>
              </w:rPr>
            </w:pPr>
            <w:r w:rsidRPr="007D67F6">
              <w:rPr>
                <w:b/>
                <w:bCs/>
                <w:sz w:val="20"/>
              </w:rPr>
              <w:t>£43.65</w:t>
            </w:r>
            <w:r w:rsidR="007D67F6" w:rsidRPr="007D67F6">
              <w:rPr>
                <w:b/>
                <w:bCs/>
                <w:sz w:val="20"/>
              </w:rPr>
              <w:t xml:space="preserve"> m</w:t>
            </w:r>
          </w:p>
        </w:tc>
        <w:tc>
          <w:tcPr>
            <w:tcW w:w="1754" w:type="pct"/>
            <w:shd w:val="clear" w:color="auto" w:fill="E6E6E6"/>
            <w:tcMar>
              <w:top w:w="57" w:type="dxa"/>
            </w:tcMar>
          </w:tcPr>
          <w:p w14:paraId="16C02E90" w14:textId="16C2605E" w:rsidR="00A73C2D" w:rsidRPr="007D67F6" w:rsidRDefault="00D76ABD">
            <w:pPr>
              <w:rPr>
                <w:b/>
                <w:bCs/>
                <w:sz w:val="20"/>
              </w:rPr>
            </w:pPr>
            <w:r w:rsidRPr="007D67F6">
              <w:rPr>
                <w:b/>
                <w:bCs/>
                <w:sz w:val="20"/>
              </w:rPr>
              <w:t>TBC</w:t>
            </w:r>
          </w:p>
        </w:tc>
      </w:tr>
    </w:tbl>
    <w:p w14:paraId="1DD50220" w14:textId="77777777" w:rsidR="0072504E" w:rsidRPr="00DA3AE2" w:rsidRDefault="0072504E">
      <w:pPr>
        <w:rPr>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271"/>
        <w:gridCol w:w="1585"/>
        <w:gridCol w:w="1757"/>
        <w:gridCol w:w="1768"/>
        <w:gridCol w:w="1962"/>
      </w:tblGrid>
      <w:tr w:rsidR="0009497A" w:rsidRPr="00DA3AE2" w14:paraId="7BDD1282" w14:textId="77777777" w:rsidTr="004347FB">
        <w:tc>
          <w:tcPr>
            <w:tcW w:w="6613" w:type="dxa"/>
            <w:gridSpan w:val="3"/>
            <w:shd w:val="clear" w:color="auto" w:fill="E6E6E6"/>
            <w:tcMar>
              <w:top w:w="57" w:type="dxa"/>
              <w:bottom w:w="57" w:type="dxa"/>
            </w:tcMar>
          </w:tcPr>
          <w:p w14:paraId="0FBF543A" w14:textId="77777777" w:rsidR="0009497A" w:rsidRPr="00DA3AE2" w:rsidRDefault="0009497A">
            <w:pPr>
              <w:rPr>
                <w:b/>
                <w:sz w:val="20"/>
              </w:rPr>
            </w:pPr>
            <w:r w:rsidRPr="00DA3AE2">
              <w:rPr>
                <w:b/>
                <w:sz w:val="20"/>
              </w:rPr>
              <w:t>Does Implementation go beyond minimum EU requirements?</w:t>
            </w:r>
          </w:p>
        </w:tc>
        <w:tc>
          <w:tcPr>
            <w:tcW w:w="1768" w:type="dxa"/>
            <w:shd w:val="clear" w:color="auto" w:fill="E6E6E6"/>
            <w:tcMar>
              <w:top w:w="57" w:type="dxa"/>
              <w:bottom w:w="57" w:type="dxa"/>
            </w:tcMar>
          </w:tcPr>
          <w:p w14:paraId="3A0EFD4D" w14:textId="77777777" w:rsidR="0009497A" w:rsidRPr="00DA3AE2" w:rsidRDefault="008B64E0">
            <w:pPr>
              <w:rPr>
                <w:b/>
                <w:sz w:val="22"/>
                <w:szCs w:val="22"/>
              </w:rPr>
            </w:pPr>
            <w:r w:rsidRPr="00DA3AE2">
              <w:rPr>
                <w:b/>
                <w:sz w:val="22"/>
                <w:szCs w:val="22"/>
              </w:rPr>
              <w:t>YES</w:t>
            </w:r>
            <w:r w:rsidR="0009497A" w:rsidRPr="00DA3AE2">
              <w:rPr>
                <w:b/>
                <w:sz w:val="22"/>
                <w:szCs w:val="22"/>
              </w:rPr>
              <w:t xml:space="preserve"> </w:t>
            </w:r>
            <w:bookmarkStart w:id="3" w:name="Check1"/>
            <w:r w:rsidR="004904DE" w:rsidRPr="00DA3AE2">
              <w:rPr>
                <w:b/>
                <w:sz w:val="22"/>
                <w:szCs w:val="22"/>
              </w:rPr>
              <w:fldChar w:fldCharType="begin">
                <w:ffData>
                  <w:name w:val="Check1"/>
                  <w:enabled/>
                  <w:calcOnExit w:val="0"/>
                  <w:checkBox>
                    <w:sizeAuto/>
                    <w:default w:val="0"/>
                    <w:checked w:val="0"/>
                  </w:checkBox>
                </w:ffData>
              </w:fldChar>
            </w:r>
            <w:r w:rsidR="003403CC" w:rsidRPr="00DA3AE2">
              <w:rPr>
                <w:b/>
                <w:sz w:val="22"/>
                <w:szCs w:val="22"/>
              </w:rPr>
              <w:instrText xml:space="preserve"> FORMCHECKBOX </w:instrText>
            </w:r>
            <w:r w:rsidR="009211B3">
              <w:rPr>
                <w:b/>
                <w:sz w:val="22"/>
                <w:szCs w:val="22"/>
              </w:rPr>
            </w:r>
            <w:r w:rsidR="009211B3">
              <w:rPr>
                <w:b/>
                <w:sz w:val="22"/>
                <w:szCs w:val="22"/>
              </w:rPr>
              <w:fldChar w:fldCharType="separate"/>
            </w:r>
            <w:r w:rsidR="004904DE" w:rsidRPr="00DA3AE2">
              <w:rPr>
                <w:b/>
                <w:sz w:val="22"/>
                <w:szCs w:val="22"/>
              </w:rPr>
              <w:fldChar w:fldCharType="end"/>
            </w:r>
            <w:bookmarkEnd w:id="3"/>
          </w:p>
        </w:tc>
        <w:tc>
          <w:tcPr>
            <w:tcW w:w="1962" w:type="dxa"/>
            <w:shd w:val="clear" w:color="auto" w:fill="E6E6E6"/>
            <w:tcMar>
              <w:top w:w="57" w:type="dxa"/>
              <w:bottom w:w="57" w:type="dxa"/>
            </w:tcMar>
          </w:tcPr>
          <w:p w14:paraId="6C1850B5" w14:textId="2CB1236A" w:rsidR="0009497A" w:rsidRPr="00DA3AE2" w:rsidRDefault="008B64E0" w:rsidP="00810AE9">
            <w:pPr>
              <w:rPr>
                <w:b/>
                <w:sz w:val="22"/>
                <w:szCs w:val="22"/>
              </w:rPr>
            </w:pPr>
            <w:r w:rsidRPr="00DA3AE2">
              <w:rPr>
                <w:b/>
                <w:sz w:val="22"/>
                <w:szCs w:val="22"/>
              </w:rPr>
              <w:t>NO</w:t>
            </w:r>
            <w:r w:rsidR="0009497A" w:rsidRPr="00DA3AE2">
              <w:rPr>
                <w:b/>
                <w:sz w:val="22"/>
                <w:szCs w:val="22"/>
              </w:rPr>
              <w:t xml:space="preserve"> </w:t>
            </w:r>
            <w:r w:rsidR="00810AE9" w:rsidRPr="00DA3AE2">
              <w:rPr>
                <w:b/>
                <w:sz w:val="22"/>
                <w:szCs w:val="22"/>
              </w:rPr>
              <w:fldChar w:fldCharType="begin">
                <w:ffData>
                  <w:name w:val="Check2"/>
                  <w:enabled/>
                  <w:calcOnExit w:val="0"/>
                  <w:checkBox>
                    <w:sizeAuto/>
                    <w:default w:val="1"/>
                  </w:checkBox>
                </w:ffData>
              </w:fldChar>
            </w:r>
            <w:bookmarkStart w:id="4" w:name="Check2"/>
            <w:r w:rsidR="00810AE9" w:rsidRPr="00DA3AE2">
              <w:rPr>
                <w:b/>
                <w:sz w:val="22"/>
                <w:szCs w:val="22"/>
              </w:rPr>
              <w:instrText xml:space="preserve"> FORMCHECKBOX </w:instrText>
            </w:r>
            <w:r w:rsidR="009211B3">
              <w:rPr>
                <w:b/>
                <w:sz w:val="22"/>
                <w:szCs w:val="22"/>
              </w:rPr>
            </w:r>
            <w:r w:rsidR="009211B3">
              <w:rPr>
                <w:b/>
                <w:sz w:val="22"/>
                <w:szCs w:val="22"/>
              </w:rPr>
              <w:fldChar w:fldCharType="separate"/>
            </w:r>
            <w:r w:rsidR="00810AE9" w:rsidRPr="00DA3AE2">
              <w:rPr>
                <w:b/>
                <w:sz w:val="22"/>
                <w:szCs w:val="22"/>
              </w:rPr>
              <w:fldChar w:fldCharType="end"/>
            </w:r>
            <w:bookmarkEnd w:id="4"/>
          </w:p>
        </w:tc>
      </w:tr>
      <w:tr w:rsidR="008B64E0" w:rsidRPr="00DA3AE2" w14:paraId="774B52DE" w14:textId="77777777" w:rsidTr="004347FB">
        <w:tc>
          <w:tcPr>
            <w:tcW w:w="6613" w:type="dxa"/>
            <w:gridSpan w:val="3"/>
            <w:shd w:val="clear" w:color="auto" w:fill="E6E6E6"/>
            <w:tcMar>
              <w:top w:w="57" w:type="dxa"/>
              <w:bottom w:w="57" w:type="dxa"/>
            </w:tcMar>
          </w:tcPr>
          <w:p w14:paraId="6B1BEEA6" w14:textId="77777777" w:rsidR="008B64E0" w:rsidRPr="00DA3AE2" w:rsidRDefault="008B64E0">
            <w:pPr>
              <w:rPr>
                <w:b/>
                <w:sz w:val="20"/>
              </w:rPr>
            </w:pPr>
            <w:r w:rsidRPr="00DA3AE2">
              <w:rPr>
                <w:b/>
                <w:iCs/>
                <w:sz w:val="20"/>
              </w:rPr>
              <w:t>Is this measure likely to impact on trade and investment?</w:t>
            </w:r>
          </w:p>
        </w:tc>
        <w:tc>
          <w:tcPr>
            <w:tcW w:w="1768" w:type="dxa"/>
            <w:shd w:val="clear" w:color="auto" w:fill="E6E6E6"/>
            <w:tcMar>
              <w:top w:w="57" w:type="dxa"/>
              <w:bottom w:w="57" w:type="dxa"/>
            </w:tcMar>
          </w:tcPr>
          <w:p w14:paraId="299F4606" w14:textId="290E6BF1" w:rsidR="008B64E0" w:rsidRPr="00DA3AE2" w:rsidRDefault="008B64E0" w:rsidP="00810AE9">
            <w:pPr>
              <w:rPr>
                <w:b/>
                <w:sz w:val="22"/>
                <w:szCs w:val="22"/>
              </w:rPr>
            </w:pPr>
            <w:r w:rsidRPr="00DA3AE2">
              <w:rPr>
                <w:b/>
                <w:sz w:val="22"/>
                <w:szCs w:val="22"/>
              </w:rPr>
              <w:t xml:space="preserve">YES </w:t>
            </w:r>
            <w:r w:rsidR="00810AE9" w:rsidRPr="00DA3AE2">
              <w:rPr>
                <w:b/>
                <w:sz w:val="22"/>
                <w:szCs w:val="22"/>
              </w:rPr>
              <w:fldChar w:fldCharType="begin">
                <w:ffData>
                  <w:name w:val=""/>
                  <w:enabled/>
                  <w:calcOnExit w:val="0"/>
                  <w:checkBox>
                    <w:sizeAuto/>
                    <w:default w:val="1"/>
                  </w:checkBox>
                </w:ffData>
              </w:fldChar>
            </w:r>
            <w:r w:rsidR="00810AE9" w:rsidRPr="00DA3AE2">
              <w:rPr>
                <w:b/>
                <w:sz w:val="22"/>
                <w:szCs w:val="22"/>
              </w:rPr>
              <w:instrText xml:space="preserve"> FORMCHECKBOX </w:instrText>
            </w:r>
            <w:r w:rsidR="009211B3">
              <w:rPr>
                <w:b/>
                <w:sz w:val="22"/>
                <w:szCs w:val="22"/>
              </w:rPr>
            </w:r>
            <w:r w:rsidR="009211B3">
              <w:rPr>
                <w:b/>
                <w:sz w:val="22"/>
                <w:szCs w:val="22"/>
              </w:rPr>
              <w:fldChar w:fldCharType="separate"/>
            </w:r>
            <w:r w:rsidR="00810AE9" w:rsidRPr="00DA3AE2">
              <w:rPr>
                <w:b/>
                <w:sz w:val="22"/>
                <w:szCs w:val="22"/>
              </w:rPr>
              <w:fldChar w:fldCharType="end"/>
            </w:r>
          </w:p>
        </w:tc>
        <w:tc>
          <w:tcPr>
            <w:tcW w:w="1962" w:type="dxa"/>
            <w:shd w:val="clear" w:color="auto" w:fill="E6E6E6"/>
          </w:tcPr>
          <w:p w14:paraId="5E4E276C" w14:textId="77777777" w:rsidR="008B64E0" w:rsidRPr="00DA3AE2" w:rsidRDefault="008B64E0">
            <w:pPr>
              <w:rPr>
                <w:b/>
                <w:sz w:val="22"/>
                <w:szCs w:val="22"/>
              </w:rPr>
            </w:pPr>
            <w:r w:rsidRPr="00DA3AE2">
              <w:rPr>
                <w:b/>
                <w:sz w:val="22"/>
                <w:szCs w:val="22"/>
              </w:rPr>
              <w:t xml:space="preserve">NO </w:t>
            </w:r>
            <w:r w:rsidRPr="00DA3AE2">
              <w:rPr>
                <w:b/>
                <w:sz w:val="22"/>
                <w:szCs w:val="22"/>
              </w:rPr>
              <w:fldChar w:fldCharType="begin">
                <w:ffData>
                  <w:name w:val="Check2"/>
                  <w:enabled/>
                  <w:calcOnExit w:val="0"/>
                  <w:checkBox>
                    <w:sizeAuto/>
                    <w:default w:val="0"/>
                  </w:checkBox>
                </w:ffData>
              </w:fldChar>
            </w:r>
            <w:r w:rsidRPr="00DA3AE2">
              <w:rPr>
                <w:b/>
                <w:sz w:val="22"/>
                <w:szCs w:val="22"/>
              </w:rPr>
              <w:instrText xml:space="preserve"> FORMCHECKBOX </w:instrText>
            </w:r>
            <w:r w:rsidR="009211B3">
              <w:rPr>
                <w:b/>
                <w:sz w:val="22"/>
                <w:szCs w:val="22"/>
              </w:rPr>
            </w:r>
            <w:r w:rsidR="009211B3">
              <w:rPr>
                <w:b/>
                <w:sz w:val="22"/>
                <w:szCs w:val="22"/>
              </w:rPr>
              <w:fldChar w:fldCharType="separate"/>
            </w:r>
            <w:r w:rsidRPr="00DA3AE2">
              <w:rPr>
                <w:b/>
                <w:sz w:val="22"/>
                <w:szCs w:val="22"/>
              </w:rPr>
              <w:fldChar w:fldCharType="end"/>
            </w:r>
          </w:p>
        </w:tc>
      </w:tr>
      <w:tr w:rsidR="00A73C2D" w:rsidRPr="00DA3AE2" w14:paraId="384ACB28" w14:textId="77777777" w:rsidTr="004347FB">
        <w:tc>
          <w:tcPr>
            <w:tcW w:w="3271" w:type="dxa"/>
            <w:shd w:val="clear" w:color="auto" w:fill="E6E6E6"/>
            <w:tcMar>
              <w:top w:w="57" w:type="dxa"/>
              <w:bottom w:w="57" w:type="dxa"/>
            </w:tcMar>
          </w:tcPr>
          <w:p w14:paraId="1FB6F96C" w14:textId="77777777" w:rsidR="00A73C2D" w:rsidRPr="00DA3AE2" w:rsidRDefault="0009497A">
            <w:pPr>
              <w:rPr>
                <w:sz w:val="22"/>
                <w:szCs w:val="22"/>
              </w:rPr>
            </w:pPr>
            <w:r w:rsidRPr="00DA3AE2">
              <w:rPr>
                <w:sz w:val="22"/>
                <w:szCs w:val="22"/>
              </w:rPr>
              <w:t>Are any of these organisations in scope?</w:t>
            </w:r>
          </w:p>
        </w:tc>
        <w:tc>
          <w:tcPr>
            <w:tcW w:w="1585" w:type="dxa"/>
            <w:shd w:val="clear" w:color="auto" w:fill="E6E6E6"/>
            <w:tcMar>
              <w:top w:w="57" w:type="dxa"/>
              <w:bottom w:w="57" w:type="dxa"/>
            </w:tcMar>
          </w:tcPr>
          <w:p w14:paraId="498B77EE" w14:textId="77777777" w:rsidR="00A73C2D" w:rsidRPr="00DA3AE2" w:rsidRDefault="0009497A">
            <w:pPr>
              <w:rPr>
                <w:b/>
                <w:sz w:val="22"/>
                <w:szCs w:val="22"/>
              </w:rPr>
            </w:pPr>
            <w:r w:rsidRPr="00DA3AE2">
              <w:rPr>
                <w:b/>
                <w:sz w:val="22"/>
                <w:szCs w:val="22"/>
              </w:rPr>
              <w:t>Micro</w:t>
            </w:r>
          </w:p>
          <w:p w14:paraId="0684BB2F" w14:textId="23EFB0CF" w:rsidR="0009497A" w:rsidRPr="00DA3AE2" w:rsidRDefault="0009497A" w:rsidP="00D76ABD">
            <w:pPr>
              <w:rPr>
                <w:sz w:val="22"/>
                <w:szCs w:val="22"/>
              </w:rPr>
            </w:pPr>
            <w:r w:rsidRPr="00DA3AE2">
              <w:rPr>
                <w:sz w:val="22"/>
                <w:szCs w:val="22"/>
              </w:rPr>
              <w:t xml:space="preserve">Yes </w:t>
            </w:r>
            <w:r w:rsidR="00D76ABD" w:rsidRPr="00DA3AE2">
              <w:rPr>
                <w:sz w:val="22"/>
                <w:szCs w:val="22"/>
              </w:rPr>
              <w:fldChar w:fldCharType="begin">
                <w:ffData>
                  <w:name w:val="Check9"/>
                  <w:enabled/>
                  <w:calcOnExit w:val="0"/>
                  <w:checkBox>
                    <w:sizeAuto/>
                    <w:default w:val="1"/>
                  </w:checkBox>
                </w:ffData>
              </w:fldChar>
            </w:r>
            <w:bookmarkStart w:id="5" w:name="Check9"/>
            <w:r w:rsidR="00D76ABD" w:rsidRPr="00DA3AE2">
              <w:rPr>
                <w:sz w:val="22"/>
                <w:szCs w:val="22"/>
              </w:rPr>
              <w:instrText xml:space="preserve"> FORMCHECKBOX </w:instrText>
            </w:r>
            <w:r w:rsidR="009211B3">
              <w:rPr>
                <w:sz w:val="22"/>
                <w:szCs w:val="22"/>
              </w:rPr>
            </w:r>
            <w:r w:rsidR="009211B3">
              <w:rPr>
                <w:sz w:val="22"/>
                <w:szCs w:val="22"/>
              </w:rPr>
              <w:fldChar w:fldCharType="separate"/>
            </w:r>
            <w:r w:rsidR="00D76ABD" w:rsidRPr="00DA3AE2">
              <w:rPr>
                <w:sz w:val="22"/>
                <w:szCs w:val="22"/>
              </w:rPr>
              <w:fldChar w:fldCharType="end"/>
            </w:r>
            <w:bookmarkEnd w:id="5"/>
            <w:r w:rsidRPr="00DA3AE2">
              <w:rPr>
                <w:sz w:val="22"/>
                <w:szCs w:val="22"/>
              </w:rPr>
              <w:t xml:space="preserve"> No </w:t>
            </w:r>
            <w:r w:rsidR="004904DE" w:rsidRPr="00DA3AE2">
              <w:rPr>
                <w:sz w:val="22"/>
                <w:szCs w:val="22"/>
              </w:rPr>
              <w:fldChar w:fldCharType="begin">
                <w:ffData>
                  <w:name w:val="Check10"/>
                  <w:enabled/>
                  <w:calcOnExit w:val="0"/>
                  <w:checkBox>
                    <w:sizeAuto/>
                    <w:default w:val="0"/>
                  </w:checkBox>
                </w:ffData>
              </w:fldChar>
            </w:r>
            <w:bookmarkStart w:id="6" w:name="Check10"/>
            <w:r w:rsidRPr="00DA3AE2">
              <w:rPr>
                <w:sz w:val="22"/>
                <w:szCs w:val="22"/>
              </w:rPr>
              <w:instrText xml:space="preserve"> FORMCHECKBOX </w:instrText>
            </w:r>
            <w:r w:rsidR="009211B3">
              <w:rPr>
                <w:sz w:val="22"/>
                <w:szCs w:val="22"/>
              </w:rPr>
            </w:r>
            <w:r w:rsidR="009211B3">
              <w:rPr>
                <w:sz w:val="22"/>
                <w:szCs w:val="22"/>
              </w:rPr>
              <w:fldChar w:fldCharType="separate"/>
            </w:r>
            <w:r w:rsidR="004904DE" w:rsidRPr="00DA3AE2">
              <w:rPr>
                <w:sz w:val="22"/>
                <w:szCs w:val="22"/>
              </w:rPr>
              <w:fldChar w:fldCharType="end"/>
            </w:r>
            <w:bookmarkEnd w:id="6"/>
          </w:p>
        </w:tc>
        <w:tc>
          <w:tcPr>
            <w:tcW w:w="1757" w:type="dxa"/>
            <w:shd w:val="clear" w:color="auto" w:fill="E6E6E6"/>
            <w:tcMar>
              <w:top w:w="57" w:type="dxa"/>
              <w:bottom w:w="57" w:type="dxa"/>
            </w:tcMar>
          </w:tcPr>
          <w:p w14:paraId="2D0DA5C2" w14:textId="77777777" w:rsidR="00A73C2D" w:rsidRPr="00DA3AE2" w:rsidRDefault="0009497A">
            <w:pPr>
              <w:rPr>
                <w:b/>
                <w:sz w:val="22"/>
                <w:szCs w:val="22"/>
              </w:rPr>
            </w:pPr>
            <w:r w:rsidRPr="00DA3AE2">
              <w:rPr>
                <w:b/>
                <w:sz w:val="22"/>
                <w:szCs w:val="22"/>
              </w:rPr>
              <w:t>Small</w:t>
            </w:r>
          </w:p>
          <w:p w14:paraId="7F9CD957" w14:textId="3D9ADA66" w:rsidR="0009497A" w:rsidRPr="00DA3AE2" w:rsidRDefault="0009497A" w:rsidP="00D76ABD">
            <w:pPr>
              <w:rPr>
                <w:sz w:val="22"/>
                <w:szCs w:val="22"/>
              </w:rPr>
            </w:pPr>
            <w:r w:rsidRPr="00DA3AE2">
              <w:rPr>
                <w:sz w:val="22"/>
                <w:szCs w:val="22"/>
              </w:rPr>
              <w:t xml:space="preserve">Yes </w:t>
            </w:r>
            <w:r w:rsidR="00D76ABD" w:rsidRPr="00DA3AE2">
              <w:rPr>
                <w:sz w:val="22"/>
                <w:szCs w:val="22"/>
              </w:rPr>
              <w:fldChar w:fldCharType="begin">
                <w:ffData>
                  <w:name w:val="Check7"/>
                  <w:enabled/>
                  <w:calcOnExit w:val="0"/>
                  <w:checkBox>
                    <w:sizeAuto/>
                    <w:default w:val="1"/>
                  </w:checkBox>
                </w:ffData>
              </w:fldChar>
            </w:r>
            <w:bookmarkStart w:id="7" w:name="Check7"/>
            <w:r w:rsidR="00D76ABD" w:rsidRPr="00DA3AE2">
              <w:rPr>
                <w:sz w:val="22"/>
                <w:szCs w:val="22"/>
              </w:rPr>
              <w:instrText xml:space="preserve"> FORMCHECKBOX </w:instrText>
            </w:r>
            <w:r w:rsidR="009211B3">
              <w:rPr>
                <w:sz w:val="22"/>
                <w:szCs w:val="22"/>
              </w:rPr>
            </w:r>
            <w:r w:rsidR="009211B3">
              <w:rPr>
                <w:sz w:val="22"/>
                <w:szCs w:val="22"/>
              </w:rPr>
              <w:fldChar w:fldCharType="separate"/>
            </w:r>
            <w:r w:rsidR="00D76ABD" w:rsidRPr="00DA3AE2">
              <w:rPr>
                <w:sz w:val="22"/>
                <w:szCs w:val="22"/>
              </w:rPr>
              <w:fldChar w:fldCharType="end"/>
            </w:r>
            <w:bookmarkEnd w:id="7"/>
            <w:r w:rsidRPr="00DA3AE2">
              <w:rPr>
                <w:sz w:val="22"/>
                <w:szCs w:val="22"/>
              </w:rPr>
              <w:t xml:space="preserve"> No </w:t>
            </w:r>
            <w:r w:rsidR="004904DE" w:rsidRPr="00DA3AE2">
              <w:rPr>
                <w:sz w:val="22"/>
                <w:szCs w:val="22"/>
              </w:rPr>
              <w:fldChar w:fldCharType="begin">
                <w:ffData>
                  <w:name w:val="Check8"/>
                  <w:enabled/>
                  <w:calcOnExit w:val="0"/>
                  <w:checkBox>
                    <w:sizeAuto/>
                    <w:default w:val="0"/>
                  </w:checkBox>
                </w:ffData>
              </w:fldChar>
            </w:r>
            <w:bookmarkStart w:id="8" w:name="Check8"/>
            <w:r w:rsidRPr="00DA3AE2">
              <w:rPr>
                <w:sz w:val="22"/>
                <w:szCs w:val="22"/>
              </w:rPr>
              <w:instrText xml:space="preserve"> FORMCHECKBOX </w:instrText>
            </w:r>
            <w:r w:rsidR="009211B3">
              <w:rPr>
                <w:sz w:val="22"/>
                <w:szCs w:val="22"/>
              </w:rPr>
            </w:r>
            <w:r w:rsidR="009211B3">
              <w:rPr>
                <w:sz w:val="22"/>
                <w:szCs w:val="22"/>
              </w:rPr>
              <w:fldChar w:fldCharType="separate"/>
            </w:r>
            <w:r w:rsidR="004904DE" w:rsidRPr="00DA3AE2">
              <w:rPr>
                <w:sz w:val="22"/>
                <w:szCs w:val="22"/>
              </w:rPr>
              <w:fldChar w:fldCharType="end"/>
            </w:r>
            <w:bookmarkEnd w:id="8"/>
          </w:p>
        </w:tc>
        <w:tc>
          <w:tcPr>
            <w:tcW w:w="1768" w:type="dxa"/>
            <w:shd w:val="clear" w:color="auto" w:fill="E6E6E6"/>
            <w:tcMar>
              <w:top w:w="57" w:type="dxa"/>
              <w:bottom w:w="57" w:type="dxa"/>
            </w:tcMar>
          </w:tcPr>
          <w:p w14:paraId="3F4AE4F4" w14:textId="77777777" w:rsidR="00A73C2D" w:rsidRPr="00DA3AE2" w:rsidRDefault="0009497A">
            <w:pPr>
              <w:rPr>
                <w:b/>
                <w:sz w:val="22"/>
                <w:szCs w:val="22"/>
              </w:rPr>
            </w:pPr>
            <w:r w:rsidRPr="00DA3AE2">
              <w:rPr>
                <w:b/>
                <w:sz w:val="22"/>
                <w:szCs w:val="22"/>
              </w:rPr>
              <w:t xml:space="preserve">Medium </w:t>
            </w:r>
          </w:p>
          <w:p w14:paraId="373E3258" w14:textId="5BDDFF5D" w:rsidR="0009497A" w:rsidRPr="00DA3AE2" w:rsidRDefault="0009497A" w:rsidP="00405068">
            <w:pPr>
              <w:rPr>
                <w:sz w:val="22"/>
                <w:szCs w:val="22"/>
              </w:rPr>
            </w:pPr>
            <w:r w:rsidRPr="00DA3AE2">
              <w:rPr>
                <w:sz w:val="22"/>
                <w:szCs w:val="22"/>
              </w:rPr>
              <w:t xml:space="preserve">Yes </w:t>
            </w:r>
            <w:r w:rsidR="00405068" w:rsidRPr="00DA3AE2">
              <w:rPr>
                <w:sz w:val="22"/>
                <w:szCs w:val="22"/>
              </w:rPr>
              <w:fldChar w:fldCharType="begin">
                <w:ffData>
                  <w:name w:val="Check5"/>
                  <w:enabled/>
                  <w:calcOnExit w:val="0"/>
                  <w:checkBox>
                    <w:sizeAuto/>
                    <w:default w:val="1"/>
                  </w:checkBox>
                </w:ffData>
              </w:fldChar>
            </w:r>
            <w:bookmarkStart w:id="9" w:name="Check5"/>
            <w:r w:rsidR="00405068" w:rsidRPr="00DA3AE2">
              <w:rPr>
                <w:sz w:val="22"/>
                <w:szCs w:val="22"/>
              </w:rPr>
              <w:instrText xml:space="preserve"> FORMCHECKBOX </w:instrText>
            </w:r>
            <w:r w:rsidR="009211B3">
              <w:rPr>
                <w:sz w:val="22"/>
                <w:szCs w:val="22"/>
              </w:rPr>
            </w:r>
            <w:r w:rsidR="009211B3">
              <w:rPr>
                <w:sz w:val="22"/>
                <w:szCs w:val="22"/>
              </w:rPr>
              <w:fldChar w:fldCharType="separate"/>
            </w:r>
            <w:r w:rsidR="00405068" w:rsidRPr="00DA3AE2">
              <w:rPr>
                <w:sz w:val="22"/>
                <w:szCs w:val="22"/>
              </w:rPr>
              <w:fldChar w:fldCharType="end"/>
            </w:r>
            <w:bookmarkEnd w:id="9"/>
            <w:r w:rsidRPr="00DA3AE2">
              <w:rPr>
                <w:sz w:val="22"/>
                <w:szCs w:val="22"/>
              </w:rPr>
              <w:t xml:space="preserve"> No </w:t>
            </w:r>
            <w:r w:rsidR="004904DE" w:rsidRPr="00DA3AE2">
              <w:rPr>
                <w:sz w:val="22"/>
                <w:szCs w:val="22"/>
              </w:rPr>
              <w:fldChar w:fldCharType="begin">
                <w:ffData>
                  <w:name w:val="Check6"/>
                  <w:enabled/>
                  <w:calcOnExit w:val="0"/>
                  <w:checkBox>
                    <w:sizeAuto/>
                    <w:default w:val="0"/>
                  </w:checkBox>
                </w:ffData>
              </w:fldChar>
            </w:r>
            <w:bookmarkStart w:id="10" w:name="Check6"/>
            <w:r w:rsidRPr="00DA3AE2">
              <w:rPr>
                <w:sz w:val="22"/>
                <w:szCs w:val="22"/>
              </w:rPr>
              <w:instrText xml:space="preserve"> FORMCHECKBOX </w:instrText>
            </w:r>
            <w:r w:rsidR="009211B3">
              <w:rPr>
                <w:sz w:val="22"/>
                <w:szCs w:val="22"/>
              </w:rPr>
            </w:r>
            <w:r w:rsidR="009211B3">
              <w:rPr>
                <w:sz w:val="22"/>
                <w:szCs w:val="22"/>
              </w:rPr>
              <w:fldChar w:fldCharType="separate"/>
            </w:r>
            <w:r w:rsidR="004904DE" w:rsidRPr="00DA3AE2">
              <w:rPr>
                <w:sz w:val="22"/>
                <w:szCs w:val="22"/>
              </w:rPr>
              <w:fldChar w:fldCharType="end"/>
            </w:r>
            <w:bookmarkEnd w:id="10"/>
          </w:p>
        </w:tc>
        <w:tc>
          <w:tcPr>
            <w:tcW w:w="1962" w:type="dxa"/>
            <w:shd w:val="clear" w:color="auto" w:fill="E6E6E6"/>
            <w:tcMar>
              <w:top w:w="57" w:type="dxa"/>
              <w:bottom w:w="57" w:type="dxa"/>
            </w:tcMar>
          </w:tcPr>
          <w:p w14:paraId="681E1B4E" w14:textId="77777777" w:rsidR="00A73C2D" w:rsidRPr="00DA3AE2" w:rsidRDefault="0009497A">
            <w:pPr>
              <w:rPr>
                <w:b/>
                <w:sz w:val="22"/>
                <w:szCs w:val="22"/>
              </w:rPr>
            </w:pPr>
            <w:r w:rsidRPr="00DA3AE2">
              <w:rPr>
                <w:b/>
                <w:sz w:val="22"/>
                <w:szCs w:val="22"/>
              </w:rPr>
              <w:t>Large</w:t>
            </w:r>
          </w:p>
          <w:p w14:paraId="660A6829" w14:textId="424C45FB" w:rsidR="0009497A" w:rsidRPr="00DA3AE2" w:rsidRDefault="0009497A" w:rsidP="00405068">
            <w:pPr>
              <w:rPr>
                <w:sz w:val="22"/>
                <w:szCs w:val="22"/>
              </w:rPr>
            </w:pPr>
            <w:r w:rsidRPr="00DA3AE2">
              <w:rPr>
                <w:sz w:val="22"/>
                <w:szCs w:val="22"/>
              </w:rPr>
              <w:t xml:space="preserve">Yes </w:t>
            </w:r>
            <w:r w:rsidR="00405068" w:rsidRPr="00DA3AE2">
              <w:rPr>
                <w:sz w:val="22"/>
                <w:szCs w:val="22"/>
              </w:rPr>
              <w:fldChar w:fldCharType="begin">
                <w:ffData>
                  <w:name w:val="Check3"/>
                  <w:enabled/>
                  <w:calcOnExit w:val="0"/>
                  <w:checkBox>
                    <w:sizeAuto/>
                    <w:default w:val="1"/>
                  </w:checkBox>
                </w:ffData>
              </w:fldChar>
            </w:r>
            <w:bookmarkStart w:id="11" w:name="Check3"/>
            <w:r w:rsidR="00405068" w:rsidRPr="00DA3AE2">
              <w:rPr>
                <w:sz w:val="22"/>
                <w:szCs w:val="22"/>
              </w:rPr>
              <w:instrText xml:space="preserve"> FORMCHECKBOX </w:instrText>
            </w:r>
            <w:r w:rsidR="009211B3">
              <w:rPr>
                <w:sz w:val="22"/>
                <w:szCs w:val="22"/>
              </w:rPr>
            </w:r>
            <w:r w:rsidR="009211B3">
              <w:rPr>
                <w:sz w:val="22"/>
                <w:szCs w:val="22"/>
              </w:rPr>
              <w:fldChar w:fldCharType="separate"/>
            </w:r>
            <w:r w:rsidR="00405068" w:rsidRPr="00DA3AE2">
              <w:rPr>
                <w:sz w:val="22"/>
                <w:szCs w:val="22"/>
              </w:rPr>
              <w:fldChar w:fldCharType="end"/>
            </w:r>
            <w:bookmarkEnd w:id="11"/>
            <w:r w:rsidRPr="00DA3AE2">
              <w:rPr>
                <w:sz w:val="22"/>
                <w:szCs w:val="22"/>
              </w:rPr>
              <w:t xml:space="preserve"> No </w:t>
            </w:r>
            <w:r w:rsidR="004904DE" w:rsidRPr="00DA3AE2">
              <w:rPr>
                <w:sz w:val="22"/>
                <w:szCs w:val="22"/>
              </w:rPr>
              <w:fldChar w:fldCharType="begin">
                <w:ffData>
                  <w:name w:val="Check4"/>
                  <w:enabled/>
                  <w:calcOnExit w:val="0"/>
                  <w:checkBox>
                    <w:sizeAuto/>
                    <w:default w:val="0"/>
                  </w:checkBox>
                </w:ffData>
              </w:fldChar>
            </w:r>
            <w:bookmarkStart w:id="12" w:name="Check4"/>
            <w:r w:rsidRPr="00DA3AE2">
              <w:rPr>
                <w:sz w:val="22"/>
                <w:szCs w:val="22"/>
              </w:rPr>
              <w:instrText xml:space="preserve"> FORMCHECKBOX </w:instrText>
            </w:r>
            <w:r w:rsidR="009211B3">
              <w:rPr>
                <w:sz w:val="22"/>
                <w:szCs w:val="22"/>
              </w:rPr>
            </w:r>
            <w:r w:rsidR="009211B3">
              <w:rPr>
                <w:sz w:val="22"/>
                <w:szCs w:val="22"/>
              </w:rPr>
              <w:fldChar w:fldCharType="separate"/>
            </w:r>
            <w:r w:rsidR="004904DE" w:rsidRPr="00DA3AE2">
              <w:rPr>
                <w:sz w:val="22"/>
                <w:szCs w:val="22"/>
              </w:rPr>
              <w:fldChar w:fldCharType="end"/>
            </w:r>
            <w:bookmarkEnd w:id="12"/>
          </w:p>
        </w:tc>
      </w:tr>
    </w:tbl>
    <w:p w14:paraId="28608457" w14:textId="77777777" w:rsidR="00A73C2D" w:rsidRPr="00DA3AE2" w:rsidRDefault="00A73C2D">
      <w:pPr>
        <w:rPr>
          <w:sz w:val="20"/>
        </w:rPr>
      </w:pPr>
    </w:p>
    <w:p w14:paraId="19C1CA09" w14:textId="77777777" w:rsidR="00CF1552" w:rsidRPr="00DA3AE2" w:rsidRDefault="00CF1552">
      <w:pPr>
        <w:rPr>
          <w:b/>
          <w:sz w:val="20"/>
        </w:rPr>
      </w:pPr>
      <w:r w:rsidRPr="00DA3AE2">
        <w:rPr>
          <w:b/>
          <w:sz w:val="20"/>
        </w:rPr>
        <w:t>The final RIA supporting legislation must be attached to the Explanatory Memorandum and published with it.</w:t>
      </w:r>
    </w:p>
    <w:p w14:paraId="3A70793C" w14:textId="77777777" w:rsidR="00CF1552" w:rsidRPr="00DA3AE2" w:rsidRDefault="008517AA">
      <w:pPr>
        <w:rPr>
          <w:sz w:val="20"/>
        </w:rPr>
      </w:pPr>
      <w:r w:rsidRPr="00DA3AE2">
        <w:rPr>
          <w:sz w:val="20"/>
        </w:rPr>
        <w:t xml:space="preserve">Approved by:  </w:t>
      </w:r>
      <w:r w:rsidR="00617637" w:rsidRPr="00DA3AE2">
        <w:rPr>
          <w:sz w:val="20"/>
        </w:rPr>
        <w:fldChar w:fldCharType="begin">
          <w:ffData>
            <w:name w:val=""/>
            <w:enabled/>
            <w:calcOnExit w:val="0"/>
            <w:textInput>
              <w:maxLength w:val="50"/>
            </w:textInput>
          </w:ffData>
        </w:fldChar>
      </w:r>
      <w:r w:rsidR="00617637" w:rsidRPr="00DA3AE2">
        <w:rPr>
          <w:sz w:val="20"/>
        </w:rPr>
        <w:instrText xml:space="preserve"> FORMTEXT </w:instrText>
      </w:r>
      <w:r w:rsidR="00617637" w:rsidRPr="00DA3AE2">
        <w:rPr>
          <w:sz w:val="20"/>
        </w:rPr>
      </w:r>
      <w:r w:rsidR="00617637" w:rsidRPr="00DA3AE2">
        <w:rPr>
          <w:sz w:val="20"/>
        </w:rPr>
        <w:fldChar w:fldCharType="separate"/>
      </w:r>
      <w:r w:rsidR="00617637" w:rsidRPr="00DA3AE2">
        <w:rPr>
          <w:noProof/>
          <w:sz w:val="20"/>
        </w:rPr>
        <w:t> </w:t>
      </w:r>
      <w:r w:rsidR="00617637" w:rsidRPr="00DA3AE2">
        <w:rPr>
          <w:noProof/>
          <w:sz w:val="20"/>
        </w:rPr>
        <w:t> </w:t>
      </w:r>
      <w:r w:rsidR="00617637" w:rsidRPr="00DA3AE2">
        <w:rPr>
          <w:noProof/>
          <w:sz w:val="20"/>
        </w:rPr>
        <w:t> </w:t>
      </w:r>
      <w:r w:rsidR="00617637" w:rsidRPr="00DA3AE2">
        <w:rPr>
          <w:noProof/>
          <w:sz w:val="20"/>
        </w:rPr>
        <w:t> </w:t>
      </w:r>
      <w:r w:rsidR="00617637" w:rsidRPr="00DA3AE2">
        <w:rPr>
          <w:noProof/>
          <w:sz w:val="20"/>
        </w:rPr>
        <w:t> </w:t>
      </w:r>
      <w:r w:rsidR="00617637" w:rsidRPr="00DA3AE2">
        <w:rPr>
          <w:sz w:val="20"/>
        </w:rPr>
        <w:fldChar w:fldCharType="end"/>
      </w:r>
      <w:r w:rsidR="00CF1552" w:rsidRPr="00DA3AE2">
        <w:rPr>
          <w:sz w:val="20"/>
        </w:rPr>
        <w:t xml:space="preserve">   Date:</w:t>
      </w:r>
      <w:r w:rsidRPr="00DA3AE2">
        <w:rPr>
          <w:sz w:val="20"/>
        </w:rPr>
        <w:t xml:space="preserve"> </w:t>
      </w:r>
      <w:r w:rsidRPr="00DA3AE2">
        <w:rPr>
          <w:sz w:val="20"/>
        </w:rPr>
        <w:fldChar w:fldCharType="begin">
          <w:ffData>
            <w:name w:val=""/>
            <w:enabled/>
            <w:calcOnExit w:val="0"/>
            <w:textInput>
              <w:maxLength w:val="12"/>
            </w:textInput>
          </w:ffData>
        </w:fldChar>
      </w:r>
      <w:r w:rsidRPr="00DA3AE2">
        <w:rPr>
          <w:sz w:val="20"/>
        </w:rPr>
        <w:instrText xml:space="preserve"> FORMTEXT </w:instrText>
      </w:r>
      <w:r w:rsidRPr="00DA3AE2">
        <w:rPr>
          <w:sz w:val="20"/>
        </w:rPr>
      </w:r>
      <w:r w:rsidRPr="00DA3AE2">
        <w:rPr>
          <w:sz w:val="20"/>
        </w:rPr>
        <w:fldChar w:fldCharType="separate"/>
      </w:r>
      <w:r w:rsidRPr="00DA3AE2">
        <w:rPr>
          <w:noProof/>
          <w:sz w:val="20"/>
        </w:rPr>
        <w:t> </w:t>
      </w:r>
      <w:r w:rsidRPr="00DA3AE2">
        <w:rPr>
          <w:noProof/>
          <w:sz w:val="20"/>
        </w:rPr>
        <w:t> </w:t>
      </w:r>
      <w:r w:rsidRPr="00DA3AE2">
        <w:rPr>
          <w:noProof/>
          <w:sz w:val="20"/>
        </w:rPr>
        <w:t> </w:t>
      </w:r>
      <w:r w:rsidRPr="00DA3AE2">
        <w:rPr>
          <w:noProof/>
          <w:sz w:val="20"/>
        </w:rPr>
        <w:t> </w:t>
      </w:r>
      <w:r w:rsidRPr="00DA3AE2">
        <w:rPr>
          <w:noProof/>
          <w:sz w:val="20"/>
        </w:rPr>
        <w:t> </w:t>
      </w:r>
      <w:r w:rsidRPr="00DA3AE2">
        <w:rPr>
          <w:sz w:val="20"/>
        </w:rPr>
        <w:fldChar w:fldCharType="end"/>
      </w:r>
    </w:p>
    <w:bookmarkEnd w:id="2"/>
    <w:p w14:paraId="07E7D4F5" w14:textId="77777777" w:rsidR="0009497A" w:rsidRPr="00DA3AE2" w:rsidRDefault="0009497A">
      <w:pPr>
        <w:rPr>
          <w:sz w:val="20"/>
        </w:rPr>
      </w:pPr>
    </w:p>
    <w:p w14:paraId="63E16C88" w14:textId="77777777" w:rsidR="005D1836" w:rsidRPr="00DA3AE2" w:rsidRDefault="005D1836">
      <w:pPr>
        <w:rPr>
          <w:sz w:val="20"/>
        </w:rPr>
      </w:pPr>
    </w:p>
    <w:p w14:paraId="5A0D79B7" w14:textId="77777777" w:rsidR="005D1836" w:rsidRPr="00DA3AE2" w:rsidRDefault="005D1836">
      <w:pPr>
        <w:rPr>
          <w:sz w:val="20"/>
        </w:rPr>
      </w:pPr>
    </w:p>
    <w:p w14:paraId="6D831883" w14:textId="77777777" w:rsidR="004347FB" w:rsidRDefault="005D1836" w:rsidP="005D1836">
      <w:pPr>
        <w:tabs>
          <w:tab w:val="left" w:pos="7797"/>
        </w:tabs>
        <w:rPr>
          <w:sz w:val="28"/>
          <w:szCs w:val="28"/>
        </w:rPr>
      </w:pPr>
      <w:r w:rsidRPr="00DA3AE2">
        <w:rPr>
          <w:sz w:val="28"/>
          <w:szCs w:val="28"/>
        </w:rPr>
        <w:br w:type="page"/>
      </w:r>
    </w:p>
    <w:p w14:paraId="5203594A" w14:textId="18BF6931" w:rsidR="005D1836" w:rsidRPr="00DA3AE2" w:rsidRDefault="005D1836" w:rsidP="005D1836">
      <w:pPr>
        <w:tabs>
          <w:tab w:val="left" w:pos="7797"/>
        </w:tabs>
        <w:rPr>
          <w:sz w:val="28"/>
          <w:szCs w:val="28"/>
        </w:rPr>
      </w:pPr>
      <w:r w:rsidRPr="00DA3AE2">
        <w:rPr>
          <w:sz w:val="28"/>
          <w:szCs w:val="28"/>
        </w:rPr>
        <w:lastRenderedPageBreak/>
        <w:t xml:space="preserve">Summary: Analysis and Evidence </w:t>
      </w:r>
      <w:r w:rsidRPr="00DA3AE2">
        <w:rPr>
          <w:sz w:val="28"/>
          <w:szCs w:val="28"/>
        </w:rPr>
        <w:tab/>
        <w:t xml:space="preserve">Policy Option </w:t>
      </w:r>
      <w:r w:rsidR="007D4FBB">
        <w:rPr>
          <w:sz w:val="28"/>
          <w:szCs w:val="28"/>
        </w:rPr>
        <w:t>1</w:t>
      </w:r>
    </w:p>
    <w:p w14:paraId="5183AEA1" w14:textId="77777777" w:rsidR="00B7510F" w:rsidRPr="00DA3AE2" w:rsidRDefault="00B7510F" w:rsidP="005D1836">
      <w:pPr>
        <w:tabs>
          <w:tab w:val="left" w:pos="7797"/>
        </w:tabs>
        <w:rPr>
          <w:sz w:val="28"/>
          <w:szCs w:val="28"/>
        </w:rPr>
      </w:pPr>
    </w:p>
    <w:p w14:paraId="43CF25C3" w14:textId="77777777" w:rsidR="00B7510F" w:rsidRPr="00DA3AE2" w:rsidRDefault="00B7510F" w:rsidP="005D1836">
      <w:pPr>
        <w:tabs>
          <w:tab w:val="left" w:pos="7797"/>
        </w:tabs>
        <w:rPr>
          <w:sz w:val="28"/>
          <w:szCs w:val="28"/>
        </w:rPr>
      </w:pPr>
    </w:p>
    <w:p w14:paraId="658556BB" w14:textId="5CEA779E" w:rsidR="005D1836" w:rsidRPr="00DA3AE2" w:rsidRDefault="005D1836" w:rsidP="005D1836">
      <w:pPr>
        <w:tabs>
          <w:tab w:val="left" w:pos="7920"/>
        </w:tabs>
        <w:rPr>
          <w:sz w:val="22"/>
          <w:szCs w:val="22"/>
        </w:rPr>
      </w:pPr>
      <w:r w:rsidRPr="00DA3AE2">
        <w:rPr>
          <w:sz w:val="22"/>
          <w:szCs w:val="22"/>
        </w:rPr>
        <w:t xml:space="preserve">Description: </w:t>
      </w:r>
      <w:r w:rsidR="00175AB0" w:rsidRPr="00DA3AE2">
        <w:rPr>
          <w:sz w:val="20"/>
        </w:rPr>
        <w:t xml:space="preserve">Do Nothing, </w:t>
      </w:r>
      <w:r w:rsidR="00B7510F" w:rsidRPr="00DA3AE2">
        <w:rPr>
          <w:sz w:val="20"/>
        </w:rPr>
        <w:t>do not develop or implement an Ammonia S</w:t>
      </w:r>
      <w:r w:rsidR="00175AB0" w:rsidRPr="00DA3AE2">
        <w:rPr>
          <w:sz w:val="20"/>
        </w:rPr>
        <w:t>trategy. This is the baseline option</w:t>
      </w:r>
      <w:r w:rsidR="00D360CA">
        <w:rPr>
          <w:sz w:val="20"/>
        </w:rPr>
        <w:t>.</w:t>
      </w:r>
    </w:p>
    <w:p w14:paraId="475D1E86" w14:textId="77777777" w:rsidR="005D1836" w:rsidRPr="00DA3AE2" w:rsidRDefault="005D1836" w:rsidP="005D1836">
      <w:pPr>
        <w:tabs>
          <w:tab w:val="left" w:pos="7920"/>
        </w:tabs>
        <w:rPr>
          <w:sz w:val="22"/>
          <w:szCs w:val="22"/>
        </w:rPr>
      </w:pPr>
    </w:p>
    <w:p w14:paraId="5A68C54F" w14:textId="77777777" w:rsidR="005D1836" w:rsidRPr="00DA3AE2" w:rsidRDefault="005D1836" w:rsidP="005D1836">
      <w:pPr>
        <w:tabs>
          <w:tab w:val="left" w:pos="7920"/>
        </w:tabs>
        <w:rPr>
          <w:sz w:val="22"/>
          <w:szCs w:val="22"/>
        </w:rPr>
      </w:pPr>
    </w:p>
    <w:p w14:paraId="6D6EA27E" w14:textId="2DC820B8" w:rsidR="005D1836" w:rsidRPr="00DA3AE2" w:rsidRDefault="005D1836" w:rsidP="005D1836">
      <w:pPr>
        <w:tabs>
          <w:tab w:val="left" w:pos="7920"/>
        </w:tabs>
        <w:rPr>
          <w:b/>
          <w:sz w:val="22"/>
          <w:szCs w:val="22"/>
        </w:rPr>
      </w:pPr>
      <w:r w:rsidRPr="00DA3AE2">
        <w:rPr>
          <w:b/>
          <w:sz w:val="22"/>
          <w:szCs w:val="22"/>
        </w:rPr>
        <w:t>ECONOMIC ASSESSMENT (Option</w:t>
      </w:r>
      <w:r w:rsidR="007D4FBB">
        <w:rPr>
          <w:b/>
          <w:sz w:val="22"/>
          <w:szCs w:val="22"/>
        </w:rPr>
        <w:t xml:space="preserve"> 1</w:t>
      </w:r>
      <w:r w:rsidRPr="00DA3AE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0"/>
        <w:gridCol w:w="1021"/>
        <w:gridCol w:w="3100"/>
        <w:gridCol w:w="1921"/>
      </w:tblGrid>
      <w:tr w:rsidR="005D1836" w:rsidRPr="00DA3AE2" w14:paraId="24B8FF10" w14:textId="77777777" w:rsidTr="006B5A02">
        <w:tc>
          <w:tcPr>
            <w:tcW w:w="2018" w:type="dxa"/>
            <w:tcBorders>
              <w:bottom w:val="nil"/>
            </w:tcBorders>
            <w:shd w:val="clear" w:color="auto" w:fill="auto"/>
          </w:tcPr>
          <w:p w14:paraId="485CB10A" w14:textId="77777777" w:rsidR="005D1836" w:rsidRPr="00DA3AE2" w:rsidRDefault="005D1836" w:rsidP="005D1836">
            <w:pPr>
              <w:tabs>
                <w:tab w:val="left" w:pos="7920"/>
              </w:tabs>
              <w:rPr>
                <w:b/>
                <w:sz w:val="22"/>
                <w:szCs w:val="22"/>
              </w:rPr>
            </w:pPr>
            <w:r w:rsidRPr="00DA3AE2">
              <w:rPr>
                <w:b/>
                <w:sz w:val="22"/>
                <w:szCs w:val="22"/>
              </w:rPr>
              <w:t>Costs (£m)</w:t>
            </w:r>
          </w:p>
        </w:tc>
        <w:tc>
          <w:tcPr>
            <w:tcW w:w="3031" w:type="dxa"/>
            <w:gridSpan w:val="2"/>
            <w:tcBorders>
              <w:bottom w:val="nil"/>
            </w:tcBorders>
            <w:shd w:val="clear" w:color="auto" w:fill="auto"/>
          </w:tcPr>
          <w:p w14:paraId="270098D6" w14:textId="77777777" w:rsidR="005D1836" w:rsidRPr="00DA3AE2" w:rsidRDefault="005D1836" w:rsidP="005D1836">
            <w:pPr>
              <w:tabs>
                <w:tab w:val="left" w:pos="7920"/>
              </w:tabs>
              <w:rPr>
                <w:b/>
                <w:sz w:val="22"/>
                <w:szCs w:val="22"/>
              </w:rPr>
            </w:pPr>
            <w:r w:rsidRPr="00DA3AE2">
              <w:rPr>
                <w:b/>
                <w:sz w:val="22"/>
                <w:szCs w:val="22"/>
              </w:rPr>
              <w:t>Total Transitional (Policy)</w:t>
            </w:r>
          </w:p>
        </w:tc>
        <w:tc>
          <w:tcPr>
            <w:tcW w:w="3100" w:type="dxa"/>
            <w:tcBorders>
              <w:bottom w:val="nil"/>
            </w:tcBorders>
            <w:shd w:val="clear" w:color="auto" w:fill="auto"/>
          </w:tcPr>
          <w:p w14:paraId="5CF4192A" w14:textId="77777777" w:rsidR="005D1836" w:rsidRPr="00DA3AE2" w:rsidRDefault="005D1836" w:rsidP="005D1836">
            <w:pPr>
              <w:tabs>
                <w:tab w:val="left" w:pos="7920"/>
              </w:tabs>
              <w:rPr>
                <w:b/>
                <w:sz w:val="22"/>
                <w:szCs w:val="22"/>
              </w:rPr>
            </w:pPr>
            <w:r w:rsidRPr="00DA3AE2">
              <w:rPr>
                <w:b/>
                <w:sz w:val="22"/>
                <w:szCs w:val="22"/>
              </w:rPr>
              <w:t>Average Annual (recurring)</w:t>
            </w:r>
          </w:p>
        </w:tc>
        <w:tc>
          <w:tcPr>
            <w:tcW w:w="1921" w:type="dxa"/>
            <w:tcBorders>
              <w:bottom w:val="nil"/>
            </w:tcBorders>
            <w:shd w:val="clear" w:color="auto" w:fill="auto"/>
          </w:tcPr>
          <w:p w14:paraId="1B764EC8" w14:textId="77777777" w:rsidR="005D1836" w:rsidRPr="00DA3AE2" w:rsidRDefault="005D1836" w:rsidP="005D1836">
            <w:pPr>
              <w:tabs>
                <w:tab w:val="left" w:pos="7920"/>
              </w:tabs>
              <w:rPr>
                <w:b/>
                <w:sz w:val="22"/>
                <w:szCs w:val="22"/>
              </w:rPr>
            </w:pPr>
            <w:r w:rsidRPr="00DA3AE2">
              <w:rPr>
                <w:b/>
                <w:sz w:val="22"/>
                <w:szCs w:val="22"/>
              </w:rPr>
              <w:t>Total Cost</w:t>
            </w:r>
          </w:p>
        </w:tc>
      </w:tr>
      <w:tr w:rsidR="005D1836" w:rsidRPr="00DA3AE2" w14:paraId="10F7173D" w14:textId="77777777" w:rsidTr="006B5A02">
        <w:tc>
          <w:tcPr>
            <w:tcW w:w="2018" w:type="dxa"/>
            <w:tcBorders>
              <w:top w:val="nil"/>
            </w:tcBorders>
            <w:shd w:val="clear" w:color="auto" w:fill="auto"/>
          </w:tcPr>
          <w:p w14:paraId="681DC953" w14:textId="77777777" w:rsidR="005D1836" w:rsidRPr="00DA3AE2" w:rsidRDefault="005D1836" w:rsidP="005D1836">
            <w:pPr>
              <w:tabs>
                <w:tab w:val="left" w:pos="7920"/>
              </w:tabs>
              <w:rPr>
                <w:sz w:val="18"/>
                <w:szCs w:val="18"/>
              </w:rPr>
            </w:pPr>
          </w:p>
        </w:tc>
        <w:tc>
          <w:tcPr>
            <w:tcW w:w="2010" w:type="dxa"/>
            <w:tcBorders>
              <w:top w:val="nil"/>
              <w:right w:val="nil"/>
            </w:tcBorders>
            <w:shd w:val="clear" w:color="auto" w:fill="auto"/>
          </w:tcPr>
          <w:p w14:paraId="59C15E0D" w14:textId="77777777" w:rsidR="005D1836" w:rsidRPr="00DA3AE2" w:rsidRDefault="005D1836" w:rsidP="005D1836">
            <w:pPr>
              <w:tabs>
                <w:tab w:val="left" w:pos="7920"/>
              </w:tabs>
              <w:jc w:val="right"/>
              <w:rPr>
                <w:sz w:val="18"/>
                <w:szCs w:val="18"/>
              </w:rPr>
            </w:pPr>
            <w:r w:rsidRPr="00DA3AE2">
              <w:rPr>
                <w:sz w:val="18"/>
                <w:szCs w:val="18"/>
              </w:rPr>
              <w:t>(</w:t>
            </w:r>
            <w:proofErr w:type="gramStart"/>
            <w:r w:rsidRPr="00DA3AE2">
              <w:rPr>
                <w:sz w:val="18"/>
                <w:szCs w:val="18"/>
              </w:rPr>
              <w:t>constant</w:t>
            </w:r>
            <w:proofErr w:type="gramEnd"/>
            <w:r w:rsidRPr="00DA3AE2">
              <w:rPr>
                <w:sz w:val="18"/>
                <w:szCs w:val="18"/>
              </w:rPr>
              <w:t xml:space="preserve"> price)</w:t>
            </w:r>
          </w:p>
        </w:tc>
        <w:tc>
          <w:tcPr>
            <w:tcW w:w="1021" w:type="dxa"/>
            <w:tcBorders>
              <w:top w:val="nil"/>
              <w:left w:val="nil"/>
            </w:tcBorders>
            <w:shd w:val="clear" w:color="auto" w:fill="auto"/>
          </w:tcPr>
          <w:p w14:paraId="6A41FDF3" w14:textId="77777777" w:rsidR="005D1836" w:rsidRPr="00DA3AE2" w:rsidRDefault="005D1836" w:rsidP="005D1836">
            <w:pPr>
              <w:tabs>
                <w:tab w:val="left" w:pos="7920"/>
              </w:tabs>
              <w:jc w:val="right"/>
              <w:rPr>
                <w:sz w:val="18"/>
                <w:szCs w:val="18"/>
              </w:rPr>
            </w:pPr>
            <w:r w:rsidRPr="00DA3AE2">
              <w:rPr>
                <w:sz w:val="18"/>
                <w:szCs w:val="18"/>
              </w:rPr>
              <w:t>Years</w:t>
            </w:r>
          </w:p>
        </w:tc>
        <w:tc>
          <w:tcPr>
            <w:tcW w:w="3100" w:type="dxa"/>
            <w:tcBorders>
              <w:top w:val="nil"/>
            </w:tcBorders>
            <w:shd w:val="clear" w:color="auto" w:fill="auto"/>
          </w:tcPr>
          <w:p w14:paraId="00B83C55" w14:textId="77777777" w:rsidR="005D1836" w:rsidRPr="00DA3AE2" w:rsidRDefault="005D1836" w:rsidP="005D1836">
            <w:pPr>
              <w:tabs>
                <w:tab w:val="left" w:pos="7920"/>
              </w:tabs>
              <w:jc w:val="right"/>
              <w:rPr>
                <w:sz w:val="18"/>
                <w:szCs w:val="18"/>
              </w:rPr>
            </w:pPr>
            <w:r w:rsidRPr="00DA3AE2">
              <w:rPr>
                <w:sz w:val="18"/>
                <w:szCs w:val="18"/>
              </w:rPr>
              <w:t>(excl. transitional) (constant price)</w:t>
            </w:r>
          </w:p>
        </w:tc>
        <w:tc>
          <w:tcPr>
            <w:tcW w:w="1921" w:type="dxa"/>
            <w:tcBorders>
              <w:top w:val="nil"/>
            </w:tcBorders>
            <w:shd w:val="clear" w:color="auto" w:fill="auto"/>
          </w:tcPr>
          <w:p w14:paraId="36EF2F51" w14:textId="77777777" w:rsidR="005D1836" w:rsidRPr="00DA3AE2" w:rsidRDefault="005D1836" w:rsidP="005D1836">
            <w:pPr>
              <w:tabs>
                <w:tab w:val="left" w:pos="7920"/>
              </w:tabs>
              <w:jc w:val="right"/>
              <w:rPr>
                <w:sz w:val="18"/>
                <w:szCs w:val="18"/>
              </w:rPr>
            </w:pPr>
            <w:r w:rsidRPr="00DA3AE2">
              <w:rPr>
                <w:sz w:val="18"/>
                <w:szCs w:val="18"/>
              </w:rPr>
              <w:t>(Present Value)</w:t>
            </w:r>
          </w:p>
        </w:tc>
      </w:tr>
      <w:tr w:rsidR="005D1836" w:rsidRPr="00DA3AE2" w14:paraId="3372FA24" w14:textId="77777777" w:rsidTr="001A00B8">
        <w:trPr>
          <w:trHeight w:hRule="exact" w:val="532"/>
        </w:trPr>
        <w:tc>
          <w:tcPr>
            <w:tcW w:w="2018" w:type="dxa"/>
            <w:shd w:val="clear" w:color="auto" w:fill="auto"/>
          </w:tcPr>
          <w:p w14:paraId="724331CF" w14:textId="77777777" w:rsidR="005D1836" w:rsidRPr="00DA3AE2" w:rsidRDefault="005D1836" w:rsidP="005D1836">
            <w:pPr>
              <w:tabs>
                <w:tab w:val="left" w:pos="7920"/>
              </w:tabs>
              <w:rPr>
                <w:b/>
                <w:sz w:val="22"/>
                <w:szCs w:val="22"/>
              </w:rPr>
            </w:pPr>
            <w:r w:rsidRPr="00DA3AE2">
              <w:rPr>
                <w:b/>
                <w:sz w:val="22"/>
                <w:szCs w:val="22"/>
              </w:rPr>
              <w:t>Low</w:t>
            </w:r>
          </w:p>
        </w:tc>
        <w:tc>
          <w:tcPr>
            <w:tcW w:w="2010" w:type="dxa"/>
            <w:shd w:val="clear" w:color="auto" w:fill="auto"/>
            <w:vAlign w:val="center"/>
          </w:tcPr>
          <w:p w14:paraId="16DACA50" w14:textId="0D62C6F0" w:rsidR="005D1836" w:rsidRPr="007D4FBB" w:rsidRDefault="007D4FBB" w:rsidP="005D1836">
            <w:pPr>
              <w:tabs>
                <w:tab w:val="left" w:pos="7920"/>
              </w:tabs>
              <w:jc w:val="right"/>
              <w:rPr>
                <w:b/>
                <w:sz w:val="22"/>
                <w:szCs w:val="22"/>
              </w:rPr>
            </w:pPr>
            <w:r>
              <w:rPr>
                <w:b/>
                <w:sz w:val="22"/>
                <w:szCs w:val="22"/>
              </w:rPr>
              <w:t>£</w:t>
            </w:r>
            <w:r w:rsidRPr="007D4FBB">
              <w:rPr>
                <w:b/>
                <w:sz w:val="22"/>
                <w:szCs w:val="22"/>
              </w:rPr>
              <w:t>13</w:t>
            </w:r>
            <w:r>
              <w:rPr>
                <w:b/>
                <w:sz w:val="22"/>
                <w:szCs w:val="22"/>
              </w:rPr>
              <w:t xml:space="preserve"> m</w:t>
            </w:r>
          </w:p>
        </w:tc>
        <w:tc>
          <w:tcPr>
            <w:tcW w:w="1021" w:type="dxa"/>
            <w:vMerge w:val="restart"/>
            <w:shd w:val="clear" w:color="auto" w:fill="auto"/>
          </w:tcPr>
          <w:p w14:paraId="62901921" w14:textId="74C037E6" w:rsidR="005D1836" w:rsidRPr="00DA3AE2" w:rsidRDefault="007D4FBB" w:rsidP="007D4FBB">
            <w:pPr>
              <w:tabs>
                <w:tab w:val="left" w:pos="7920"/>
              </w:tabs>
              <w:jc w:val="center"/>
              <w:rPr>
                <w:b/>
                <w:sz w:val="22"/>
                <w:szCs w:val="22"/>
              </w:rPr>
            </w:pPr>
            <w:r>
              <w:rPr>
                <w:b/>
                <w:sz w:val="22"/>
                <w:szCs w:val="22"/>
              </w:rPr>
              <w:t>5</w:t>
            </w:r>
          </w:p>
        </w:tc>
        <w:tc>
          <w:tcPr>
            <w:tcW w:w="3100" w:type="dxa"/>
            <w:shd w:val="clear" w:color="auto" w:fill="auto"/>
            <w:vAlign w:val="center"/>
          </w:tcPr>
          <w:p w14:paraId="4D20FE6C" w14:textId="0770CC85" w:rsidR="005D1836" w:rsidRPr="00DA3AE2" w:rsidRDefault="00175AB0" w:rsidP="00500AB1">
            <w:pPr>
              <w:tabs>
                <w:tab w:val="left" w:pos="7920"/>
              </w:tabs>
              <w:jc w:val="right"/>
              <w:rPr>
                <w:b/>
                <w:sz w:val="22"/>
                <w:szCs w:val="22"/>
              </w:rPr>
            </w:pPr>
            <w:r w:rsidRPr="00DA3AE2">
              <w:rPr>
                <w:b/>
                <w:sz w:val="22"/>
                <w:szCs w:val="22"/>
              </w:rPr>
              <w:t>£</w:t>
            </w:r>
            <w:r w:rsidR="007D4FBB">
              <w:rPr>
                <w:b/>
                <w:sz w:val="22"/>
                <w:szCs w:val="22"/>
              </w:rPr>
              <w:t>0.6</w:t>
            </w:r>
            <w:r w:rsidR="00500AB1" w:rsidRPr="00DA3AE2">
              <w:rPr>
                <w:b/>
                <w:sz w:val="22"/>
                <w:szCs w:val="22"/>
              </w:rPr>
              <w:t>m</w:t>
            </w:r>
          </w:p>
        </w:tc>
        <w:tc>
          <w:tcPr>
            <w:tcW w:w="1921" w:type="dxa"/>
            <w:shd w:val="clear" w:color="auto" w:fill="auto"/>
            <w:vAlign w:val="center"/>
          </w:tcPr>
          <w:p w14:paraId="05CD639C" w14:textId="590A4571" w:rsidR="005D1836" w:rsidRPr="00DA3AE2" w:rsidRDefault="00676B70" w:rsidP="00500AB1">
            <w:pPr>
              <w:tabs>
                <w:tab w:val="left" w:pos="7920"/>
              </w:tabs>
              <w:jc w:val="right"/>
              <w:rPr>
                <w:b/>
                <w:sz w:val="22"/>
                <w:szCs w:val="22"/>
              </w:rPr>
            </w:pPr>
            <w:r w:rsidRPr="00DA3AE2">
              <w:rPr>
                <w:b/>
                <w:sz w:val="22"/>
                <w:szCs w:val="22"/>
              </w:rPr>
              <w:t>£</w:t>
            </w:r>
            <w:r w:rsidR="007D4FBB">
              <w:rPr>
                <w:b/>
                <w:sz w:val="22"/>
                <w:szCs w:val="22"/>
              </w:rPr>
              <w:t>7.14 m</w:t>
            </w:r>
          </w:p>
        </w:tc>
      </w:tr>
      <w:tr w:rsidR="005D1836" w:rsidRPr="00DA3AE2" w14:paraId="08BC05CA" w14:textId="77777777" w:rsidTr="006B5A02">
        <w:trPr>
          <w:trHeight w:hRule="exact" w:val="556"/>
        </w:trPr>
        <w:tc>
          <w:tcPr>
            <w:tcW w:w="2018" w:type="dxa"/>
            <w:tcBorders>
              <w:bottom w:val="single" w:sz="12" w:space="0" w:color="auto"/>
            </w:tcBorders>
            <w:shd w:val="clear" w:color="auto" w:fill="auto"/>
          </w:tcPr>
          <w:p w14:paraId="5CF2FFD5" w14:textId="77777777" w:rsidR="005D1836" w:rsidRPr="00DA3AE2" w:rsidRDefault="005D1836" w:rsidP="005D1836">
            <w:pPr>
              <w:tabs>
                <w:tab w:val="left" w:pos="7920"/>
              </w:tabs>
              <w:rPr>
                <w:b/>
                <w:sz w:val="22"/>
                <w:szCs w:val="22"/>
              </w:rPr>
            </w:pPr>
            <w:r w:rsidRPr="00DA3AE2">
              <w:rPr>
                <w:b/>
                <w:sz w:val="22"/>
                <w:szCs w:val="22"/>
              </w:rPr>
              <w:t>High</w:t>
            </w:r>
          </w:p>
        </w:tc>
        <w:tc>
          <w:tcPr>
            <w:tcW w:w="2010" w:type="dxa"/>
            <w:tcBorders>
              <w:bottom w:val="single" w:sz="12" w:space="0" w:color="auto"/>
            </w:tcBorders>
            <w:shd w:val="clear" w:color="auto" w:fill="auto"/>
            <w:vAlign w:val="center"/>
          </w:tcPr>
          <w:p w14:paraId="714D7687" w14:textId="4210C14D" w:rsidR="005D1836" w:rsidRPr="007D4FBB" w:rsidRDefault="007D4FBB" w:rsidP="00676B70">
            <w:pPr>
              <w:tabs>
                <w:tab w:val="left" w:pos="7920"/>
              </w:tabs>
              <w:jc w:val="right"/>
              <w:rPr>
                <w:b/>
                <w:sz w:val="22"/>
                <w:szCs w:val="22"/>
              </w:rPr>
            </w:pPr>
            <w:r>
              <w:rPr>
                <w:b/>
                <w:sz w:val="22"/>
                <w:szCs w:val="22"/>
              </w:rPr>
              <w:t>£</w:t>
            </w:r>
            <w:r w:rsidRPr="007D4FBB">
              <w:rPr>
                <w:b/>
                <w:sz w:val="22"/>
                <w:szCs w:val="22"/>
              </w:rPr>
              <w:t>15.1</w:t>
            </w:r>
            <w:r>
              <w:rPr>
                <w:b/>
                <w:sz w:val="22"/>
                <w:szCs w:val="22"/>
              </w:rPr>
              <w:t xml:space="preserve"> m</w:t>
            </w:r>
          </w:p>
        </w:tc>
        <w:tc>
          <w:tcPr>
            <w:tcW w:w="1021" w:type="dxa"/>
            <w:vMerge/>
            <w:tcBorders>
              <w:bottom w:val="single" w:sz="12" w:space="0" w:color="auto"/>
            </w:tcBorders>
            <w:shd w:val="clear" w:color="auto" w:fill="auto"/>
          </w:tcPr>
          <w:p w14:paraId="43C90550" w14:textId="77777777" w:rsidR="005D1836" w:rsidRPr="00DA3AE2" w:rsidRDefault="005D1836" w:rsidP="005D1836">
            <w:pPr>
              <w:tabs>
                <w:tab w:val="left" w:pos="7920"/>
              </w:tabs>
              <w:jc w:val="right"/>
              <w:rPr>
                <w:b/>
                <w:sz w:val="22"/>
                <w:szCs w:val="22"/>
              </w:rPr>
            </w:pPr>
          </w:p>
        </w:tc>
        <w:tc>
          <w:tcPr>
            <w:tcW w:w="3100" w:type="dxa"/>
            <w:tcBorders>
              <w:bottom w:val="single" w:sz="12" w:space="0" w:color="auto"/>
            </w:tcBorders>
            <w:shd w:val="clear" w:color="auto" w:fill="auto"/>
            <w:vAlign w:val="center"/>
          </w:tcPr>
          <w:p w14:paraId="11DDBA0A" w14:textId="31B6E366" w:rsidR="005D1836" w:rsidRPr="00DA3AE2" w:rsidRDefault="00175AB0" w:rsidP="00500AB1">
            <w:pPr>
              <w:tabs>
                <w:tab w:val="left" w:pos="7920"/>
              </w:tabs>
              <w:jc w:val="right"/>
              <w:rPr>
                <w:b/>
                <w:sz w:val="22"/>
                <w:szCs w:val="22"/>
              </w:rPr>
            </w:pPr>
            <w:r w:rsidRPr="00DA3AE2">
              <w:rPr>
                <w:b/>
                <w:sz w:val="22"/>
                <w:szCs w:val="22"/>
              </w:rPr>
              <w:t>£</w:t>
            </w:r>
            <w:r w:rsidR="007D4FBB">
              <w:rPr>
                <w:b/>
                <w:sz w:val="22"/>
                <w:szCs w:val="22"/>
              </w:rPr>
              <w:t xml:space="preserve">0.6 </w:t>
            </w:r>
            <w:r w:rsidR="00500AB1" w:rsidRPr="00DA3AE2">
              <w:rPr>
                <w:b/>
                <w:sz w:val="22"/>
                <w:szCs w:val="22"/>
              </w:rPr>
              <w:t>m</w:t>
            </w:r>
          </w:p>
        </w:tc>
        <w:tc>
          <w:tcPr>
            <w:tcW w:w="1921" w:type="dxa"/>
            <w:tcBorders>
              <w:bottom w:val="single" w:sz="12" w:space="0" w:color="auto"/>
            </w:tcBorders>
            <w:shd w:val="clear" w:color="auto" w:fill="auto"/>
            <w:vAlign w:val="center"/>
          </w:tcPr>
          <w:p w14:paraId="0236BB4C" w14:textId="696B62EF" w:rsidR="005D1836" w:rsidRPr="00DA3AE2" w:rsidRDefault="00676B70" w:rsidP="00500AB1">
            <w:pPr>
              <w:tabs>
                <w:tab w:val="left" w:pos="7920"/>
              </w:tabs>
              <w:jc w:val="right"/>
              <w:rPr>
                <w:b/>
                <w:sz w:val="22"/>
                <w:szCs w:val="22"/>
              </w:rPr>
            </w:pPr>
            <w:r w:rsidRPr="00DA3AE2">
              <w:rPr>
                <w:b/>
                <w:sz w:val="22"/>
                <w:szCs w:val="22"/>
              </w:rPr>
              <w:t>£</w:t>
            </w:r>
            <w:r w:rsidR="007D4FBB">
              <w:rPr>
                <w:b/>
                <w:sz w:val="22"/>
                <w:szCs w:val="22"/>
              </w:rPr>
              <w:t>8.32 m</w:t>
            </w:r>
          </w:p>
        </w:tc>
      </w:tr>
      <w:tr w:rsidR="005D1836" w:rsidRPr="00DA3AE2" w14:paraId="3B910038" w14:textId="77777777" w:rsidTr="006B5A02">
        <w:trPr>
          <w:trHeight w:hRule="exact" w:val="740"/>
        </w:trPr>
        <w:tc>
          <w:tcPr>
            <w:tcW w:w="2018" w:type="dxa"/>
            <w:tcBorders>
              <w:top w:val="single" w:sz="12" w:space="0" w:color="auto"/>
              <w:left w:val="single" w:sz="12" w:space="0" w:color="auto"/>
              <w:bottom w:val="single" w:sz="12" w:space="0" w:color="auto"/>
              <w:right w:val="single" w:sz="12" w:space="0" w:color="auto"/>
            </w:tcBorders>
            <w:shd w:val="clear" w:color="auto" w:fill="auto"/>
          </w:tcPr>
          <w:p w14:paraId="3036CC2F" w14:textId="77777777" w:rsidR="005D1836" w:rsidRPr="00DA3AE2" w:rsidRDefault="005D1836" w:rsidP="005D1836">
            <w:pPr>
              <w:tabs>
                <w:tab w:val="left" w:pos="7920"/>
              </w:tabs>
              <w:rPr>
                <w:b/>
                <w:sz w:val="22"/>
                <w:szCs w:val="22"/>
              </w:rPr>
            </w:pPr>
            <w:r w:rsidRPr="00DA3AE2">
              <w:rPr>
                <w:b/>
                <w:sz w:val="22"/>
                <w:szCs w:val="22"/>
              </w:rPr>
              <w:t>Best Estimate</w:t>
            </w:r>
          </w:p>
        </w:tc>
        <w:tc>
          <w:tcPr>
            <w:tcW w:w="2010" w:type="dxa"/>
            <w:tcBorders>
              <w:top w:val="single" w:sz="12" w:space="0" w:color="auto"/>
              <w:left w:val="single" w:sz="12" w:space="0" w:color="auto"/>
              <w:bottom w:val="single" w:sz="12" w:space="0" w:color="auto"/>
              <w:right w:val="single" w:sz="12" w:space="0" w:color="auto"/>
            </w:tcBorders>
            <w:shd w:val="clear" w:color="auto" w:fill="auto"/>
          </w:tcPr>
          <w:p w14:paraId="41440194" w14:textId="17D49173" w:rsidR="005D1836" w:rsidRPr="00DA3AE2" w:rsidRDefault="007D4FBB" w:rsidP="005D1836">
            <w:pPr>
              <w:tabs>
                <w:tab w:val="left" w:pos="7920"/>
              </w:tabs>
              <w:jc w:val="right"/>
              <w:rPr>
                <w:b/>
                <w:sz w:val="22"/>
                <w:szCs w:val="22"/>
              </w:rPr>
            </w:pPr>
            <w:r>
              <w:rPr>
                <w:b/>
                <w:sz w:val="22"/>
                <w:szCs w:val="22"/>
              </w:rPr>
              <w:t>£14.05 m</w:t>
            </w:r>
          </w:p>
        </w:tc>
        <w:tc>
          <w:tcPr>
            <w:tcW w:w="1021" w:type="dxa"/>
            <w:vMerge/>
            <w:tcBorders>
              <w:top w:val="single" w:sz="12" w:space="0" w:color="auto"/>
              <w:left w:val="single" w:sz="12" w:space="0" w:color="auto"/>
              <w:bottom w:val="single" w:sz="12" w:space="0" w:color="auto"/>
              <w:right w:val="single" w:sz="12" w:space="0" w:color="auto"/>
            </w:tcBorders>
            <w:shd w:val="clear" w:color="auto" w:fill="auto"/>
          </w:tcPr>
          <w:p w14:paraId="68FD658A" w14:textId="77777777" w:rsidR="005D1836" w:rsidRPr="00DA3AE2" w:rsidRDefault="005D1836" w:rsidP="005D1836">
            <w:pPr>
              <w:tabs>
                <w:tab w:val="left" w:pos="7920"/>
              </w:tabs>
              <w:jc w:val="right"/>
              <w:rPr>
                <w:b/>
                <w:sz w:val="22"/>
                <w:szCs w:val="22"/>
              </w:rPr>
            </w:pPr>
          </w:p>
        </w:tc>
        <w:tc>
          <w:tcPr>
            <w:tcW w:w="3100" w:type="dxa"/>
            <w:tcBorders>
              <w:top w:val="single" w:sz="12" w:space="0" w:color="auto"/>
              <w:left w:val="single" w:sz="12" w:space="0" w:color="auto"/>
              <w:bottom w:val="single" w:sz="12" w:space="0" w:color="auto"/>
              <w:right w:val="single" w:sz="12" w:space="0" w:color="auto"/>
            </w:tcBorders>
            <w:shd w:val="clear" w:color="auto" w:fill="auto"/>
          </w:tcPr>
          <w:p w14:paraId="5C2D4E53" w14:textId="5176716B" w:rsidR="005D1836" w:rsidRPr="00DA3AE2" w:rsidRDefault="00146211" w:rsidP="005D1836">
            <w:pPr>
              <w:tabs>
                <w:tab w:val="left" w:pos="7920"/>
              </w:tabs>
              <w:jc w:val="right"/>
              <w:rPr>
                <w:b/>
                <w:sz w:val="22"/>
                <w:szCs w:val="22"/>
              </w:rPr>
            </w:pPr>
            <w:r w:rsidRPr="00DA3AE2">
              <w:rPr>
                <w:b/>
                <w:sz w:val="22"/>
                <w:szCs w:val="22"/>
              </w:rPr>
              <w:t>£</w:t>
            </w:r>
            <w:r w:rsidR="007D4FBB">
              <w:rPr>
                <w:b/>
                <w:sz w:val="22"/>
                <w:szCs w:val="22"/>
              </w:rPr>
              <w:t xml:space="preserve">0.6 </w:t>
            </w:r>
            <w:r w:rsidRPr="00DA3AE2">
              <w:rPr>
                <w:b/>
                <w:sz w:val="22"/>
                <w:szCs w:val="22"/>
              </w:rPr>
              <w:t>m</w:t>
            </w:r>
          </w:p>
        </w:tc>
        <w:tc>
          <w:tcPr>
            <w:tcW w:w="1921" w:type="dxa"/>
            <w:tcBorders>
              <w:top w:val="single" w:sz="12" w:space="0" w:color="auto"/>
              <w:left w:val="single" w:sz="12" w:space="0" w:color="auto"/>
              <w:bottom w:val="single" w:sz="12" w:space="0" w:color="auto"/>
              <w:right w:val="single" w:sz="12" w:space="0" w:color="auto"/>
            </w:tcBorders>
            <w:shd w:val="clear" w:color="auto" w:fill="auto"/>
          </w:tcPr>
          <w:p w14:paraId="5122B545" w14:textId="178AF7BE" w:rsidR="007D4FBB" w:rsidRPr="00DA3AE2" w:rsidRDefault="00146211" w:rsidP="007D4FBB">
            <w:pPr>
              <w:tabs>
                <w:tab w:val="left" w:pos="7920"/>
              </w:tabs>
              <w:jc w:val="right"/>
              <w:rPr>
                <w:b/>
                <w:sz w:val="22"/>
                <w:szCs w:val="22"/>
              </w:rPr>
            </w:pPr>
            <w:r w:rsidRPr="00DA3AE2">
              <w:rPr>
                <w:b/>
                <w:sz w:val="22"/>
                <w:szCs w:val="22"/>
              </w:rPr>
              <w:t>£</w:t>
            </w:r>
            <w:r w:rsidR="007D4FBB">
              <w:rPr>
                <w:b/>
                <w:sz w:val="22"/>
                <w:szCs w:val="22"/>
              </w:rPr>
              <w:t>7.73 m</w:t>
            </w:r>
          </w:p>
        </w:tc>
      </w:tr>
      <w:tr w:rsidR="005D1836" w:rsidRPr="00DA3AE2" w14:paraId="75FED494" w14:textId="77777777" w:rsidTr="006B5A02">
        <w:trPr>
          <w:trHeight w:hRule="exact" w:val="2692"/>
        </w:trPr>
        <w:tc>
          <w:tcPr>
            <w:tcW w:w="10070" w:type="dxa"/>
            <w:gridSpan w:val="5"/>
            <w:tcBorders>
              <w:top w:val="single" w:sz="12" w:space="0" w:color="auto"/>
            </w:tcBorders>
            <w:shd w:val="clear" w:color="auto" w:fill="auto"/>
          </w:tcPr>
          <w:p w14:paraId="44C22A40" w14:textId="77777777" w:rsidR="005D1836" w:rsidRPr="00DA3AE2" w:rsidRDefault="005D1836" w:rsidP="005D1836">
            <w:pPr>
              <w:tabs>
                <w:tab w:val="left" w:pos="7920"/>
              </w:tabs>
              <w:rPr>
                <w:sz w:val="20"/>
              </w:rPr>
            </w:pPr>
            <w:r w:rsidRPr="00DA3AE2">
              <w:rPr>
                <w:b/>
                <w:sz w:val="20"/>
              </w:rPr>
              <w:t xml:space="preserve">Description and scale of key monetised costs by ‘main affected groups’ </w:t>
            </w:r>
            <w:r w:rsidRPr="00DA3AE2">
              <w:rPr>
                <w:sz w:val="20"/>
              </w:rPr>
              <w:t>Maximum 5 lines</w:t>
            </w:r>
          </w:p>
          <w:p w14:paraId="67DBC525" w14:textId="77777777" w:rsidR="005D1836" w:rsidRPr="00DA3AE2" w:rsidRDefault="005D1836" w:rsidP="005D1836">
            <w:pPr>
              <w:tabs>
                <w:tab w:val="left" w:pos="7920"/>
              </w:tabs>
              <w:rPr>
                <w:sz w:val="20"/>
              </w:rPr>
            </w:pPr>
          </w:p>
          <w:p w14:paraId="4B0BE83D" w14:textId="38C9CCD2" w:rsidR="007D4FBB" w:rsidRDefault="00175AB0" w:rsidP="00B9119B">
            <w:pPr>
              <w:tabs>
                <w:tab w:val="left" w:pos="7920"/>
              </w:tabs>
              <w:rPr>
                <w:sz w:val="20"/>
              </w:rPr>
            </w:pPr>
            <w:r w:rsidRPr="00DA3AE2">
              <w:rPr>
                <w:sz w:val="20"/>
              </w:rPr>
              <w:t xml:space="preserve">If the </w:t>
            </w:r>
            <w:r w:rsidR="00D360CA">
              <w:rPr>
                <w:sz w:val="20"/>
              </w:rPr>
              <w:t>A</w:t>
            </w:r>
            <w:r w:rsidRPr="00DA3AE2">
              <w:rPr>
                <w:sz w:val="20"/>
              </w:rPr>
              <w:t xml:space="preserve">mmonia </w:t>
            </w:r>
            <w:r w:rsidR="00D360CA">
              <w:rPr>
                <w:sz w:val="20"/>
              </w:rPr>
              <w:t>S</w:t>
            </w:r>
            <w:r w:rsidRPr="00DA3AE2">
              <w:rPr>
                <w:sz w:val="20"/>
              </w:rPr>
              <w:t>trategy is n</w:t>
            </w:r>
            <w:r w:rsidR="00317822" w:rsidRPr="00DA3AE2">
              <w:rPr>
                <w:sz w:val="20"/>
              </w:rPr>
              <w:t>ot implemented,</w:t>
            </w:r>
            <w:r w:rsidR="003400CD" w:rsidRPr="00DA3AE2">
              <w:rPr>
                <w:sz w:val="20"/>
              </w:rPr>
              <w:t xml:space="preserve"> there will be no additional costs beyond </w:t>
            </w:r>
            <w:r w:rsidR="000B157C" w:rsidRPr="00DA3AE2">
              <w:rPr>
                <w:sz w:val="20"/>
              </w:rPr>
              <w:t xml:space="preserve">the legal commitments already made through the Nutrients Action Programme (NAP) to reduce ammonia emissions. </w:t>
            </w:r>
            <w:r w:rsidR="007D4FBB">
              <w:rPr>
                <w:sz w:val="20"/>
              </w:rPr>
              <w:t xml:space="preserve">Figures above are from the NAP RIA and are </w:t>
            </w:r>
            <w:r w:rsidR="007D4FBB" w:rsidRPr="007D4FBB">
              <w:rPr>
                <w:sz w:val="20"/>
              </w:rPr>
              <w:t>associated with LESSE and covering new above ground slurry stores.</w:t>
            </w:r>
          </w:p>
          <w:p w14:paraId="1DC6E680" w14:textId="77777777" w:rsidR="00175AB0" w:rsidRDefault="000B157C" w:rsidP="00B9119B">
            <w:pPr>
              <w:tabs>
                <w:tab w:val="left" w:pos="7920"/>
              </w:tabs>
              <w:rPr>
                <w:sz w:val="20"/>
              </w:rPr>
            </w:pPr>
            <w:r w:rsidRPr="00DA3AE2">
              <w:rPr>
                <w:sz w:val="20"/>
              </w:rPr>
              <w:t>However</w:t>
            </w:r>
            <w:r w:rsidR="007D4FBB">
              <w:rPr>
                <w:sz w:val="20"/>
              </w:rPr>
              <w:t>,</w:t>
            </w:r>
            <w:r w:rsidR="00317822" w:rsidRPr="00DA3AE2">
              <w:rPr>
                <w:sz w:val="20"/>
              </w:rPr>
              <w:t xml:space="preserve"> the target of 30</w:t>
            </w:r>
            <w:r w:rsidR="00175AB0" w:rsidRPr="00DA3AE2">
              <w:rPr>
                <w:sz w:val="20"/>
              </w:rPr>
              <w:t xml:space="preserve">% </w:t>
            </w:r>
            <w:r w:rsidR="00004EC8" w:rsidRPr="00DA3AE2">
              <w:rPr>
                <w:sz w:val="20"/>
              </w:rPr>
              <w:t xml:space="preserve">ammonia </w:t>
            </w:r>
            <w:r w:rsidR="00175AB0" w:rsidRPr="00DA3AE2">
              <w:rPr>
                <w:sz w:val="20"/>
              </w:rPr>
              <w:t>reduction</w:t>
            </w:r>
            <w:r w:rsidR="00004EC8" w:rsidRPr="00DA3AE2">
              <w:rPr>
                <w:sz w:val="20"/>
              </w:rPr>
              <w:t xml:space="preserve"> from current levels</w:t>
            </w:r>
            <w:r w:rsidR="00175AB0" w:rsidRPr="00DA3AE2">
              <w:rPr>
                <w:sz w:val="20"/>
              </w:rPr>
              <w:t xml:space="preserve"> in line with the </w:t>
            </w:r>
            <w:r w:rsidR="00B7510F" w:rsidRPr="00DA3AE2">
              <w:rPr>
                <w:sz w:val="20"/>
              </w:rPr>
              <w:t>Gothenbu</w:t>
            </w:r>
            <w:r w:rsidR="00004EC8" w:rsidRPr="00DA3AE2">
              <w:rPr>
                <w:sz w:val="20"/>
              </w:rPr>
              <w:t>rg Protocol is highly unlikely to be achiev</w:t>
            </w:r>
            <w:r w:rsidR="00F25C80" w:rsidRPr="00DA3AE2">
              <w:rPr>
                <w:sz w:val="20"/>
              </w:rPr>
              <w:t>ed</w:t>
            </w:r>
            <w:r w:rsidRPr="00DA3AE2">
              <w:rPr>
                <w:sz w:val="20"/>
              </w:rPr>
              <w:t xml:space="preserve"> as the low emissions slurry spreading equipment (</w:t>
            </w:r>
            <w:r w:rsidR="002B62B9" w:rsidRPr="00DA3AE2">
              <w:rPr>
                <w:sz w:val="20"/>
              </w:rPr>
              <w:t>LESSE</w:t>
            </w:r>
            <w:r w:rsidRPr="00DA3AE2">
              <w:rPr>
                <w:sz w:val="20"/>
              </w:rPr>
              <w:t xml:space="preserve">) in NAP are estimated to reduce ammonia emissions by </w:t>
            </w:r>
            <w:r w:rsidR="0073554C" w:rsidRPr="00DA3AE2">
              <w:rPr>
                <w:sz w:val="20"/>
              </w:rPr>
              <w:t>5.9</w:t>
            </w:r>
            <w:r w:rsidRPr="00DA3AE2">
              <w:rPr>
                <w:sz w:val="20"/>
              </w:rPr>
              <w:t>%</w:t>
            </w:r>
            <w:r w:rsidR="00F25C80" w:rsidRPr="00DA3AE2">
              <w:rPr>
                <w:sz w:val="20"/>
              </w:rPr>
              <w:t>.</w:t>
            </w:r>
            <w:r w:rsidR="005B62DC" w:rsidRPr="00DA3AE2">
              <w:rPr>
                <w:sz w:val="20"/>
              </w:rPr>
              <w:t xml:space="preserve"> </w:t>
            </w:r>
            <w:r w:rsidR="002B62B9" w:rsidRPr="00DA3AE2">
              <w:rPr>
                <w:sz w:val="20"/>
              </w:rPr>
              <w:t>Therefore,</w:t>
            </w:r>
            <w:r w:rsidR="005B62DC" w:rsidRPr="00DA3AE2">
              <w:rPr>
                <w:sz w:val="20"/>
              </w:rPr>
              <w:t xml:space="preserve"> the benefits of a </w:t>
            </w:r>
            <w:r w:rsidR="00B9119B" w:rsidRPr="00DA3AE2">
              <w:rPr>
                <w:sz w:val="20"/>
              </w:rPr>
              <w:t>21-28</w:t>
            </w:r>
            <w:r w:rsidR="005B62DC" w:rsidRPr="00DA3AE2">
              <w:rPr>
                <w:sz w:val="20"/>
              </w:rPr>
              <w:t>%</w:t>
            </w:r>
            <w:r w:rsidR="00004EC8" w:rsidRPr="00DA3AE2">
              <w:rPr>
                <w:sz w:val="20"/>
              </w:rPr>
              <w:t xml:space="preserve"> reduction in ammonia will not occur. As outlined in option 2 below, there are significant “damage costs” associated with ammonia emission levels and therefore there is a cost associated with failure to achieve the relevant reductions.</w:t>
            </w:r>
          </w:p>
          <w:p w14:paraId="75270BDB" w14:textId="4823BAED" w:rsidR="00B73AC8" w:rsidRPr="00DA3AE2" w:rsidRDefault="00B73AC8" w:rsidP="00B9119B">
            <w:pPr>
              <w:tabs>
                <w:tab w:val="left" w:pos="7920"/>
              </w:tabs>
              <w:rPr>
                <w:sz w:val="20"/>
              </w:rPr>
            </w:pPr>
          </w:p>
        </w:tc>
      </w:tr>
      <w:tr w:rsidR="005D1836" w:rsidRPr="00DA3AE2" w14:paraId="04252504" w14:textId="77777777" w:rsidTr="006B5A02">
        <w:trPr>
          <w:trHeight w:hRule="exact" w:val="2053"/>
        </w:trPr>
        <w:tc>
          <w:tcPr>
            <w:tcW w:w="10070" w:type="dxa"/>
            <w:gridSpan w:val="5"/>
            <w:shd w:val="clear" w:color="auto" w:fill="auto"/>
          </w:tcPr>
          <w:p w14:paraId="4C2E3411" w14:textId="77777777" w:rsidR="005D1836" w:rsidRPr="00DA3AE2" w:rsidRDefault="005D1836" w:rsidP="005D1836">
            <w:pPr>
              <w:tabs>
                <w:tab w:val="left" w:pos="7920"/>
              </w:tabs>
              <w:rPr>
                <w:sz w:val="20"/>
              </w:rPr>
            </w:pPr>
            <w:r w:rsidRPr="00DA3AE2">
              <w:rPr>
                <w:b/>
                <w:sz w:val="20"/>
              </w:rPr>
              <w:t xml:space="preserve">Other key non-monetised costs by ‘main affected groups’ </w:t>
            </w:r>
            <w:r w:rsidRPr="00DA3AE2">
              <w:rPr>
                <w:sz w:val="20"/>
              </w:rPr>
              <w:t>Maximum 5 lines</w:t>
            </w:r>
          </w:p>
          <w:p w14:paraId="23904539" w14:textId="7A89FC83" w:rsidR="005D1836" w:rsidRPr="00DA3AE2" w:rsidRDefault="005D1836" w:rsidP="005D1836">
            <w:pPr>
              <w:tabs>
                <w:tab w:val="left" w:pos="7920"/>
              </w:tabs>
              <w:rPr>
                <w:sz w:val="20"/>
              </w:rPr>
            </w:pPr>
          </w:p>
          <w:p w14:paraId="7779BF8A" w14:textId="77777777" w:rsidR="00004EC8" w:rsidRDefault="00004EC8" w:rsidP="005D1836">
            <w:pPr>
              <w:tabs>
                <w:tab w:val="left" w:pos="7920"/>
              </w:tabs>
              <w:rPr>
                <w:sz w:val="20"/>
              </w:rPr>
            </w:pPr>
            <w:r w:rsidRPr="00DA3AE2">
              <w:rPr>
                <w:sz w:val="20"/>
              </w:rPr>
              <w:t xml:space="preserve">If </w:t>
            </w:r>
            <w:r w:rsidR="000B157C" w:rsidRPr="00DA3AE2">
              <w:rPr>
                <w:sz w:val="20"/>
              </w:rPr>
              <w:t xml:space="preserve">significant </w:t>
            </w:r>
            <w:r w:rsidRPr="00DA3AE2">
              <w:rPr>
                <w:sz w:val="20"/>
              </w:rPr>
              <w:t>reductions in ammonia emissions are not achieved, as well as a failure to achieve better environmental and public health outcomes, the reputation of Northern Ireland agri-food sector may be impacted as current levels of ammonia emissions cannot be considered sustainable.</w:t>
            </w:r>
          </w:p>
          <w:p w14:paraId="70BC5566" w14:textId="389FC9DB" w:rsidR="007D4FBB" w:rsidRPr="00DA3AE2" w:rsidRDefault="007D4FBB" w:rsidP="005D1836">
            <w:pPr>
              <w:tabs>
                <w:tab w:val="left" w:pos="7920"/>
              </w:tabs>
              <w:rPr>
                <w:sz w:val="20"/>
              </w:rPr>
            </w:pPr>
            <w:r>
              <w:rPr>
                <w:sz w:val="20"/>
              </w:rPr>
              <w:t>Non-monetised costs from Option 1 are the same as those for the NAP: a</w:t>
            </w:r>
            <w:r w:rsidRPr="007D4FBB">
              <w:rPr>
                <w:sz w:val="20"/>
              </w:rPr>
              <w:t>n EU approved derogation would be available to farmers</w:t>
            </w:r>
            <w:r w:rsidR="00B73AC8">
              <w:rPr>
                <w:sz w:val="20"/>
              </w:rPr>
              <w:t>,</w:t>
            </w:r>
            <w:r w:rsidR="00C526A5">
              <w:rPr>
                <w:sz w:val="20"/>
              </w:rPr>
              <w:t xml:space="preserve"> and c</w:t>
            </w:r>
            <w:r w:rsidRPr="007D4FBB">
              <w:rPr>
                <w:sz w:val="20"/>
              </w:rPr>
              <w:t xml:space="preserve">hanges relating to fertilisation plans and </w:t>
            </w:r>
            <w:r w:rsidR="00C526A5">
              <w:rPr>
                <w:sz w:val="20"/>
              </w:rPr>
              <w:t>n</w:t>
            </w:r>
            <w:r w:rsidRPr="007D4FBB">
              <w:rPr>
                <w:sz w:val="20"/>
              </w:rPr>
              <w:t>itrogen excretion rates for dairy cows simplify administrative requirements for farmers.</w:t>
            </w:r>
          </w:p>
        </w:tc>
      </w:tr>
      <w:tr w:rsidR="005D1836" w:rsidRPr="00DA3AE2" w14:paraId="34531806" w14:textId="77777777" w:rsidTr="006B5A02">
        <w:tc>
          <w:tcPr>
            <w:tcW w:w="2018" w:type="dxa"/>
            <w:tcBorders>
              <w:bottom w:val="nil"/>
            </w:tcBorders>
            <w:shd w:val="clear" w:color="auto" w:fill="auto"/>
          </w:tcPr>
          <w:p w14:paraId="2009C0C7" w14:textId="77777777" w:rsidR="005D1836" w:rsidRPr="00DA3AE2" w:rsidRDefault="005D1836" w:rsidP="005D1836">
            <w:pPr>
              <w:tabs>
                <w:tab w:val="left" w:pos="7920"/>
              </w:tabs>
              <w:rPr>
                <w:b/>
                <w:sz w:val="22"/>
                <w:szCs w:val="22"/>
              </w:rPr>
            </w:pPr>
            <w:r w:rsidRPr="00DA3AE2">
              <w:rPr>
                <w:b/>
                <w:sz w:val="22"/>
                <w:szCs w:val="22"/>
              </w:rPr>
              <w:t>Benefits (£m)</w:t>
            </w:r>
          </w:p>
        </w:tc>
        <w:tc>
          <w:tcPr>
            <w:tcW w:w="3031" w:type="dxa"/>
            <w:gridSpan w:val="2"/>
            <w:tcBorders>
              <w:bottom w:val="nil"/>
            </w:tcBorders>
            <w:shd w:val="clear" w:color="auto" w:fill="auto"/>
          </w:tcPr>
          <w:p w14:paraId="31356038" w14:textId="77777777" w:rsidR="005D1836" w:rsidRPr="00DA3AE2" w:rsidRDefault="005D1836" w:rsidP="005D1836">
            <w:pPr>
              <w:tabs>
                <w:tab w:val="left" w:pos="7920"/>
              </w:tabs>
              <w:rPr>
                <w:b/>
                <w:sz w:val="22"/>
                <w:szCs w:val="22"/>
              </w:rPr>
            </w:pPr>
            <w:r w:rsidRPr="00DA3AE2">
              <w:rPr>
                <w:b/>
                <w:sz w:val="22"/>
                <w:szCs w:val="22"/>
              </w:rPr>
              <w:t>Total Transitional (Policy)</w:t>
            </w:r>
          </w:p>
        </w:tc>
        <w:tc>
          <w:tcPr>
            <w:tcW w:w="3100" w:type="dxa"/>
            <w:tcBorders>
              <w:bottom w:val="nil"/>
            </w:tcBorders>
            <w:shd w:val="clear" w:color="auto" w:fill="auto"/>
          </w:tcPr>
          <w:p w14:paraId="67B91A96" w14:textId="77777777" w:rsidR="005D1836" w:rsidRPr="00DA3AE2" w:rsidRDefault="005D1836" w:rsidP="005D1836">
            <w:pPr>
              <w:tabs>
                <w:tab w:val="left" w:pos="7920"/>
              </w:tabs>
              <w:rPr>
                <w:b/>
                <w:sz w:val="22"/>
                <w:szCs w:val="22"/>
              </w:rPr>
            </w:pPr>
            <w:r w:rsidRPr="00DA3AE2">
              <w:rPr>
                <w:b/>
                <w:sz w:val="22"/>
                <w:szCs w:val="22"/>
              </w:rPr>
              <w:t>Average Annual (recurring)</w:t>
            </w:r>
          </w:p>
        </w:tc>
        <w:tc>
          <w:tcPr>
            <w:tcW w:w="1921" w:type="dxa"/>
            <w:tcBorders>
              <w:bottom w:val="nil"/>
            </w:tcBorders>
            <w:shd w:val="clear" w:color="auto" w:fill="auto"/>
          </w:tcPr>
          <w:p w14:paraId="433DC8F4" w14:textId="77777777" w:rsidR="005D1836" w:rsidRPr="00DA3AE2" w:rsidRDefault="005D1836" w:rsidP="005D1836">
            <w:pPr>
              <w:tabs>
                <w:tab w:val="left" w:pos="7920"/>
              </w:tabs>
              <w:rPr>
                <w:b/>
                <w:sz w:val="22"/>
                <w:szCs w:val="22"/>
              </w:rPr>
            </w:pPr>
            <w:r w:rsidRPr="00DA3AE2">
              <w:rPr>
                <w:b/>
                <w:sz w:val="22"/>
                <w:szCs w:val="22"/>
              </w:rPr>
              <w:t>Total Benefit</w:t>
            </w:r>
          </w:p>
        </w:tc>
      </w:tr>
      <w:tr w:rsidR="005D1836" w:rsidRPr="00DA3AE2" w14:paraId="7C26A1E3" w14:textId="77777777" w:rsidTr="00247434">
        <w:trPr>
          <w:trHeight w:val="492"/>
        </w:trPr>
        <w:tc>
          <w:tcPr>
            <w:tcW w:w="2018" w:type="dxa"/>
            <w:tcBorders>
              <w:top w:val="nil"/>
            </w:tcBorders>
            <w:shd w:val="clear" w:color="auto" w:fill="auto"/>
          </w:tcPr>
          <w:p w14:paraId="72CD80C8" w14:textId="199FD0B6" w:rsidR="005D1836" w:rsidRPr="00DA3AE2" w:rsidRDefault="00E54A91" w:rsidP="005D1836">
            <w:pPr>
              <w:tabs>
                <w:tab w:val="left" w:pos="7920"/>
              </w:tabs>
              <w:rPr>
                <w:b/>
                <w:sz w:val="22"/>
                <w:szCs w:val="22"/>
              </w:rPr>
            </w:pPr>
            <w:r w:rsidRPr="00E54A91">
              <w:rPr>
                <w:b/>
                <w:sz w:val="20"/>
              </w:rPr>
              <w:t>(Calculated in terms of improved air quality)</w:t>
            </w:r>
          </w:p>
        </w:tc>
        <w:tc>
          <w:tcPr>
            <w:tcW w:w="2010" w:type="dxa"/>
            <w:tcBorders>
              <w:top w:val="nil"/>
              <w:right w:val="nil"/>
            </w:tcBorders>
            <w:shd w:val="clear" w:color="auto" w:fill="auto"/>
          </w:tcPr>
          <w:p w14:paraId="50D27A5B" w14:textId="77777777" w:rsidR="005D1836" w:rsidRPr="00DA3AE2" w:rsidRDefault="005D1836" w:rsidP="005D1836">
            <w:pPr>
              <w:tabs>
                <w:tab w:val="left" w:pos="7920"/>
              </w:tabs>
              <w:jc w:val="right"/>
              <w:rPr>
                <w:sz w:val="18"/>
                <w:szCs w:val="18"/>
              </w:rPr>
            </w:pPr>
            <w:r w:rsidRPr="00DA3AE2">
              <w:rPr>
                <w:sz w:val="18"/>
                <w:szCs w:val="18"/>
              </w:rPr>
              <w:t>(</w:t>
            </w:r>
            <w:proofErr w:type="gramStart"/>
            <w:r w:rsidRPr="00DA3AE2">
              <w:rPr>
                <w:sz w:val="18"/>
                <w:szCs w:val="18"/>
              </w:rPr>
              <w:t>constant</w:t>
            </w:r>
            <w:proofErr w:type="gramEnd"/>
            <w:r w:rsidRPr="00DA3AE2">
              <w:rPr>
                <w:sz w:val="18"/>
                <w:szCs w:val="18"/>
              </w:rPr>
              <w:t xml:space="preserve"> price)</w:t>
            </w:r>
          </w:p>
        </w:tc>
        <w:tc>
          <w:tcPr>
            <w:tcW w:w="1021" w:type="dxa"/>
            <w:tcBorders>
              <w:top w:val="nil"/>
              <w:left w:val="nil"/>
            </w:tcBorders>
            <w:shd w:val="clear" w:color="auto" w:fill="auto"/>
          </w:tcPr>
          <w:p w14:paraId="35ACDF15" w14:textId="77777777" w:rsidR="005D1836" w:rsidRPr="00DA3AE2" w:rsidRDefault="005D1836" w:rsidP="005D1836">
            <w:pPr>
              <w:tabs>
                <w:tab w:val="left" w:pos="7920"/>
              </w:tabs>
              <w:jc w:val="right"/>
              <w:rPr>
                <w:sz w:val="18"/>
                <w:szCs w:val="18"/>
              </w:rPr>
            </w:pPr>
            <w:r w:rsidRPr="00DA3AE2">
              <w:rPr>
                <w:sz w:val="18"/>
                <w:szCs w:val="18"/>
              </w:rPr>
              <w:t>Years</w:t>
            </w:r>
          </w:p>
        </w:tc>
        <w:tc>
          <w:tcPr>
            <w:tcW w:w="3100" w:type="dxa"/>
            <w:tcBorders>
              <w:top w:val="nil"/>
            </w:tcBorders>
            <w:shd w:val="clear" w:color="auto" w:fill="auto"/>
          </w:tcPr>
          <w:p w14:paraId="43F7034B" w14:textId="77777777" w:rsidR="005D1836" w:rsidRPr="00DA3AE2" w:rsidRDefault="005D1836" w:rsidP="005D1836">
            <w:pPr>
              <w:tabs>
                <w:tab w:val="left" w:pos="7920"/>
              </w:tabs>
              <w:jc w:val="right"/>
              <w:rPr>
                <w:sz w:val="18"/>
                <w:szCs w:val="18"/>
              </w:rPr>
            </w:pPr>
            <w:r w:rsidRPr="00DA3AE2">
              <w:rPr>
                <w:sz w:val="18"/>
                <w:szCs w:val="18"/>
              </w:rPr>
              <w:t>(excl. transitional) (constant price)</w:t>
            </w:r>
          </w:p>
        </w:tc>
        <w:tc>
          <w:tcPr>
            <w:tcW w:w="1921" w:type="dxa"/>
            <w:tcBorders>
              <w:top w:val="nil"/>
            </w:tcBorders>
            <w:shd w:val="clear" w:color="auto" w:fill="auto"/>
          </w:tcPr>
          <w:p w14:paraId="764625D7" w14:textId="77777777" w:rsidR="005D1836" w:rsidRPr="00DA3AE2" w:rsidRDefault="005D1836" w:rsidP="005D1836">
            <w:pPr>
              <w:tabs>
                <w:tab w:val="left" w:pos="7920"/>
              </w:tabs>
              <w:jc w:val="right"/>
              <w:rPr>
                <w:sz w:val="18"/>
                <w:szCs w:val="18"/>
              </w:rPr>
            </w:pPr>
            <w:r w:rsidRPr="00DA3AE2">
              <w:rPr>
                <w:sz w:val="18"/>
                <w:szCs w:val="18"/>
              </w:rPr>
              <w:t>(Present Value)</w:t>
            </w:r>
          </w:p>
        </w:tc>
      </w:tr>
      <w:tr w:rsidR="006B5A02" w:rsidRPr="00DA3AE2" w14:paraId="102158FC" w14:textId="77777777" w:rsidTr="006B5A02">
        <w:trPr>
          <w:trHeight w:hRule="exact" w:val="523"/>
        </w:trPr>
        <w:tc>
          <w:tcPr>
            <w:tcW w:w="2018" w:type="dxa"/>
            <w:shd w:val="clear" w:color="auto" w:fill="auto"/>
          </w:tcPr>
          <w:p w14:paraId="711D7A2C" w14:textId="77777777" w:rsidR="006B5A02" w:rsidRPr="00DA3AE2" w:rsidRDefault="006B5A02" w:rsidP="006B5A02">
            <w:pPr>
              <w:tabs>
                <w:tab w:val="left" w:pos="7920"/>
              </w:tabs>
              <w:rPr>
                <w:b/>
                <w:sz w:val="22"/>
                <w:szCs w:val="22"/>
              </w:rPr>
            </w:pPr>
            <w:r w:rsidRPr="00DA3AE2">
              <w:rPr>
                <w:b/>
                <w:sz w:val="22"/>
                <w:szCs w:val="22"/>
              </w:rPr>
              <w:t>Low</w:t>
            </w:r>
          </w:p>
        </w:tc>
        <w:tc>
          <w:tcPr>
            <w:tcW w:w="2010" w:type="dxa"/>
            <w:shd w:val="clear" w:color="auto" w:fill="auto"/>
          </w:tcPr>
          <w:p w14:paraId="12E4DBCE" w14:textId="537DFAC3" w:rsidR="006B5A02" w:rsidRPr="006B5A02" w:rsidRDefault="006B5A02" w:rsidP="006B5A02">
            <w:pPr>
              <w:tabs>
                <w:tab w:val="left" w:pos="7920"/>
              </w:tabs>
              <w:jc w:val="right"/>
              <w:rPr>
                <w:b/>
                <w:bCs/>
                <w:sz w:val="22"/>
                <w:szCs w:val="18"/>
              </w:rPr>
            </w:pPr>
          </w:p>
        </w:tc>
        <w:tc>
          <w:tcPr>
            <w:tcW w:w="1021" w:type="dxa"/>
            <w:vMerge w:val="restart"/>
            <w:shd w:val="clear" w:color="auto" w:fill="auto"/>
          </w:tcPr>
          <w:p w14:paraId="70D11E03" w14:textId="16B2B4AD" w:rsidR="006B5A02" w:rsidRPr="006B5A02" w:rsidRDefault="006B5A02" w:rsidP="006B5A02">
            <w:pPr>
              <w:tabs>
                <w:tab w:val="left" w:pos="7920"/>
              </w:tabs>
              <w:rPr>
                <w:b/>
                <w:bCs/>
                <w:sz w:val="22"/>
                <w:szCs w:val="18"/>
              </w:rPr>
            </w:pPr>
          </w:p>
        </w:tc>
        <w:tc>
          <w:tcPr>
            <w:tcW w:w="3100" w:type="dxa"/>
            <w:shd w:val="clear" w:color="auto" w:fill="auto"/>
          </w:tcPr>
          <w:p w14:paraId="2179516D" w14:textId="0762ADCD" w:rsidR="006B5A02" w:rsidRPr="006B5A02" w:rsidRDefault="00E54A91" w:rsidP="006B5A02">
            <w:pPr>
              <w:tabs>
                <w:tab w:val="left" w:pos="7920"/>
              </w:tabs>
              <w:jc w:val="right"/>
              <w:rPr>
                <w:b/>
                <w:bCs/>
                <w:sz w:val="22"/>
                <w:szCs w:val="18"/>
              </w:rPr>
            </w:pPr>
            <w:r>
              <w:rPr>
                <w:b/>
                <w:bCs/>
                <w:sz w:val="22"/>
                <w:szCs w:val="18"/>
              </w:rPr>
              <w:t>£2.84 m</w:t>
            </w:r>
          </w:p>
        </w:tc>
        <w:tc>
          <w:tcPr>
            <w:tcW w:w="1921" w:type="dxa"/>
            <w:shd w:val="clear" w:color="auto" w:fill="auto"/>
          </w:tcPr>
          <w:p w14:paraId="463591A6" w14:textId="04D07B51" w:rsidR="006B5A02" w:rsidRPr="006B5A02" w:rsidRDefault="006B5A02" w:rsidP="006B5A02">
            <w:pPr>
              <w:tabs>
                <w:tab w:val="left" w:pos="7920"/>
              </w:tabs>
              <w:jc w:val="right"/>
              <w:rPr>
                <w:b/>
                <w:bCs/>
                <w:sz w:val="22"/>
                <w:szCs w:val="18"/>
              </w:rPr>
            </w:pPr>
          </w:p>
        </w:tc>
      </w:tr>
      <w:tr w:rsidR="006B5A02" w:rsidRPr="00DA3AE2" w14:paraId="0511B790" w14:textId="77777777" w:rsidTr="006B5A02">
        <w:trPr>
          <w:trHeight w:hRule="exact" w:val="558"/>
        </w:trPr>
        <w:tc>
          <w:tcPr>
            <w:tcW w:w="2018" w:type="dxa"/>
            <w:tcBorders>
              <w:bottom w:val="single" w:sz="12" w:space="0" w:color="auto"/>
            </w:tcBorders>
            <w:shd w:val="clear" w:color="auto" w:fill="auto"/>
          </w:tcPr>
          <w:p w14:paraId="6A5F808E" w14:textId="77777777" w:rsidR="006B5A02" w:rsidRPr="00DA3AE2" w:rsidRDefault="006B5A02" w:rsidP="006B5A02">
            <w:pPr>
              <w:tabs>
                <w:tab w:val="left" w:pos="7920"/>
              </w:tabs>
              <w:rPr>
                <w:b/>
                <w:sz w:val="22"/>
                <w:szCs w:val="22"/>
              </w:rPr>
            </w:pPr>
            <w:r w:rsidRPr="00DA3AE2">
              <w:rPr>
                <w:b/>
                <w:sz w:val="22"/>
                <w:szCs w:val="22"/>
              </w:rPr>
              <w:t>High</w:t>
            </w:r>
          </w:p>
        </w:tc>
        <w:tc>
          <w:tcPr>
            <w:tcW w:w="2010" w:type="dxa"/>
            <w:tcBorders>
              <w:bottom w:val="single" w:sz="12" w:space="0" w:color="auto"/>
            </w:tcBorders>
            <w:shd w:val="clear" w:color="auto" w:fill="auto"/>
          </w:tcPr>
          <w:p w14:paraId="6CD3AC96" w14:textId="2309EF9F" w:rsidR="006B5A02" w:rsidRPr="006B5A02" w:rsidRDefault="006B5A02" w:rsidP="006B5A02">
            <w:pPr>
              <w:tabs>
                <w:tab w:val="left" w:pos="7920"/>
              </w:tabs>
              <w:jc w:val="right"/>
              <w:rPr>
                <w:b/>
                <w:bCs/>
                <w:sz w:val="22"/>
                <w:szCs w:val="18"/>
              </w:rPr>
            </w:pPr>
          </w:p>
        </w:tc>
        <w:tc>
          <w:tcPr>
            <w:tcW w:w="1021" w:type="dxa"/>
            <w:vMerge/>
            <w:tcBorders>
              <w:bottom w:val="single" w:sz="12" w:space="0" w:color="auto"/>
            </w:tcBorders>
            <w:shd w:val="clear" w:color="auto" w:fill="auto"/>
          </w:tcPr>
          <w:p w14:paraId="0F90F101" w14:textId="77777777" w:rsidR="006B5A02" w:rsidRPr="006B5A02" w:rsidRDefault="006B5A02" w:rsidP="006B5A02">
            <w:pPr>
              <w:tabs>
                <w:tab w:val="left" w:pos="7920"/>
              </w:tabs>
              <w:rPr>
                <w:b/>
                <w:bCs/>
                <w:sz w:val="22"/>
                <w:szCs w:val="18"/>
              </w:rPr>
            </w:pPr>
          </w:p>
        </w:tc>
        <w:tc>
          <w:tcPr>
            <w:tcW w:w="3100" w:type="dxa"/>
            <w:tcBorders>
              <w:bottom w:val="single" w:sz="12" w:space="0" w:color="auto"/>
            </w:tcBorders>
            <w:shd w:val="clear" w:color="auto" w:fill="auto"/>
          </w:tcPr>
          <w:p w14:paraId="467A663D" w14:textId="2D53C030" w:rsidR="006B5A02" w:rsidRPr="006B5A02" w:rsidRDefault="00E54A91" w:rsidP="006B5A02">
            <w:pPr>
              <w:tabs>
                <w:tab w:val="left" w:pos="7920"/>
              </w:tabs>
              <w:jc w:val="right"/>
              <w:rPr>
                <w:b/>
                <w:bCs/>
                <w:sz w:val="22"/>
                <w:szCs w:val="18"/>
              </w:rPr>
            </w:pPr>
            <w:r>
              <w:rPr>
                <w:b/>
                <w:bCs/>
                <w:sz w:val="22"/>
                <w:szCs w:val="18"/>
              </w:rPr>
              <w:t>£45.7</w:t>
            </w:r>
            <w:r w:rsidR="003754BD">
              <w:rPr>
                <w:b/>
                <w:bCs/>
                <w:sz w:val="22"/>
                <w:szCs w:val="18"/>
              </w:rPr>
              <w:t>5</w:t>
            </w:r>
            <w:r>
              <w:rPr>
                <w:b/>
                <w:bCs/>
                <w:sz w:val="22"/>
                <w:szCs w:val="18"/>
              </w:rPr>
              <w:t xml:space="preserve"> m</w:t>
            </w:r>
          </w:p>
        </w:tc>
        <w:tc>
          <w:tcPr>
            <w:tcW w:w="1921" w:type="dxa"/>
            <w:tcBorders>
              <w:bottom w:val="single" w:sz="12" w:space="0" w:color="auto"/>
            </w:tcBorders>
            <w:shd w:val="clear" w:color="auto" w:fill="auto"/>
          </w:tcPr>
          <w:p w14:paraId="60B118CF" w14:textId="4D178BAC" w:rsidR="006B5A02" w:rsidRPr="006B5A02" w:rsidRDefault="006B5A02" w:rsidP="006B5A02">
            <w:pPr>
              <w:tabs>
                <w:tab w:val="left" w:pos="7920"/>
              </w:tabs>
              <w:jc w:val="right"/>
              <w:rPr>
                <w:b/>
                <w:bCs/>
                <w:sz w:val="22"/>
                <w:szCs w:val="18"/>
              </w:rPr>
            </w:pPr>
          </w:p>
        </w:tc>
      </w:tr>
      <w:tr w:rsidR="006B5A02" w:rsidRPr="00DA3AE2" w14:paraId="0EA2AB43" w14:textId="77777777" w:rsidTr="006B5A02">
        <w:trPr>
          <w:trHeight w:hRule="exact" w:val="284"/>
        </w:trPr>
        <w:tc>
          <w:tcPr>
            <w:tcW w:w="2018" w:type="dxa"/>
            <w:tcBorders>
              <w:top w:val="single" w:sz="12" w:space="0" w:color="auto"/>
              <w:left w:val="single" w:sz="12" w:space="0" w:color="auto"/>
              <w:bottom w:val="single" w:sz="12" w:space="0" w:color="auto"/>
              <w:right w:val="single" w:sz="12" w:space="0" w:color="auto"/>
            </w:tcBorders>
            <w:shd w:val="clear" w:color="auto" w:fill="auto"/>
          </w:tcPr>
          <w:p w14:paraId="13BBB42E" w14:textId="77777777" w:rsidR="006B5A02" w:rsidRPr="00DA3AE2" w:rsidRDefault="006B5A02" w:rsidP="006B5A02">
            <w:pPr>
              <w:tabs>
                <w:tab w:val="left" w:pos="7920"/>
              </w:tabs>
              <w:rPr>
                <w:b/>
                <w:sz w:val="22"/>
                <w:szCs w:val="22"/>
              </w:rPr>
            </w:pPr>
            <w:r w:rsidRPr="00DA3AE2">
              <w:rPr>
                <w:b/>
                <w:sz w:val="22"/>
                <w:szCs w:val="22"/>
              </w:rPr>
              <w:t>Best Estimate</w:t>
            </w:r>
          </w:p>
        </w:tc>
        <w:tc>
          <w:tcPr>
            <w:tcW w:w="2010" w:type="dxa"/>
            <w:tcBorders>
              <w:top w:val="single" w:sz="12" w:space="0" w:color="auto"/>
              <w:left w:val="single" w:sz="12" w:space="0" w:color="auto"/>
              <w:bottom w:val="single" w:sz="12" w:space="0" w:color="auto"/>
              <w:right w:val="single" w:sz="12" w:space="0" w:color="auto"/>
            </w:tcBorders>
            <w:shd w:val="clear" w:color="auto" w:fill="auto"/>
          </w:tcPr>
          <w:p w14:paraId="22FC0A46" w14:textId="4F3A6600" w:rsidR="006B5A02" w:rsidRPr="006B5A02" w:rsidRDefault="006B5A02" w:rsidP="006B5A02">
            <w:pPr>
              <w:tabs>
                <w:tab w:val="left" w:pos="7920"/>
              </w:tabs>
              <w:jc w:val="right"/>
              <w:rPr>
                <w:b/>
                <w:bCs/>
                <w:sz w:val="22"/>
                <w:szCs w:val="18"/>
              </w:rPr>
            </w:pPr>
          </w:p>
        </w:tc>
        <w:tc>
          <w:tcPr>
            <w:tcW w:w="1021" w:type="dxa"/>
            <w:vMerge/>
            <w:tcBorders>
              <w:top w:val="single" w:sz="12" w:space="0" w:color="auto"/>
              <w:left w:val="single" w:sz="12" w:space="0" w:color="auto"/>
              <w:bottom w:val="single" w:sz="12" w:space="0" w:color="auto"/>
              <w:right w:val="single" w:sz="12" w:space="0" w:color="auto"/>
            </w:tcBorders>
            <w:shd w:val="clear" w:color="auto" w:fill="auto"/>
          </w:tcPr>
          <w:p w14:paraId="3A22F6CC" w14:textId="77777777" w:rsidR="006B5A02" w:rsidRPr="006B5A02" w:rsidRDefault="006B5A02" w:rsidP="006B5A02">
            <w:pPr>
              <w:tabs>
                <w:tab w:val="left" w:pos="7920"/>
              </w:tabs>
              <w:rPr>
                <w:b/>
                <w:bCs/>
                <w:sz w:val="22"/>
                <w:szCs w:val="18"/>
              </w:rPr>
            </w:pPr>
          </w:p>
        </w:tc>
        <w:tc>
          <w:tcPr>
            <w:tcW w:w="3100" w:type="dxa"/>
            <w:tcBorders>
              <w:top w:val="single" w:sz="12" w:space="0" w:color="auto"/>
              <w:left w:val="single" w:sz="12" w:space="0" w:color="auto"/>
              <w:bottom w:val="single" w:sz="12" w:space="0" w:color="auto"/>
              <w:right w:val="single" w:sz="12" w:space="0" w:color="auto"/>
            </w:tcBorders>
            <w:shd w:val="clear" w:color="auto" w:fill="auto"/>
          </w:tcPr>
          <w:p w14:paraId="6A62C201" w14:textId="1CC5F394" w:rsidR="006B5A02" w:rsidRPr="006B5A02" w:rsidRDefault="00E54A91" w:rsidP="006B5A02">
            <w:pPr>
              <w:tabs>
                <w:tab w:val="left" w:pos="7920"/>
              </w:tabs>
              <w:jc w:val="right"/>
              <w:rPr>
                <w:b/>
                <w:bCs/>
                <w:sz w:val="22"/>
                <w:szCs w:val="18"/>
              </w:rPr>
            </w:pPr>
            <w:r>
              <w:rPr>
                <w:b/>
                <w:bCs/>
                <w:sz w:val="22"/>
                <w:szCs w:val="18"/>
              </w:rPr>
              <w:t>£14.8</w:t>
            </w:r>
            <w:r w:rsidR="003754BD">
              <w:rPr>
                <w:b/>
                <w:bCs/>
                <w:sz w:val="22"/>
                <w:szCs w:val="18"/>
              </w:rPr>
              <w:t>2</w:t>
            </w:r>
            <w:r>
              <w:rPr>
                <w:b/>
                <w:bCs/>
                <w:sz w:val="22"/>
                <w:szCs w:val="18"/>
              </w:rPr>
              <w:t xml:space="preserve"> m</w:t>
            </w:r>
          </w:p>
        </w:tc>
        <w:tc>
          <w:tcPr>
            <w:tcW w:w="1921" w:type="dxa"/>
            <w:tcBorders>
              <w:top w:val="single" w:sz="12" w:space="0" w:color="auto"/>
              <w:left w:val="single" w:sz="12" w:space="0" w:color="auto"/>
              <w:bottom w:val="single" w:sz="12" w:space="0" w:color="auto"/>
              <w:right w:val="single" w:sz="12" w:space="0" w:color="auto"/>
            </w:tcBorders>
            <w:shd w:val="clear" w:color="auto" w:fill="auto"/>
          </w:tcPr>
          <w:p w14:paraId="69B98EA8" w14:textId="1B5616A2" w:rsidR="006B5A02" w:rsidRPr="006B5A02" w:rsidRDefault="006B5A02" w:rsidP="006B5A02">
            <w:pPr>
              <w:tabs>
                <w:tab w:val="left" w:pos="7920"/>
              </w:tabs>
              <w:jc w:val="right"/>
              <w:rPr>
                <w:b/>
                <w:bCs/>
                <w:sz w:val="22"/>
                <w:szCs w:val="18"/>
              </w:rPr>
            </w:pPr>
          </w:p>
        </w:tc>
      </w:tr>
      <w:tr w:rsidR="005D1836" w:rsidRPr="00DA3AE2" w14:paraId="605F217D" w14:textId="77777777" w:rsidTr="006B5A02">
        <w:trPr>
          <w:trHeight w:hRule="exact" w:val="3581"/>
        </w:trPr>
        <w:tc>
          <w:tcPr>
            <w:tcW w:w="10070" w:type="dxa"/>
            <w:gridSpan w:val="5"/>
            <w:tcBorders>
              <w:top w:val="single" w:sz="12" w:space="0" w:color="auto"/>
              <w:bottom w:val="single" w:sz="4" w:space="0" w:color="auto"/>
            </w:tcBorders>
            <w:shd w:val="clear" w:color="auto" w:fill="auto"/>
          </w:tcPr>
          <w:p w14:paraId="1190CFDB" w14:textId="77777777" w:rsidR="005D1836" w:rsidRPr="00DA3AE2" w:rsidRDefault="005D1836" w:rsidP="005D1836">
            <w:pPr>
              <w:tabs>
                <w:tab w:val="left" w:pos="7920"/>
              </w:tabs>
              <w:rPr>
                <w:sz w:val="20"/>
              </w:rPr>
            </w:pPr>
            <w:r w:rsidRPr="00DA3AE2">
              <w:rPr>
                <w:b/>
                <w:sz w:val="20"/>
              </w:rPr>
              <w:t xml:space="preserve">Description and scale of key monetised benefits by ‘main affected groups’ </w:t>
            </w:r>
            <w:r w:rsidRPr="00DA3AE2">
              <w:rPr>
                <w:sz w:val="20"/>
              </w:rPr>
              <w:t xml:space="preserve">Maximum 5 lines  </w:t>
            </w:r>
          </w:p>
          <w:p w14:paraId="62F1AAE3" w14:textId="77777777" w:rsidR="00960894" w:rsidRPr="00DA3AE2" w:rsidRDefault="00960894" w:rsidP="005D1836">
            <w:pPr>
              <w:tabs>
                <w:tab w:val="left" w:pos="7920"/>
              </w:tabs>
              <w:rPr>
                <w:sz w:val="20"/>
              </w:rPr>
            </w:pPr>
          </w:p>
          <w:p w14:paraId="40772F3A" w14:textId="77777777" w:rsidR="00960894" w:rsidRDefault="00960894" w:rsidP="00913B62">
            <w:pPr>
              <w:tabs>
                <w:tab w:val="left" w:pos="7920"/>
              </w:tabs>
              <w:rPr>
                <w:sz w:val="20"/>
              </w:rPr>
            </w:pPr>
            <w:r w:rsidRPr="00DA3AE2">
              <w:rPr>
                <w:sz w:val="20"/>
              </w:rPr>
              <w:t xml:space="preserve">The “benefits” of this option are that </w:t>
            </w:r>
            <w:r w:rsidR="00913B62" w:rsidRPr="00DA3AE2">
              <w:rPr>
                <w:sz w:val="20"/>
              </w:rPr>
              <w:t>specific</w:t>
            </w:r>
            <w:r w:rsidRPr="00DA3AE2">
              <w:rPr>
                <w:sz w:val="20"/>
              </w:rPr>
              <w:t xml:space="preserve"> investment to reduce ammonia emissions </w:t>
            </w:r>
            <w:r w:rsidR="00F17DCA" w:rsidRPr="00DA3AE2">
              <w:rPr>
                <w:sz w:val="20"/>
              </w:rPr>
              <w:t xml:space="preserve">beyond the measures committed to under NAP </w:t>
            </w:r>
            <w:r w:rsidRPr="00DA3AE2">
              <w:rPr>
                <w:sz w:val="20"/>
              </w:rPr>
              <w:t>may not be initially required. However</w:t>
            </w:r>
            <w:r w:rsidR="00B73AC8">
              <w:rPr>
                <w:sz w:val="20"/>
              </w:rPr>
              <w:t>,</w:t>
            </w:r>
            <w:r w:rsidRPr="00DA3AE2">
              <w:rPr>
                <w:sz w:val="20"/>
              </w:rPr>
              <w:t xml:space="preserve"> the legal imperative to reduce ammonia emissions will mean that an alternative approach will be required which will have other economic implications, including potential impacts on livestock numbers and the overall value of the agri-food sector to the economy.</w:t>
            </w:r>
          </w:p>
          <w:p w14:paraId="0BCBA876" w14:textId="77777777" w:rsidR="006B5A02" w:rsidRDefault="006B5A02" w:rsidP="006B5A02">
            <w:pPr>
              <w:tabs>
                <w:tab w:val="left" w:pos="7920"/>
              </w:tabs>
              <w:rPr>
                <w:bCs/>
                <w:sz w:val="20"/>
              </w:rPr>
            </w:pPr>
          </w:p>
          <w:p w14:paraId="3FEA03DB" w14:textId="77777777" w:rsidR="006B5A02" w:rsidRDefault="00247434" w:rsidP="006B5A02">
            <w:pPr>
              <w:tabs>
                <w:tab w:val="left" w:pos="7920"/>
              </w:tabs>
              <w:rPr>
                <w:bCs/>
                <w:sz w:val="20"/>
              </w:rPr>
            </w:pPr>
            <w:r w:rsidRPr="00247434">
              <w:rPr>
                <w:bCs/>
                <w:sz w:val="20"/>
              </w:rPr>
              <w:t xml:space="preserve">Benefits will accrue across NI society of achieving an ammonia reduction target of </w:t>
            </w:r>
            <w:r>
              <w:rPr>
                <w:bCs/>
                <w:sz w:val="20"/>
              </w:rPr>
              <w:t>5.9</w:t>
            </w:r>
            <w:r w:rsidRPr="00247434">
              <w:rPr>
                <w:bCs/>
                <w:sz w:val="20"/>
              </w:rPr>
              <w:t xml:space="preserve">% through the </w:t>
            </w:r>
            <w:r w:rsidR="00E54A91">
              <w:rPr>
                <w:bCs/>
                <w:sz w:val="20"/>
              </w:rPr>
              <w:t xml:space="preserve">NAP </w:t>
            </w:r>
            <w:proofErr w:type="gramStart"/>
            <w:r w:rsidRPr="00247434">
              <w:rPr>
                <w:bCs/>
                <w:sz w:val="20"/>
              </w:rPr>
              <w:t>measures  (</w:t>
            </w:r>
            <w:proofErr w:type="spellStart"/>
            <w:proofErr w:type="gramEnd"/>
            <w:r w:rsidRPr="00247434">
              <w:rPr>
                <w:bCs/>
                <w:sz w:val="20"/>
              </w:rPr>
              <w:t>ie</w:t>
            </w:r>
            <w:proofErr w:type="spellEnd"/>
            <w:r w:rsidRPr="00247434">
              <w:rPr>
                <w:bCs/>
                <w:sz w:val="20"/>
              </w:rPr>
              <w:t xml:space="preserve"> </w:t>
            </w:r>
            <w:r>
              <w:rPr>
                <w:bCs/>
                <w:sz w:val="20"/>
              </w:rPr>
              <w:t>1.87</w:t>
            </w:r>
            <w:r w:rsidRPr="00247434">
              <w:rPr>
                <w:bCs/>
                <w:sz w:val="20"/>
              </w:rPr>
              <w:t xml:space="preserve"> kt of ammonia reduction annually). At UK level, the damage cost of ammonia emissions is assessed at between £1,521 and £24,467 per tonne with a central damage cost of £7,92</w:t>
            </w:r>
            <w:r w:rsidR="00E54A91">
              <w:rPr>
                <w:bCs/>
                <w:sz w:val="20"/>
              </w:rPr>
              <w:t>3</w:t>
            </w:r>
            <w:r w:rsidR="00E54A91">
              <w:rPr>
                <w:rStyle w:val="FootnoteReference"/>
                <w:bCs/>
                <w:sz w:val="20"/>
              </w:rPr>
              <w:footnoteReference w:id="1"/>
            </w:r>
            <w:r w:rsidRPr="00247434">
              <w:rPr>
                <w:bCs/>
                <w:sz w:val="20"/>
              </w:rPr>
              <w:t xml:space="preserve">. While the public health element of this figure is based on PM2.5 levels across the UK, benefits from ammonia reduction will accrue in Northern Ireland. However, these benefits are not maximised due to the selection of </w:t>
            </w:r>
            <w:r w:rsidR="00E54A91">
              <w:rPr>
                <w:bCs/>
                <w:sz w:val="20"/>
              </w:rPr>
              <w:t xml:space="preserve">NAP </w:t>
            </w:r>
            <w:r w:rsidRPr="00247434">
              <w:rPr>
                <w:bCs/>
                <w:sz w:val="20"/>
              </w:rPr>
              <w:t>measures only.</w:t>
            </w:r>
          </w:p>
          <w:p w14:paraId="6C35A09A" w14:textId="1537A1DC" w:rsidR="009211B3" w:rsidRPr="00DA3AE2" w:rsidRDefault="009211B3" w:rsidP="006B5A02">
            <w:pPr>
              <w:tabs>
                <w:tab w:val="left" w:pos="7920"/>
              </w:tabs>
              <w:rPr>
                <w:b/>
                <w:sz w:val="20"/>
              </w:rPr>
            </w:pPr>
            <w:r>
              <w:rPr>
                <w:bCs/>
                <w:sz w:val="20"/>
              </w:rPr>
              <w:t>Calculations are shown in Annex A.</w:t>
            </w:r>
          </w:p>
        </w:tc>
      </w:tr>
      <w:tr w:rsidR="005D1836" w:rsidRPr="00DA3AE2" w14:paraId="57F0513F" w14:textId="77777777" w:rsidTr="006B5A02">
        <w:trPr>
          <w:trHeight w:hRule="exact" w:val="1418"/>
        </w:trPr>
        <w:tc>
          <w:tcPr>
            <w:tcW w:w="10070" w:type="dxa"/>
            <w:gridSpan w:val="5"/>
            <w:shd w:val="clear" w:color="auto" w:fill="auto"/>
          </w:tcPr>
          <w:p w14:paraId="3C94A7D4" w14:textId="4A270A62" w:rsidR="005D1836" w:rsidRPr="006B5A02" w:rsidRDefault="005D1836" w:rsidP="005D1836">
            <w:pPr>
              <w:tabs>
                <w:tab w:val="left" w:pos="7920"/>
              </w:tabs>
              <w:rPr>
                <w:b/>
                <w:sz w:val="20"/>
              </w:rPr>
            </w:pPr>
            <w:r w:rsidRPr="00DA3AE2">
              <w:rPr>
                <w:b/>
                <w:sz w:val="20"/>
              </w:rPr>
              <w:lastRenderedPageBreak/>
              <w:t xml:space="preserve">Other key non-monetised benefits by ‘main affected groups’ </w:t>
            </w:r>
            <w:r w:rsidRPr="00DA3AE2">
              <w:rPr>
                <w:sz w:val="20"/>
              </w:rPr>
              <w:t>Maximum 5 lines</w:t>
            </w:r>
          </w:p>
          <w:p w14:paraId="2DF74DAD" w14:textId="32F58C2C" w:rsidR="005D1836" w:rsidRPr="00DA3AE2" w:rsidRDefault="005D1836" w:rsidP="005D1836">
            <w:pPr>
              <w:tabs>
                <w:tab w:val="left" w:pos="7920"/>
              </w:tabs>
              <w:rPr>
                <w:sz w:val="20"/>
              </w:rPr>
            </w:pPr>
          </w:p>
          <w:p w14:paraId="036BC1A4" w14:textId="6F46626C" w:rsidR="00960894" w:rsidRPr="00DA3AE2" w:rsidRDefault="00960894" w:rsidP="005D1836">
            <w:pPr>
              <w:tabs>
                <w:tab w:val="left" w:pos="7920"/>
              </w:tabs>
              <w:rPr>
                <w:sz w:val="20"/>
              </w:rPr>
            </w:pPr>
            <w:r w:rsidRPr="00DA3AE2">
              <w:rPr>
                <w:sz w:val="20"/>
              </w:rPr>
              <w:t xml:space="preserve">There will be no initial additional regulatory or administrative requirements if </w:t>
            </w:r>
            <w:r w:rsidR="00D81E42" w:rsidRPr="00DA3AE2">
              <w:rPr>
                <w:sz w:val="20"/>
              </w:rPr>
              <w:t xml:space="preserve">an </w:t>
            </w:r>
            <w:r w:rsidR="00B73AC8">
              <w:rPr>
                <w:sz w:val="20"/>
              </w:rPr>
              <w:t>A</w:t>
            </w:r>
            <w:r w:rsidR="00D81E42" w:rsidRPr="00DA3AE2">
              <w:rPr>
                <w:sz w:val="20"/>
              </w:rPr>
              <w:t xml:space="preserve">mmonia </w:t>
            </w:r>
            <w:r w:rsidR="00B73AC8">
              <w:rPr>
                <w:sz w:val="20"/>
              </w:rPr>
              <w:t>S</w:t>
            </w:r>
            <w:r w:rsidR="00D81E42" w:rsidRPr="00DA3AE2">
              <w:rPr>
                <w:sz w:val="20"/>
              </w:rPr>
              <w:t>trategy is not implemented.</w:t>
            </w:r>
          </w:p>
        </w:tc>
      </w:tr>
      <w:tr w:rsidR="005D1836" w:rsidRPr="00DA3AE2" w14:paraId="7CE47682" w14:textId="77777777" w:rsidTr="006B5A02">
        <w:trPr>
          <w:trHeight w:hRule="exact" w:val="1834"/>
        </w:trPr>
        <w:tc>
          <w:tcPr>
            <w:tcW w:w="10070" w:type="dxa"/>
            <w:gridSpan w:val="5"/>
            <w:tcBorders>
              <w:bottom w:val="single" w:sz="4" w:space="0" w:color="auto"/>
            </w:tcBorders>
            <w:shd w:val="clear" w:color="auto" w:fill="auto"/>
          </w:tcPr>
          <w:p w14:paraId="3969BF38" w14:textId="77777777" w:rsidR="005D1836" w:rsidRPr="00DA3AE2" w:rsidRDefault="005D1836" w:rsidP="005D1836">
            <w:pPr>
              <w:tabs>
                <w:tab w:val="left" w:pos="7920"/>
              </w:tabs>
              <w:rPr>
                <w:sz w:val="20"/>
              </w:rPr>
            </w:pPr>
            <w:r w:rsidRPr="00DA3AE2">
              <w:rPr>
                <w:b/>
                <w:sz w:val="20"/>
              </w:rPr>
              <w:t xml:space="preserve">Key Assumptions, Sensitivities, Risks </w:t>
            </w:r>
            <w:r w:rsidRPr="00DA3AE2">
              <w:rPr>
                <w:sz w:val="20"/>
              </w:rPr>
              <w:t>Maximum 5 lines</w:t>
            </w:r>
          </w:p>
          <w:p w14:paraId="28D99F50" w14:textId="110F455D" w:rsidR="005D1836" w:rsidRPr="00DA3AE2" w:rsidRDefault="005D1836" w:rsidP="005D1836">
            <w:pPr>
              <w:tabs>
                <w:tab w:val="left" w:pos="7920"/>
              </w:tabs>
              <w:rPr>
                <w:sz w:val="20"/>
              </w:rPr>
            </w:pPr>
          </w:p>
          <w:p w14:paraId="3FC17CFB" w14:textId="0C39BB2E" w:rsidR="00D81E42" w:rsidRPr="00DA3AE2" w:rsidRDefault="00D81E42" w:rsidP="00F17DCA">
            <w:pPr>
              <w:tabs>
                <w:tab w:val="left" w:pos="7920"/>
              </w:tabs>
              <w:rPr>
                <w:sz w:val="20"/>
              </w:rPr>
            </w:pPr>
            <w:r w:rsidRPr="00DA3AE2">
              <w:rPr>
                <w:sz w:val="20"/>
              </w:rPr>
              <w:t xml:space="preserve">The risk of this approach is that </w:t>
            </w:r>
            <w:r w:rsidR="00F17DCA" w:rsidRPr="00DA3AE2">
              <w:rPr>
                <w:sz w:val="20"/>
              </w:rPr>
              <w:t xml:space="preserve">insufficient progress </w:t>
            </w:r>
            <w:r w:rsidRPr="00DA3AE2">
              <w:rPr>
                <w:sz w:val="20"/>
              </w:rPr>
              <w:t>is mad</w:t>
            </w:r>
            <w:r w:rsidR="00286FB2" w:rsidRPr="00DA3AE2">
              <w:rPr>
                <w:sz w:val="20"/>
              </w:rPr>
              <w:t>e in reducing ammonia emissions, that the benefits of improved nutrient efficiency and better biodiversity and public health outcomes are not realised. The key assumption</w:t>
            </w:r>
            <w:r w:rsidR="00F17DCA" w:rsidRPr="00DA3AE2">
              <w:rPr>
                <w:sz w:val="20"/>
              </w:rPr>
              <w:t xml:space="preserve"> within this option is that if sufficient action is not taken </w:t>
            </w:r>
            <w:r w:rsidR="00286FB2" w:rsidRPr="00DA3AE2">
              <w:rPr>
                <w:sz w:val="20"/>
              </w:rPr>
              <w:t xml:space="preserve">to address the legal imperative now, more damage will occur and it will prove more costly and disruptive to take the appropriate action </w:t>
            </w:r>
            <w:proofErr w:type="gramStart"/>
            <w:r w:rsidR="00286FB2" w:rsidRPr="00DA3AE2">
              <w:rPr>
                <w:sz w:val="20"/>
              </w:rPr>
              <w:t>at a later date</w:t>
            </w:r>
            <w:proofErr w:type="gramEnd"/>
            <w:r w:rsidR="00286FB2" w:rsidRPr="00DA3AE2">
              <w:rPr>
                <w:sz w:val="20"/>
              </w:rPr>
              <w:t>, from potentially higher emission levels.</w:t>
            </w:r>
          </w:p>
        </w:tc>
      </w:tr>
    </w:tbl>
    <w:p w14:paraId="63A34472" w14:textId="77777777" w:rsidR="005D1836" w:rsidRPr="00DA3AE2" w:rsidRDefault="005D1836" w:rsidP="005D1836">
      <w:pPr>
        <w:rPr>
          <w:sz w:val="20"/>
        </w:rPr>
      </w:pPr>
    </w:p>
    <w:p w14:paraId="0985C6EC" w14:textId="77777777" w:rsidR="005D1836" w:rsidRPr="00DA3AE2" w:rsidRDefault="005D1836" w:rsidP="005D1836">
      <w:pPr>
        <w:tabs>
          <w:tab w:val="left" w:pos="7920"/>
        </w:tabs>
        <w:rPr>
          <w:b/>
          <w:sz w:val="22"/>
          <w:szCs w:val="22"/>
        </w:rPr>
      </w:pPr>
      <w:r w:rsidRPr="00DA3AE2">
        <w:rPr>
          <w:b/>
          <w:sz w:val="22"/>
          <w:szCs w:val="22"/>
        </w:rPr>
        <w:t xml:space="preserve">BUSINESS ASSESSMENT (Option </w:t>
      </w:r>
      <w:r w:rsidR="00676B70" w:rsidRPr="00DA3AE2">
        <w:rPr>
          <w:sz w:val="22"/>
          <w:szCs w:val="22"/>
        </w:rPr>
        <w:t>1</w:t>
      </w:r>
      <w:r w:rsidRPr="00DA3AE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280"/>
        <w:gridCol w:w="2268"/>
        <w:gridCol w:w="3251"/>
      </w:tblGrid>
      <w:tr w:rsidR="00676B70" w:rsidRPr="00DA3AE2" w14:paraId="29CC5477" w14:textId="77777777" w:rsidTr="00676B70">
        <w:tc>
          <w:tcPr>
            <w:tcW w:w="6948" w:type="dxa"/>
            <w:gridSpan w:val="3"/>
            <w:tcBorders>
              <w:top w:val="single" w:sz="4" w:space="0" w:color="auto"/>
            </w:tcBorders>
            <w:shd w:val="clear" w:color="auto" w:fill="auto"/>
          </w:tcPr>
          <w:p w14:paraId="6C2D08B9" w14:textId="77777777" w:rsidR="00676B70" w:rsidRPr="00DA3AE2" w:rsidRDefault="00676B70" w:rsidP="005D1836">
            <w:pPr>
              <w:tabs>
                <w:tab w:val="left" w:pos="7920"/>
              </w:tabs>
              <w:rPr>
                <w:b/>
                <w:sz w:val="22"/>
                <w:szCs w:val="22"/>
              </w:rPr>
            </w:pPr>
            <w:r w:rsidRPr="00DA3AE2">
              <w:rPr>
                <w:b/>
                <w:sz w:val="22"/>
                <w:szCs w:val="22"/>
              </w:rPr>
              <w:t>Direct Impact on business (Equivalent Annual) £m</w:t>
            </w:r>
          </w:p>
        </w:tc>
        <w:tc>
          <w:tcPr>
            <w:tcW w:w="3348" w:type="dxa"/>
            <w:vMerge w:val="restart"/>
            <w:tcBorders>
              <w:top w:val="single" w:sz="4" w:space="0" w:color="auto"/>
            </w:tcBorders>
            <w:shd w:val="clear" w:color="auto" w:fill="auto"/>
          </w:tcPr>
          <w:p w14:paraId="1731989F" w14:textId="77777777" w:rsidR="00676B70" w:rsidRDefault="00676B70" w:rsidP="00676B70">
            <w:pPr>
              <w:tabs>
                <w:tab w:val="left" w:pos="7920"/>
              </w:tabs>
              <w:rPr>
                <w:bCs/>
                <w:sz w:val="20"/>
              </w:rPr>
            </w:pPr>
          </w:p>
          <w:p w14:paraId="16B49BDE" w14:textId="74302548" w:rsidR="005663A8" w:rsidRPr="00D360CA" w:rsidRDefault="005663A8" w:rsidP="00676B70">
            <w:pPr>
              <w:tabs>
                <w:tab w:val="left" w:pos="7920"/>
              </w:tabs>
              <w:rPr>
                <w:bCs/>
                <w:sz w:val="20"/>
              </w:rPr>
            </w:pPr>
          </w:p>
        </w:tc>
      </w:tr>
      <w:tr w:rsidR="00676B70" w:rsidRPr="00DA3AE2" w14:paraId="628FD2F9" w14:textId="77777777" w:rsidTr="005663A8">
        <w:trPr>
          <w:trHeight w:hRule="exact" w:val="966"/>
        </w:trPr>
        <w:tc>
          <w:tcPr>
            <w:tcW w:w="2316" w:type="dxa"/>
            <w:shd w:val="clear" w:color="auto" w:fill="auto"/>
          </w:tcPr>
          <w:p w14:paraId="1ED11147" w14:textId="02B3489E" w:rsidR="00676B70" w:rsidRPr="00DA3AE2" w:rsidRDefault="00676B70" w:rsidP="005D1836">
            <w:pPr>
              <w:tabs>
                <w:tab w:val="left" w:pos="7920"/>
              </w:tabs>
              <w:rPr>
                <w:b/>
                <w:sz w:val="22"/>
                <w:szCs w:val="22"/>
              </w:rPr>
            </w:pPr>
            <w:r w:rsidRPr="00DA3AE2">
              <w:rPr>
                <w:b/>
                <w:sz w:val="22"/>
                <w:szCs w:val="22"/>
              </w:rPr>
              <w:t>Costs:</w:t>
            </w:r>
            <w:r w:rsidR="001A00B8">
              <w:rPr>
                <w:b/>
                <w:sz w:val="22"/>
                <w:szCs w:val="22"/>
              </w:rPr>
              <w:t xml:space="preserve"> £7.73 m</w:t>
            </w:r>
            <w:r w:rsidR="001A00B8" w:rsidRPr="00DA3AE2">
              <w:rPr>
                <w:b/>
                <w:sz w:val="22"/>
                <w:szCs w:val="22"/>
              </w:rPr>
              <w:t xml:space="preserve"> </w:t>
            </w:r>
          </w:p>
        </w:tc>
        <w:tc>
          <w:tcPr>
            <w:tcW w:w="2316" w:type="dxa"/>
            <w:shd w:val="clear" w:color="auto" w:fill="auto"/>
          </w:tcPr>
          <w:p w14:paraId="5590A589" w14:textId="6022E12C" w:rsidR="00676B70" w:rsidRPr="00DA3AE2" w:rsidRDefault="00676B70" w:rsidP="005D1836">
            <w:pPr>
              <w:tabs>
                <w:tab w:val="left" w:pos="7920"/>
              </w:tabs>
              <w:rPr>
                <w:b/>
                <w:sz w:val="22"/>
                <w:szCs w:val="22"/>
              </w:rPr>
            </w:pPr>
            <w:r w:rsidRPr="00DA3AE2">
              <w:rPr>
                <w:b/>
                <w:sz w:val="22"/>
                <w:szCs w:val="22"/>
              </w:rPr>
              <w:t>Benefits:</w:t>
            </w:r>
            <w:r w:rsidR="001A00B8">
              <w:rPr>
                <w:b/>
                <w:sz w:val="22"/>
                <w:szCs w:val="22"/>
              </w:rPr>
              <w:t xml:space="preserve"> £4.91</w:t>
            </w:r>
            <w:r w:rsidR="001A00B8" w:rsidRPr="00DA3AE2">
              <w:rPr>
                <w:b/>
                <w:sz w:val="22"/>
                <w:szCs w:val="22"/>
              </w:rPr>
              <w:t xml:space="preserve"> </w:t>
            </w:r>
            <w:r w:rsidR="005663A8">
              <w:rPr>
                <w:b/>
                <w:sz w:val="22"/>
                <w:szCs w:val="22"/>
              </w:rPr>
              <w:t>m</w:t>
            </w:r>
          </w:p>
        </w:tc>
        <w:tc>
          <w:tcPr>
            <w:tcW w:w="2316" w:type="dxa"/>
            <w:shd w:val="clear" w:color="auto" w:fill="auto"/>
          </w:tcPr>
          <w:p w14:paraId="292B6352" w14:textId="352532CC" w:rsidR="00676B70" w:rsidRPr="00DA3AE2" w:rsidRDefault="00676B70" w:rsidP="005D1836">
            <w:pPr>
              <w:tabs>
                <w:tab w:val="left" w:pos="7920"/>
              </w:tabs>
              <w:rPr>
                <w:b/>
                <w:sz w:val="22"/>
                <w:szCs w:val="22"/>
              </w:rPr>
            </w:pPr>
            <w:r w:rsidRPr="00DA3AE2">
              <w:rPr>
                <w:b/>
                <w:sz w:val="22"/>
                <w:szCs w:val="22"/>
              </w:rPr>
              <w:t>Net:</w:t>
            </w:r>
            <w:r w:rsidR="001A00B8">
              <w:rPr>
                <w:b/>
                <w:sz w:val="22"/>
                <w:szCs w:val="22"/>
              </w:rPr>
              <w:t xml:space="preserve"> £2.82</w:t>
            </w:r>
            <w:r w:rsidR="001A00B8" w:rsidRPr="00DA3AE2">
              <w:rPr>
                <w:b/>
                <w:sz w:val="22"/>
                <w:szCs w:val="22"/>
              </w:rPr>
              <w:t xml:space="preserve"> </w:t>
            </w:r>
            <w:r w:rsidR="005663A8">
              <w:rPr>
                <w:b/>
                <w:sz w:val="22"/>
                <w:szCs w:val="22"/>
              </w:rPr>
              <w:t>m</w:t>
            </w:r>
          </w:p>
        </w:tc>
        <w:tc>
          <w:tcPr>
            <w:tcW w:w="3348" w:type="dxa"/>
            <w:vMerge/>
            <w:shd w:val="clear" w:color="auto" w:fill="auto"/>
          </w:tcPr>
          <w:p w14:paraId="008DFF82" w14:textId="77777777" w:rsidR="00676B70" w:rsidRPr="00DA3AE2" w:rsidRDefault="00676B70" w:rsidP="005D1836">
            <w:pPr>
              <w:tabs>
                <w:tab w:val="left" w:pos="7920"/>
              </w:tabs>
              <w:rPr>
                <w:b/>
                <w:sz w:val="22"/>
                <w:szCs w:val="22"/>
              </w:rPr>
            </w:pPr>
          </w:p>
        </w:tc>
      </w:tr>
    </w:tbl>
    <w:p w14:paraId="429D95DE" w14:textId="77777777" w:rsidR="005D1836" w:rsidRPr="00DA3AE2" w:rsidRDefault="005D1836" w:rsidP="005D1836">
      <w:pPr>
        <w:tabs>
          <w:tab w:val="left" w:pos="7920"/>
        </w:tabs>
        <w:rPr>
          <w:sz w:val="20"/>
        </w:rPr>
      </w:pPr>
    </w:p>
    <w:p w14:paraId="328B2ACF" w14:textId="77777777" w:rsidR="005D1836" w:rsidRPr="00DA3AE2" w:rsidRDefault="005D1836" w:rsidP="005D1836">
      <w:pPr>
        <w:tabs>
          <w:tab w:val="left" w:pos="7920"/>
        </w:tabs>
        <w:rPr>
          <w:b/>
          <w:sz w:val="22"/>
          <w:szCs w:val="22"/>
        </w:rPr>
      </w:pPr>
      <w:r w:rsidRPr="00DA3AE2">
        <w:rPr>
          <w:b/>
          <w:sz w:val="22"/>
          <w:szCs w:val="22"/>
        </w:rPr>
        <w:t xml:space="preserve">Cross Border Issues (Option </w:t>
      </w:r>
      <w:r w:rsidR="00676B70" w:rsidRPr="00DA3AE2">
        <w:rPr>
          <w:sz w:val="20"/>
        </w:rPr>
        <w:t>1</w:t>
      </w:r>
      <w:r w:rsidRPr="00DA3AE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D1836" w:rsidRPr="00DA3AE2" w14:paraId="2B463CE8" w14:textId="77777777" w:rsidTr="00D360CA">
        <w:trPr>
          <w:trHeight w:hRule="exact" w:val="2051"/>
        </w:trPr>
        <w:tc>
          <w:tcPr>
            <w:tcW w:w="10296" w:type="dxa"/>
            <w:shd w:val="clear" w:color="auto" w:fill="auto"/>
          </w:tcPr>
          <w:p w14:paraId="1FF613C7" w14:textId="77777777" w:rsidR="005D1836" w:rsidRPr="00DA3AE2" w:rsidRDefault="005D1836" w:rsidP="005D1836">
            <w:pPr>
              <w:tabs>
                <w:tab w:val="left" w:pos="7920"/>
              </w:tabs>
              <w:rPr>
                <w:sz w:val="20"/>
              </w:rPr>
            </w:pPr>
            <w:r w:rsidRPr="00DA3AE2">
              <w:rPr>
                <w:b/>
                <w:sz w:val="20"/>
              </w:rPr>
              <w:t xml:space="preserve">How does this option compare to other UK regions and to other EU Member States (particularly Republic of Ireland) </w:t>
            </w:r>
            <w:r w:rsidRPr="00DA3AE2">
              <w:rPr>
                <w:sz w:val="20"/>
              </w:rPr>
              <w:t>Maximum 3 lines</w:t>
            </w:r>
          </w:p>
          <w:p w14:paraId="3E618532" w14:textId="7C0CE0F2" w:rsidR="005D1836" w:rsidRPr="00DA3AE2" w:rsidRDefault="005D1836" w:rsidP="005D1836">
            <w:pPr>
              <w:tabs>
                <w:tab w:val="left" w:pos="7920"/>
              </w:tabs>
              <w:rPr>
                <w:sz w:val="20"/>
              </w:rPr>
            </w:pPr>
          </w:p>
          <w:p w14:paraId="0C8D3F41" w14:textId="1FAB640C" w:rsidR="00D81E42" w:rsidRDefault="00D81E42" w:rsidP="00E20A29">
            <w:pPr>
              <w:tabs>
                <w:tab w:val="left" w:pos="7920"/>
              </w:tabs>
              <w:rPr>
                <w:sz w:val="20"/>
              </w:rPr>
            </w:pPr>
            <w:r w:rsidRPr="00DA3AE2">
              <w:rPr>
                <w:sz w:val="20"/>
              </w:rPr>
              <w:t xml:space="preserve">Under this approach, Northern Ireland would be an outlier in its failure to address the pressing need to reduce ammonia emissions, despite a clearly identified environmental </w:t>
            </w:r>
            <w:r w:rsidR="009D1E72" w:rsidRPr="00DA3AE2">
              <w:rPr>
                <w:sz w:val="20"/>
              </w:rPr>
              <w:t xml:space="preserve">and public health </w:t>
            </w:r>
            <w:r w:rsidRPr="00DA3AE2">
              <w:rPr>
                <w:sz w:val="20"/>
              </w:rPr>
              <w:t>need to do so.</w:t>
            </w:r>
            <w:r w:rsidR="00E20A29" w:rsidRPr="00DA3AE2">
              <w:t xml:space="preserve"> </w:t>
            </w:r>
            <w:r w:rsidR="00E20A29" w:rsidRPr="00DA3AE2">
              <w:rPr>
                <w:sz w:val="20"/>
              </w:rPr>
              <w:t xml:space="preserve">This option would leave Northern Ireland out of step with other UK regions and EU member states with high ammonia levels as all of these are contemplating some </w:t>
            </w:r>
            <w:r w:rsidR="00D360CA">
              <w:rPr>
                <w:sz w:val="20"/>
              </w:rPr>
              <w:t xml:space="preserve">degree of </w:t>
            </w:r>
            <w:r w:rsidR="00E20A29" w:rsidRPr="00DA3AE2">
              <w:rPr>
                <w:sz w:val="20"/>
              </w:rPr>
              <w:t xml:space="preserve">regulation to reduce emissions. </w:t>
            </w:r>
          </w:p>
          <w:p w14:paraId="3E3FA914" w14:textId="049CC063" w:rsidR="00D360CA" w:rsidRPr="00DA3AE2" w:rsidRDefault="00D360CA" w:rsidP="00E20A29">
            <w:pPr>
              <w:tabs>
                <w:tab w:val="left" w:pos="7920"/>
              </w:tabs>
              <w:rPr>
                <w:sz w:val="20"/>
              </w:rPr>
            </w:pPr>
          </w:p>
        </w:tc>
      </w:tr>
    </w:tbl>
    <w:p w14:paraId="409B658D" w14:textId="77777777" w:rsidR="005D1836" w:rsidRPr="00DA3AE2" w:rsidRDefault="005D1836" w:rsidP="005D1836">
      <w:pPr>
        <w:tabs>
          <w:tab w:val="left" w:pos="7920"/>
        </w:tabs>
        <w:rPr>
          <w:sz w:val="28"/>
          <w:szCs w:val="28"/>
        </w:rPr>
      </w:pPr>
    </w:p>
    <w:p w14:paraId="2493A0D3" w14:textId="77777777" w:rsidR="005D1836" w:rsidRPr="00DA3AE2" w:rsidRDefault="005D1836" w:rsidP="005D1836">
      <w:pPr>
        <w:rPr>
          <w:sz w:val="20"/>
        </w:rPr>
        <w:sectPr w:rsidR="005D1836" w:rsidRPr="00DA3AE2" w:rsidSect="001641CF">
          <w:pgSz w:w="11906" w:h="16838"/>
          <w:pgMar w:top="540" w:right="926" w:bottom="720" w:left="900" w:header="708" w:footer="708" w:gutter="0"/>
          <w:cols w:space="708"/>
          <w:docGrid w:linePitch="360"/>
        </w:sectPr>
      </w:pPr>
    </w:p>
    <w:p w14:paraId="4E8D86E2" w14:textId="77777777" w:rsidR="0009497A" w:rsidRPr="00DA3AE2" w:rsidRDefault="003D6EAD" w:rsidP="00734AB8">
      <w:pPr>
        <w:tabs>
          <w:tab w:val="left" w:pos="7797"/>
        </w:tabs>
        <w:rPr>
          <w:sz w:val="28"/>
          <w:szCs w:val="28"/>
        </w:rPr>
      </w:pPr>
      <w:r w:rsidRPr="00DA3AE2">
        <w:rPr>
          <w:sz w:val="28"/>
          <w:szCs w:val="28"/>
        </w:rPr>
        <w:lastRenderedPageBreak/>
        <w:t xml:space="preserve">Summary: Analysis and Evidence </w:t>
      </w:r>
      <w:r w:rsidRPr="00DA3AE2">
        <w:rPr>
          <w:sz w:val="28"/>
          <w:szCs w:val="28"/>
        </w:rPr>
        <w:tab/>
        <w:t>Po</w:t>
      </w:r>
      <w:r w:rsidR="00CC0939" w:rsidRPr="00DA3AE2">
        <w:rPr>
          <w:sz w:val="28"/>
          <w:szCs w:val="28"/>
        </w:rPr>
        <w:t xml:space="preserve">licy Option </w:t>
      </w:r>
      <w:r w:rsidR="003F0549" w:rsidRPr="00DA3AE2">
        <w:rPr>
          <w:sz w:val="28"/>
          <w:szCs w:val="28"/>
        </w:rPr>
        <w:t>2</w:t>
      </w:r>
    </w:p>
    <w:p w14:paraId="0795EA36" w14:textId="77777777" w:rsidR="00B7510F" w:rsidRPr="00DA3AE2" w:rsidRDefault="00B7510F" w:rsidP="00734AB8">
      <w:pPr>
        <w:tabs>
          <w:tab w:val="left" w:pos="7797"/>
        </w:tabs>
        <w:rPr>
          <w:sz w:val="28"/>
          <w:szCs w:val="28"/>
        </w:rPr>
      </w:pPr>
    </w:p>
    <w:p w14:paraId="267C69D7" w14:textId="4C0EED7B" w:rsidR="003D6EAD" w:rsidRPr="00DA3AE2" w:rsidRDefault="003D6EAD" w:rsidP="003D6EAD">
      <w:pPr>
        <w:tabs>
          <w:tab w:val="left" w:pos="7920"/>
        </w:tabs>
        <w:rPr>
          <w:sz w:val="22"/>
          <w:szCs w:val="22"/>
        </w:rPr>
      </w:pPr>
      <w:r w:rsidRPr="00DA3AE2">
        <w:rPr>
          <w:sz w:val="22"/>
          <w:szCs w:val="22"/>
        </w:rPr>
        <w:t>Description:</w:t>
      </w:r>
      <w:r w:rsidR="00BC6455" w:rsidRPr="00DA3AE2">
        <w:rPr>
          <w:sz w:val="22"/>
          <w:szCs w:val="22"/>
        </w:rPr>
        <w:t xml:space="preserve"> </w:t>
      </w:r>
      <w:r w:rsidR="002F550D" w:rsidRPr="00DA3AE2">
        <w:rPr>
          <w:sz w:val="20"/>
        </w:rPr>
        <w:t xml:space="preserve">Option </w:t>
      </w:r>
      <w:r w:rsidR="003F0549" w:rsidRPr="00DA3AE2">
        <w:rPr>
          <w:sz w:val="20"/>
        </w:rPr>
        <w:t>2</w:t>
      </w:r>
      <w:r w:rsidR="002F550D" w:rsidRPr="00DA3AE2">
        <w:rPr>
          <w:sz w:val="20"/>
        </w:rPr>
        <w:t xml:space="preserve">: </w:t>
      </w:r>
      <w:r w:rsidR="00E73A39" w:rsidRPr="00DA3AE2">
        <w:rPr>
          <w:sz w:val="20"/>
        </w:rPr>
        <w:t>Develop and implement an Ammonia Strategy</w:t>
      </w:r>
      <w:r w:rsidR="009E58C0" w:rsidRPr="00DA3AE2">
        <w:rPr>
          <w:sz w:val="20"/>
        </w:rPr>
        <w:t xml:space="preserve"> </w:t>
      </w:r>
      <w:r w:rsidR="00E73A39" w:rsidRPr="00DA3AE2">
        <w:rPr>
          <w:sz w:val="20"/>
        </w:rPr>
        <w:t>with lower cost measures only (21% ammonia reduction)</w:t>
      </w:r>
      <w:r w:rsidR="00B7510F" w:rsidRPr="00DA3AE2">
        <w:rPr>
          <w:sz w:val="20"/>
        </w:rPr>
        <w:t>.</w:t>
      </w:r>
    </w:p>
    <w:p w14:paraId="0DF51980" w14:textId="77777777" w:rsidR="003D6EAD" w:rsidRPr="00DA3AE2" w:rsidRDefault="003D6EAD" w:rsidP="003D6EAD">
      <w:pPr>
        <w:tabs>
          <w:tab w:val="left" w:pos="7920"/>
        </w:tabs>
        <w:rPr>
          <w:sz w:val="22"/>
          <w:szCs w:val="22"/>
        </w:rPr>
      </w:pPr>
    </w:p>
    <w:p w14:paraId="0EE0066A" w14:textId="77777777" w:rsidR="002D313A" w:rsidRPr="00DA3AE2" w:rsidRDefault="002D313A" w:rsidP="003D6EAD">
      <w:pPr>
        <w:tabs>
          <w:tab w:val="left" w:pos="7920"/>
        </w:tabs>
        <w:rPr>
          <w:sz w:val="22"/>
          <w:szCs w:val="22"/>
        </w:rPr>
      </w:pPr>
    </w:p>
    <w:p w14:paraId="4362CBDA" w14:textId="77777777" w:rsidR="003D6EAD" w:rsidRPr="00DA3AE2" w:rsidRDefault="003D6EAD" w:rsidP="003D6EAD">
      <w:pPr>
        <w:tabs>
          <w:tab w:val="left" w:pos="7920"/>
        </w:tabs>
        <w:rPr>
          <w:sz w:val="22"/>
          <w:szCs w:val="22"/>
        </w:rPr>
      </w:pPr>
    </w:p>
    <w:p w14:paraId="40333EA4" w14:textId="133021AE" w:rsidR="003D6EAD" w:rsidRPr="00DA3AE2" w:rsidRDefault="003D6EAD" w:rsidP="003D6EAD">
      <w:pPr>
        <w:tabs>
          <w:tab w:val="left" w:pos="7920"/>
        </w:tabs>
        <w:rPr>
          <w:b/>
          <w:sz w:val="22"/>
          <w:szCs w:val="22"/>
        </w:rPr>
      </w:pPr>
      <w:r w:rsidRPr="00DA3AE2">
        <w:rPr>
          <w:b/>
          <w:sz w:val="22"/>
          <w:szCs w:val="22"/>
        </w:rPr>
        <w:t>ECONOMIC ASSESSMENT</w:t>
      </w:r>
      <w:r w:rsidR="00CC0939" w:rsidRPr="00DA3AE2">
        <w:rPr>
          <w:b/>
          <w:sz w:val="22"/>
          <w:szCs w:val="22"/>
        </w:rPr>
        <w:t xml:space="preserve"> (Option </w:t>
      </w:r>
      <w:r w:rsidR="003F0549" w:rsidRPr="00DA3AE2">
        <w:rPr>
          <w:b/>
          <w:sz w:val="22"/>
          <w:szCs w:val="22"/>
        </w:rPr>
        <w:t>2</w:t>
      </w:r>
      <w:r w:rsidR="00AA4ABF" w:rsidRPr="00DA3AE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010"/>
        <w:gridCol w:w="1015"/>
        <w:gridCol w:w="3010"/>
        <w:gridCol w:w="2011"/>
      </w:tblGrid>
      <w:tr w:rsidR="00D8498D" w:rsidRPr="00DA3AE2" w14:paraId="1D23D314" w14:textId="77777777" w:rsidTr="001577E1">
        <w:tc>
          <w:tcPr>
            <w:tcW w:w="2059" w:type="dxa"/>
            <w:tcBorders>
              <w:bottom w:val="nil"/>
            </w:tcBorders>
            <w:shd w:val="clear" w:color="auto" w:fill="auto"/>
          </w:tcPr>
          <w:p w14:paraId="08F6E842" w14:textId="77777777" w:rsidR="00610455" w:rsidRPr="00DA3AE2" w:rsidRDefault="00610455" w:rsidP="001577E1">
            <w:pPr>
              <w:tabs>
                <w:tab w:val="left" w:pos="7920"/>
              </w:tabs>
              <w:rPr>
                <w:b/>
                <w:sz w:val="22"/>
                <w:szCs w:val="22"/>
              </w:rPr>
            </w:pPr>
            <w:r w:rsidRPr="00DA3AE2">
              <w:rPr>
                <w:b/>
                <w:sz w:val="22"/>
                <w:szCs w:val="22"/>
              </w:rPr>
              <w:t>Costs</w:t>
            </w:r>
            <w:r w:rsidR="002144B3" w:rsidRPr="00DA3AE2">
              <w:rPr>
                <w:b/>
                <w:sz w:val="22"/>
                <w:szCs w:val="22"/>
              </w:rPr>
              <w:t xml:space="preserve"> (£m)</w:t>
            </w:r>
          </w:p>
        </w:tc>
        <w:tc>
          <w:tcPr>
            <w:tcW w:w="3089" w:type="dxa"/>
            <w:gridSpan w:val="2"/>
            <w:tcBorders>
              <w:bottom w:val="nil"/>
            </w:tcBorders>
            <w:shd w:val="clear" w:color="auto" w:fill="auto"/>
          </w:tcPr>
          <w:p w14:paraId="0338D4D1" w14:textId="77777777" w:rsidR="00610455" w:rsidRPr="00DA3AE2" w:rsidRDefault="00610455" w:rsidP="001577E1">
            <w:pPr>
              <w:tabs>
                <w:tab w:val="left" w:pos="7920"/>
              </w:tabs>
              <w:rPr>
                <w:b/>
                <w:sz w:val="22"/>
                <w:szCs w:val="22"/>
              </w:rPr>
            </w:pPr>
            <w:r w:rsidRPr="00DA3AE2">
              <w:rPr>
                <w:b/>
                <w:sz w:val="22"/>
                <w:szCs w:val="22"/>
              </w:rPr>
              <w:t>Total Transitional (Policy)</w:t>
            </w:r>
          </w:p>
        </w:tc>
        <w:tc>
          <w:tcPr>
            <w:tcW w:w="3088" w:type="dxa"/>
            <w:tcBorders>
              <w:bottom w:val="nil"/>
            </w:tcBorders>
            <w:shd w:val="clear" w:color="auto" w:fill="auto"/>
          </w:tcPr>
          <w:p w14:paraId="3649092D" w14:textId="77777777" w:rsidR="00610455" w:rsidRPr="00DA3AE2" w:rsidRDefault="00610455" w:rsidP="001577E1">
            <w:pPr>
              <w:tabs>
                <w:tab w:val="left" w:pos="7920"/>
              </w:tabs>
              <w:rPr>
                <w:b/>
                <w:sz w:val="22"/>
                <w:szCs w:val="22"/>
              </w:rPr>
            </w:pPr>
            <w:r w:rsidRPr="00DA3AE2">
              <w:rPr>
                <w:b/>
                <w:sz w:val="22"/>
                <w:szCs w:val="22"/>
              </w:rPr>
              <w:t>Average Annual (recurring)</w:t>
            </w:r>
          </w:p>
        </w:tc>
        <w:tc>
          <w:tcPr>
            <w:tcW w:w="2060" w:type="dxa"/>
            <w:tcBorders>
              <w:bottom w:val="nil"/>
            </w:tcBorders>
            <w:shd w:val="clear" w:color="auto" w:fill="auto"/>
          </w:tcPr>
          <w:p w14:paraId="2AF1E67B" w14:textId="77777777" w:rsidR="00610455" w:rsidRPr="00DA3AE2" w:rsidRDefault="00610455" w:rsidP="001577E1">
            <w:pPr>
              <w:tabs>
                <w:tab w:val="left" w:pos="7920"/>
              </w:tabs>
              <w:rPr>
                <w:b/>
                <w:sz w:val="22"/>
                <w:szCs w:val="22"/>
              </w:rPr>
            </w:pPr>
            <w:r w:rsidRPr="00DA3AE2">
              <w:rPr>
                <w:b/>
                <w:sz w:val="22"/>
                <w:szCs w:val="22"/>
              </w:rPr>
              <w:t>Total Cost</w:t>
            </w:r>
          </w:p>
        </w:tc>
      </w:tr>
      <w:tr w:rsidR="00D8498D" w:rsidRPr="00DA3AE2" w14:paraId="712A6F78" w14:textId="77777777" w:rsidTr="001577E1">
        <w:tc>
          <w:tcPr>
            <w:tcW w:w="2059" w:type="dxa"/>
            <w:tcBorders>
              <w:top w:val="nil"/>
            </w:tcBorders>
            <w:shd w:val="clear" w:color="auto" w:fill="auto"/>
          </w:tcPr>
          <w:p w14:paraId="02656A4E" w14:textId="77777777" w:rsidR="00610455" w:rsidRPr="00DA3AE2" w:rsidRDefault="00610455" w:rsidP="001577E1">
            <w:pPr>
              <w:tabs>
                <w:tab w:val="left" w:pos="7920"/>
              </w:tabs>
              <w:rPr>
                <w:sz w:val="18"/>
                <w:szCs w:val="18"/>
              </w:rPr>
            </w:pPr>
          </w:p>
        </w:tc>
        <w:tc>
          <w:tcPr>
            <w:tcW w:w="2059" w:type="dxa"/>
            <w:tcBorders>
              <w:top w:val="nil"/>
              <w:right w:val="nil"/>
            </w:tcBorders>
            <w:shd w:val="clear" w:color="auto" w:fill="auto"/>
          </w:tcPr>
          <w:p w14:paraId="07ABE31E" w14:textId="77777777" w:rsidR="00610455" w:rsidRPr="00DA3AE2" w:rsidRDefault="002144B3" w:rsidP="001577E1">
            <w:pPr>
              <w:tabs>
                <w:tab w:val="left" w:pos="7920"/>
              </w:tabs>
              <w:jc w:val="right"/>
              <w:rPr>
                <w:sz w:val="18"/>
                <w:szCs w:val="18"/>
              </w:rPr>
            </w:pPr>
            <w:r w:rsidRPr="00DA3AE2">
              <w:rPr>
                <w:sz w:val="18"/>
                <w:szCs w:val="18"/>
              </w:rPr>
              <w:t>(</w:t>
            </w:r>
            <w:proofErr w:type="gramStart"/>
            <w:r w:rsidRPr="00DA3AE2">
              <w:rPr>
                <w:sz w:val="18"/>
                <w:szCs w:val="18"/>
              </w:rPr>
              <w:t>c</w:t>
            </w:r>
            <w:r w:rsidR="00610455" w:rsidRPr="00DA3AE2">
              <w:rPr>
                <w:sz w:val="18"/>
                <w:szCs w:val="18"/>
              </w:rPr>
              <w:t>onstant</w:t>
            </w:r>
            <w:proofErr w:type="gramEnd"/>
            <w:r w:rsidR="00610455" w:rsidRPr="00DA3AE2">
              <w:rPr>
                <w:sz w:val="18"/>
                <w:szCs w:val="18"/>
              </w:rPr>
              <w:t xml:space="preserve"> </w:t>
            </w:r>
            <w:r w:rsidRPr="00DA3AE2">
              <w:rPr>
                <w:sz w:val="18"/>
                <w:szCs w:val="18"/>
              </w:rPr>
              <w:t>p</w:t>
            </w:r>
            <w:r w:rsidR="00610455" w:rsidRPr="00DA3AE2">
              <w:rPr>
                <w:sz w:val="18"/>
                <w:szCs w:val="18"/>
              </w:rPr>
              <w:t>rice</w:t>
            </w:r>
            <w:r w:rsidRPr="00DA3AE2">
              <w:rPr>
                <w:sz w:val="18"/>
                <w:szCs w:val="18"/>
              </w:rPr>
              <w:t>)</w:t>
            </w:r>
          </w:p>
        </w:tc>
        <w:tc>
          <w:tcPr>
            <w:tcW w:w="1030" w:type="dxa"/>
            <w:tcBorders>
              <w:top w:val="nil"/>
              <w:left w:val="nil"/>
            </w:tcBorders>
            <w:shd w:val="clear" w:color="auto" w:fill="auto"/>
          </w:tcPr>
          <w:p w14:paraId="6834B2E4" w14:textId="77777777" w:rsidR="00610455" w:rsidRPr="00DA3AE2" w:rsidRDefault="00610455" w:rsidP="001577E1">
            <w:pPr>
              <w:tabs>
                <w:tab w:val="left" w:pos="7920"/>
              </w:tabs>
              <w:jc w:val="right"/>
              <w:rPr>
                <w:sz w:val="18"/>
                <w:szCs w:val="18"/>
              </w:rPr>
            </w:pPr>
            <w:r w:rsidRPr="00DA3AE2">
              <w:rPr>
                <w:sz w:val="18"/>
                <w:szCs w:val="18"/>
              </w:rPr>
              <w:t>Years</w:t>
            </w:r>
          </w:p>
        </w:tc>
        <w:tc>
          <w:tcPr>
            <w:tcW w:w="3088" w:type="dxa"/>
            <w:tcBorders>
              <w:top w:val="nil"/>
            </w:tcBorders>
            <w:shd w:val="clear" w:color="auto" w:fill="auto"/>
          </w:tcPr>
          <w:p w14:paraId="48BFC01E" w14:textId="77777777" w:rsidR="00610455" w:rsidRPr="00DA3AE2" w:rsidRDefault="00610455" w:rsidP="001577E1">
            <w:pPr>
              <w:tabs>
                <w:tab w:val="left" w:pos="7920"/>
              </w:tabs>
              <w:jc w:val="right"/>
              <w:rPr>
                <w:sz w:val="18"/>
                <w:szCs w:val="18"/>
              </w:rPr>
            </w:pPr>
            <w:r w:rsidRPr="00DA3AE2">
              <w:rPr>
                <w:sz w:val="18"/>
                <w:szCs w:val="18"/>
              </w:rPr>
              <w:t>(excl. transitional) (constant price)</w:t>
            </w:r>
          </w:p>
        </w:tc>
        <w:tc>
          <w:tcPr>
            <w:tcW w:w="2060" w:type="dxa"/>
            <w:tcBorders>
              <w:top w:val="nil"/>
            </w:tcBorders>
            <w:shd w:val="clear" w:color="auto" w:fill="auto"/>
          </w:tcPr>
          <w:p w14:paraId="7F3A0DA5" w14:textId="77777777" w:rsidR="00610455" w:rsidRPr="00DA3AE2" w:rsidRDefault="00610455" w:rsidP="001577E1">
            <w:pPr>
              <w:tabs>
                <w:tab w:val="left" w:pos="7920"/>
              </w:tabs>
              <w:jc w:val="right"/>
              <w:rPr>
                <w:sz w:val="18"/>
                <w:szCs w:val="18"/>
              </w:rPr>
            </w:pPr>
            <w:r w:rsidRPr="00DA3AE2">
              <w:rPr>
                <w:sz w:val="18"/>
                <w:szCs w:val="18"/>
              </w:rPr>
              <w:t>(Present Value)</w:t>
            </w:r>
          </w:p>
        </w:tc>
      </w:tr>
      <w:tr w:rsidR="00D8498D" w:rsidRPr="00DA3AE2" w14:paraId="0D33EC7A" w14:textId="77777777" w:rsidTr="001577E1">
        <w:trPr>
          <w:trHeight w:hRule="exact" w:val="255"/>
        </w:trPr>
        <w:tc>
          <w:tcPr>
            <w:tcW w:w="2059" w:type="dxa"/>
            <w:shd w:val="clear" w:color="auto" w:fill="auto"/>
          </w:tcPr>
          <w:p w14:paraId="04034A9B" w14:textId="77777777" w:rsidR="002144B3" w:rsidRPr="00DA3AE2" w:rsidRDefault="002144B3" w:rsidP="001577E1">
            <w:pPr>
              <w:tabs>
                <w:tab w:val="left" w:pos="7920"/>
              </w:tabs>
              <w:rPr>
                <w:b/>
                <w:sz w:val="22"/>
                <w:szCs w:val="22"/>
              </w:rPr>
            </w:pPr>
            <w:r w:rsidRPr="00DA3AE2">
              <w:rPr>
                <w:b/>
                <w:sz w:val="22"/>
                <w:szCs w:val="22"/>
              </w:rPr>
              <w:t>Low</w:t>
            </w:r>
          </w:p>
        </w:tc>
        <w:tc>
          <w:tcPr>
            <w:tcW w:w="2059" w:type="dxa"/>
            <w:shd w:val="clear" w:color="auto" w:fill="auto"/>
            <w:vAlign w:val="center"/>
          </w:tcPr>
          <w:p w14:paraId="0D51C11A" w14:textId="77777777" w:rsidR="002144B3" w:rsidRPr="00DA3AE2" w:rsidRDefault="002144B3" w:rsidP="001577E1">
            <w:pPr>
              <w:tabs>
                <w:tab w:val="left" w:pos="7920"/>
              </w:tabs>
              <w:jc w:val="right"/>
              <w:rPr>
                <w:b/>
                <w:sz w:val="16"/>
                <w:szCs w:val="16"/>
              </w:rPr>
            </w:pPr>
          </w:p>
        </w:tc>
        <w:tc>
          <w:tcPr>
            <w:tcW w:w="1030" w:type="dxa"/>
            <w:vMerge w:val="restart"/>
            <w:shd w:val="clear" w:color="auto" w:fill="auto"/>
          </w:tcPr>
          <w:p w14:paraId="1469BD0B" w14:textId="2D781210" w:rsidR="002144B3" w:rsidRPr="00DA3AE2" w:rsidRDefault="00BE251F" w:rsidP="001577E1">
            <w:pPr>
              <w:tabs>
                <w:tab w:val="left" w:pos="7920"/>
              </w:tabs>
              <w:rPr>
                <w:b/>
                <w:sz w:val="22"/>
                <w:szCs w:val="22"/>
              </w:rPr>
            </w:pPr>
            <w:r>
              <w:rPr>
                <w:b/>
                <w:sz w:val="22"/>
                <w:szCs w:val="22"/>
              </w:rPr>
              <w:t>5</w:t>
            </w:r>
            <w:r w:rsidR="00072E56">
              <w:rPr>
                <w:b/>
                <w:sz w:val="22"/>
                <w:szCs w:val="22"/>
              </w:rPr>
              <w:t xml:space="preserve"> - 10 </w:t>
            </w:r>
          </w:p>
        </w:tc>
        <w:tc>
          <w:tcPr>
            <w:tcW w:w="3088" w:type="dxa"/>
            <w:shd w:val="clear" w:color="auto" w:fill="auto"/>
            <w:vAlign w:val="center"/>
          </w:tcPr>
          <w:p w14:paraId="3786041F" w14:textId="454C3283" w:rsidR="002144B3" w:rsidRPr="00DA3AE2" w:rsidRDefault="002144B3" w:rsidP="00475C21">
            <w:pPr>
              <w:tabs>
                <w:tab w:val="left" w:pos="7920"/>
              </w:tabs>
              <w:jc w:val="right"/>
              <w:rPr>
                <w:b/>
                <w:sz w:val="16"/>
                <w:szCs w:val="16"/>
              </w:rPr>
            </w:pPr>
            <w:r w:rsidRPr="00DA3AE2">
              <w:rPr>
                <w:b/>
                <w:sz w:val="16"/>
                <w:szCs w:val="16"/>
              </w:rPr>
              <w:t>Optional</w:t>
            </w:r>
          </w:p>
        </w:tc>
        <w:tc>
          <w:tcPr>
            <w:tcW w:w="2060" w:type="dxa"/>
            <w:shd w:val="clear" w:color="auto" w:fill="auto"/>
            <w:vAlign w:val="center"/>
          </w:tcPr>
          <w:p w14:paraId="2B58EAC9" w14:textId="3D15DE83" w:rsidR="002144B3" w:rsidRPr="00DA3AE2" w:rsidRDefault="002144B3" w:rsidP="00ED0B35">
            <w:pPr>
              <w:tabs>
                <w:tab w:val="left" w:pos="7920"/>
              </w:tabs>
              <w:jc w:val="right"/>
              <w:rPr>
                <w:b/>
                <w:sz w:val="16"/>
                <w:szCs w:val="16"/>
              </w:rPr>
            </w:pPr>
            <w:r w:rsidRPr="00DA3AE2">
              <w:rPr>
                <w:b/>
                <w:sz w:val="16"/>
                <w:szCs w:val="16"/>
              </w:rPr>
              <w:t>Optional</w:t>
            </w:r>
          </w:p>
        </w:tc>
      </w:tr>
      <w:tr w:rsidR="00D8498D" w:rsidRPr="00DA3AE2" w14:paraId="06752A14" w14:textId="77777777" w:rsidTr="00D76ABD">
        <w:trPr>
          <w:trHeight w:hRule="exact" w:val="338"/>
        </w:trPr>
        <w:tc>
          <w:tcPr>
            <w:tcW w:w="2059" w:type="dxa"/>
            <w:tcBorders>
              <w:bottom w:val="single" w:sz="12" w:space="0" w:color="auto"/>
            </w:tcBorders>
            <w:shd w:val="clear" w:color="auto" w:fill="auto"/>
          </w:tcPr>
          <w:p w14:paraId="1C03B46D" w14:textId="77777777" w:rsidR="002144B3" w:rsidRPr="00DA3AE2" w:rsidRDefault="002144B3" w:rsidP="001577E1">
            <w:pPr>
              <w:tabs>
                <w:tab w:val="left" w:pos="7920"/>
              </w:tabs>
              <w:rPr>
                <w:b/>
                <w:sz w:val="22"/>
                <w:szCs w:val="22"/>
              </w:rPr>
            </w:pPr>
            <w:r w:rsidRPr="00DA3AE2">
              <w:rPr>
                <w:b/>
                <w:sz w:val="22"/>
                <w:szCs w:val="22"/>
              </w:rPr>
              <w:t>High</w:t>
            </w:r>
          </w:p>
        </w:tc>
        <w:tc>
          <w:tcPr>
            <w:tcW w:w="2059" w:type="dxa"/>
            <w:tcBorders>
              <w:bottom w:val="single" w:sz="12" w:space="0" w:color="auto"/>
            </w:tcBorders>
            <w:shd w:val="clear" w:color="auto" w:fill="auto"/>
            <w:vAlign w:val="center"/>
          </w:tcPr>
          <w:p w14:paraId="552D849A" w14:textId="77777777" w:rsidR="002144B3" w:rsidRPr="00DA3AE2" w:rsidRDefault="002144B3" w:rsidP="001577E1">
            <w:pPr>
              <w:tabs>
                <w:tab w:val="left" w:pos="7920"/>
              </w:tabs>
              <w:jc w:val="right"/>
              <w:rPr>
                <w:b/>
                <w:sz w:val="16"/>
                <w:szCs w:val="16"/>
              </w:rPr>
            </w:pPr>
          </w:p>
        </w:tc>
        <w:tc>
          <w:tcPr>
            <w:tcW w:w="1030" w:type="dxa"/>
            <w:vMerge/>
            <w:tcBorders>
              <w:bottom w:val="single" w:sz="12" w:space="0" w:color="auto"/>
            </w:tcBorders>
            <w:shd w:val="clear" w:color="auto" w:fill="auto"/>
          </w:tcPr>
          <w:p w14:paraId="4E44DAF7" w14:textId="77777777" w:rsidR="002144B3" w:rsidRPr="00DA3AE2" w:rsidRDefault="002144B3" w:rsidP="001577E1">
            <w:pPr>
              <w:tabs>
                <w:tab w:val="left" w:pos="7920"/>
              </w:tabs>
              <w:jc w:val="right"/>
              <w:rPr>
                <w:b/>
                <w:sz w:val="22"/>
                <w:szCs w:val="22"/>
              </w:rPr>
            </w:pPr>
          </w:p>
        </w:tc>
        <w:tc>
          <w:tcPr>
            <w:tcW w:w="3088" w:type="dxa"/>
            <w:tcBorders>
              <w:bottom w:val="single" w:sz="12" w:space="0" w:color="auto"/>
            </w:tcBorders>
            <w:shd w:val="clear" w:color="auto" w:fill="auto"/>
            <w:vAlign w:val="center"/>
          </w:tcPr>
          <w:p w14:paraId="42911976" w14:textId="173AA67B" w:rsidR="002144B3" w:rsidRPr="00DA3AE2" w:rsidRDefault="002144B3" w:rsidP="001577E1">
            <w:pPr>
              <w:tabs>
                <w:tab w:val="left" w:pos="7920"/>
              </w:tabs>
              <w:jc w:val="right"/>
              <w:rPr>
                <w:b/>
                <w:sz w:val="16"/>
                <w:szCs w:val="16"/>
              </w:rPr>
            </w:pPr>
            <w:r w:rsidRPr="00DA3AE2">
              <w:rPr>
                <w:b/>
                <w:sz w:val="16"/>
                <w:szCs w:val="16"/>
              </w:rPr>
              <w:t>Optional</w:t>
            </w:r>
          </w:p>
        </w:tc>
        <w:tc>
          <w:tcPr>
            <w:tcW w:w="2060" w:type="dxa"/>
            <w:tcBorders>
              <w:bottom w:val="single" w:sz="12" w:space="0" w:color="auto"/>
            </w:tcBorders>
            <w:shd w:val="clear" w:color="auto" w:fill="auto"/>
            <w:vAlign w:val="center"/>
          </w:tcPr>
          <w:p w14:paraId="538A94A4" w14:textId="0B061FDC" w:rsidR="002144B3" w:rsidRPr="00DA3AE2" w:rsidRDefault="002144B3" w:rsidP="001577E1">
            <w:pPr>
              <w:tabs>
                <w:tab w:val="left" w:pos="7920"/>
              </w:tabs>
              <w:jc w:val="right"/>
              <w:rPr>
                <w:b/>
                <w:sz w:val="16"/>
                <w:szCs w:val="16"/>
              </w:rPr>
            </w:pPr>
            <w:r w:rsidRPr="00DA3AE2">
              <w:rPr>
                <w:b/>
                <w:sz w:val="16"/>
                <w:szCs w:val="16"/>
              </w:rPr>
              <w:t>Optional</w:t>
            </w:r>
          </w:p>
        </w:tc>
      </w:tr>
      <w:tr w:rsidR="00D8498D" w:rsidRPr="00DA3AE2" w14:paraId="58114819" w14:textId="77777777" w:rsidTr="00D472A0">
        <w:trPr>
          <w:trHeight w:hRule="exact" w:val="943"/>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57DBF437" w14:textId="77777777" w:rsidR="002144B3" w:rsidRPr="00DA3AE2" w:rsidRDefault="002144B3" w:rsidP="001577E1">
            <w:pPr>
              <w:tabs>
                <w:tab w:val="left" w:pos="7920"/>
              </w:tabs>
              <w:rPr>
                <w:b/>
                <w:sz w:val="22"/>
                <w:szCs w:val="22"/>
              </w:rPr>
            </w:pPr>
            <w:r w:rsidRPr="00DA3AE2">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2C34CF9A" w14:textId="334AA4A7" w:rsidR="002144B3" w:rsidRPr="00DA3AE2" w:rsidRDefault="002144B3" w:rsidP="00150B38">
            <w:pPr>
              <w:tabs>
                <w:tab w:val="left" w:pos="7920"/>
              </w:tabs>
              <w:jc w:val="right"/>
              <w:rPr>
                <w:b/>
                <w:sz w:val="22"/>
                <w:szCs w:val="22"/>
              </w:rPr>
            </w:pP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010D16D3" w14:textId="77777777" w:rsidR="002144B3" w:rsidRPr="00DA3AE2" w:rsidRDefault="002144B3" w:rsidP="001577E1">
            <w:pPr>
              <w:tabs>
                <w:tab w:val="left" w:pos="7920"/>
              </w:tabs>
              <w:jc w:val="right"/>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6E3141E4" w14:textId="5592A82C" w:rsidR="002144B3" w:rsidRPr="00DA3AE2" w:rsidRDefault="007660AD" w:rsidP="00ED0B35">
            <w:pPr>
              <w:tabs>
                <w:tab w:val="left" w:pos="7920"/>
              </w:tabs>
              <w:jc w:val="right"/>
              <w:rPr>
                <w:b/>
                <w:sz w:val="22"/>
                <w:szCs w:val="22"/>
              </w:rPr>
            </w:pPr>
            <w:r w:rsidRPr="00DA3AE2">
              <w:rPr>
                <w:b/>
                <w:sz w:val="22"/>
                <w:szCs w:val="22"/>
              </w:rPr>
              <w:t>£6.6</w:t>
            </w:r>
            <w:r w:rsidR="00475C21" w:rsidRPr="00DA3AE2">
              <w:rPr>
                <w:b/>
                <w:sz w:val="22"/>
                <w:szCs w:val="22"/>
              </w:rPr>
              <w:t>3</w:t>
            </w:r>
            <w:r w:rsidR="005872F9">
              <w:rPr>
                <w:b/>
                <w:sz w:val="22"/>
                <w:szCs w:val="22"/>
              </w:rPr>
              <w:t xml:space="preserve"> </w:t>
            </w:r>
            <w:r w:rsidR="00475C21" w:rsidRPr="00DA3AE2">
              <w:rPr>
                <w:b/>
                <w:sz w:val="22"/>
                <w:szCs w:val="22"/>
              </w:rPr>
              <w:t xml:space="preserve">m </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72B9AC3B" w14:textId="267D653E" w:rsidR="002144B3" w:rsidRPr="00DA3AE2" w:rsidRDefault="002144B3" w:rsidP="00ED0B35">
            <w:pPr>
              <w:tabs>
                <w:tab w:val="left" w:pos="7920"/>
              </w:tabs>
              <w:jc w:val="right"/>
              <w:rPr>
                <w:b/>
                <w:sz w:val="22"/>
                <w:szCs w:val="22"/>
              </w:rPr>
            </w:pPr>
          </w:p>
        </w:tc>
      </w:tr>
      <w:tr w:rsidR="002144B3" w:rsidRPr="00DA3AE2" w14:paraId="6F124E48" w14:textId="77777777" w:rsidTr="00D472A0">
        <w:trPr>
          <w:trHeight w:hRule="exact" w:val="2275"/>
        </w:trPr>
        <w:tc>
          <w:tcPr>
            <w:tcW w:w="10296" w:type="dxa"/>
            <w:gridSpan w:val="5"/>
            <w:tcBorders>
              <w:top w:val="single" w:sz="12" w:space="0" w:color="auto"/>
            </w:tcBorders>
            <w:shd w:val="clear" w:color="auto" w:fill="auto"/>
          </w:tcPr>
          <w:p w14:paraId="2A07B9E1" w14:textId="63FAF439" w:rsidR="002144B3" w:rsidRPr="00DA3AE2" w:rsidRDefault="002144B3" w:rsidP="001577E1">
            <w:pPr>
              <w:tabs>
                <w:tab w:val="left" w:pos="7920"/>
              </w:tabs>
              <w:rPr>
                <w:sz w:val="20"/>
              </w:rPr>
            </w:pPr>
            <w:r w:rsidRPr="00DA3AE2">
              <w:rPr>
                <w:b/>
                <w:sz w:val="20"/>
              </w:rPr>
              <w:t>Description and scale of key monetised costs by</w:t>
            </w:r>
            <w:r w:rsidR="00072E56">
              <w:rPr>
                <w:b/>
                <w:sz w:val="20"/>
              </w:rPr>
              <w:t>1111</w:t>
            </w:r>
            <w:r w:rsidRPr="00DA3AE2">
              <w:rPr>
                <w:b/>
                <w:sz w:val="20"/>
              </w:rPr>
              <w:t xml:space="preserve"> ‘main affected groups’</w:t>
            </w:r>
            <w:r w:rsidR="00BC6455" w:rsidRPr="00DA3AE2">
              <w:rPr>
                <w:b/>
                <w:sz w:val="20"/>
              </w:rPr>
              <w:t xml:space="preserve"> </w:t>
            </w:r>
            <w:r w:rsidRPr="00DA3AE2">
              <w:rPr>
                <w:sz w:val="20"/>
              </w:rPr>
              <w:t>Maximum 5 lines</w:t>
            </w:r>
          </w:p>
          <w:p w14:paraId="0572BB91" w14:textId="77777777" w:rsidR="00D472A0" w:rsidRPr="00DA3AE2" w:rsidRDefault="00D472A0" w:rsidP="00B34F78">
            <w:pPr>
              <w:tabs>
                <w:tab w:val="left" w:pos="7920"/>
              </w:tabs>
              <w:rPr>
                <w:sz w:val="20"/>
              </w:rPr>
            </w:pPr>
          </w:p>
          <w:p w14:paraId="53B8AEAF" w14:textId="6D10264D" w:rsidR="00D472A0" w:rsidRPr="00DA3AE2" w:rsidRDefault="00D472A0" w:rsidP="00ED0B35">
            <w:pPr>
              <w:tabs>
                <w:tab w:val="left" w:pos="7920"/>
              </w:tabs>
              <w:rPr>
                <w:sz w:val="20"/>
              </w:rPr>
            </w:pPr>
            <w:r w:rsidRPr="00DA3AE2">
              <w:rPr>
                <w:sz w:val="20"/>
              </w:rPr>
              <w:t xml:space="preserve">The monetised costs highlighted above come from the AFBI economic analysis of the cost of ammonia reduction for NI agriculture based on </w:t>
            </w:r>
            <w:r w:rsidR="00ED0B35" w:rsidRPr="00DA3AE2">
              <w:rPr>
                <w:sz w:val="20"/>
              </w:rPr>
              <w:t>implementing only measures assessed to be lower cost (</w:t>
            </w:r>
            <w:proofErr w:type="spellStart"/>
            <w:proofErr w:type="gramStart"/>
            <w:r w:rsidR="00ED0B35" w:rsidRPr="00DA3AE2">
              <w:rPr>
                <w:sz w:val="20"/>
              </w:rPr>
              <w:t>ie</w:t>
            </w:r>
            <w:proofErr w:type="spellEnd"/>
            <w:proofErr w:type="gramEnd"/>
            <w:r w:rsidR="00ED0B35" w:rsidRPr="00DA3AE2">
              <w:rPr>
                <w:sz w:val="20"/>
              </w:rPr>
              <w:t xml:space="preserve"> extending grazing, lower crude protein diet, genetic improvement and low emission slurry spreading</w:t>
            </w:r>
            <w:r w:rsidRPr="00DA3AE2">
              <w:rPr>
                <w:sz w:val="20"/>
              </w:rPr>
              <w:t xml:space="preserve">. The economic analysis </w:t>
            </w:r>
            <w:r w:rsidR="00DD3B0D" w:rsidRPr="00DA3AE2">
              <w:rPr>
                <w:sz w:val="20"/>
              </w:rPr>
              <w:t xml:space="preserve">in Table 3 shows </w:t>
            </w:r>
            <w:r w:rsidR="00ED0B35" w:rsidRPr="00DA3AE2">
              <w:rPr>
                <w:sz w:val="20"/>
              </w:rPr>
              <w:t>that this scenario would</w:t>
            </w:r>
            <w:r w:rsidRPr="00DA3AE2">
              <w:rPr>
                <w:sz w:val="20"/>
              </w:rPr>
              <w:t xml:space="preserve"> deliver ammonia reductions of 6.5</w:t>
            </w:r>
            <w:r w:rsidR="00D360CA">
              <w:rPr>
                <w:sz w:val="20"/>
              </w:rPr>
              <w:t xml:space="preserve"> </w:t>
            </w:r>
            <w:r w:rsidRPr="00DA3AE2">
              <w:rPr>
                <w:sz w:val="20"/>
              </w:rPr>
              <w:t>k</w:t>
            </w:r>
            <w:r w:rsidR="00D360CA">
              <w:rPr>
                <w:sz w:val="20"/>
              </w:rPr>
              <w:t>t</w:t>
            </w:r>
            <w:r w:rsidRPr="00DA3AE2">
              <w:rPr>
                <w:sz w:val="20"/>
              </w:rPr>
              <w:t xml:space="preserve"> at the costs above. These scenarios would achieve </w:t>
            </w:r>
            <w:r w:rsidR="00ED0B35" w:rsidRPr="00DA3AE2">
              <w:rPr>
                <w:sz w:val="20"/>
              </w:rPr>
              <w:t xml:space="preserve">a </w:t>
            </w:r>
            <w:r w:rsidRPr="00DA3AE2">
              <w:rPr>
                <w:sz w:val="20"/>
              </w:rPr>
              <w:t xml:space="preserve">21% </w:t>
            </w:r>
            <w:r w:rsidR="00ED0B35" w:rsidRPr="00DA3AE2">
              <w:rPr>
                <w:sz w:val="20"/>
              </w:rPr>
              <w:t>r</w:t>
            </w:r>
            <w:r w:rsidRPr="00DA3AE2">
              <w:rPr>
                <w:sz w:val="20"/>
              </w:rPr>
              <w:t>eduction in ammonia emissions</w:t>
            </w:r>
            <w:r w:rsidR="005B62DC" w:rsidRPr="00DA3AE2">
              <w:rPr>
                <w:sz w:val="20"/>
              </w:rPr>
              <w:t>.</w:t>
            </w:r>
          </w:p>
        </w:tc>
      </w:tr>
      <w:tr w:rsidR="002144B3" w:rsidRPr="00DA3AE2" w14:paraId="1928FD1D" w14:textId="77777777" w:rsidTr="00A2664D">
        <w:trPr>
          <w:trHeight w:hRule="exact" w:val="1806"/>
        </w:trPr>
        <w:tc>
          <w:tcPr>
            <w:tcW w:w="10296" w:type="dxa"/>
            <w:gridSpan w:val="5"/>
            <w:shd w:val="clear" w:color="auto" w:fill="auto"/>
          </w:tcPr>
          <w:p w14:paraId="2C5210C6" w14:textId="77777777" w:rsidR="002144B3" w:rsidRPr="00DA3AE2" w:rsidRDefault="002144B3" w:rsidP="001577E1">
            <w:pPr>
              <w:tabs>
                <w:tab w:val="left" w:pos="7920"/>
              </w:tabs>
              <w:rPr>
                <w:sz w:val="20"/>
              </w:rPr>
            </w:pPr>
            <w:r w:rsidRPr="00DA3AE2">
              <w:rPr>
                <w:b/>
                <w:sz w:val="20"/>
              </w:rPr>
              <w:t>Other key non-monetised costs by ‘main affected groups’</w:t>
            </w:r>
            <w:r w:rsidR="00BC6455" w:rsidRPr="00DA3AE2">
              <w:rPr>
                <w:b/>
                <w:sz w:val="20"/>
              </w:rPr>
              <w:t xml:space="preserve"> </w:t>
            </w:r>
            <w:r w:rsidRPr="00DA3AE2">
              <w:rPr>
                <w:sz w:val="20"/>
              </w:rPr>
              <w:t>Maximum 5 lines</w:t>
            </w:r>
          </w:p>
          <w:p w14:paraId="635A5611" w14:textId="77777777" w:rsidR="002144B3" w:rsidRPr="00DA3AE2" w:rsidRDefault="002144B3" w:rsidP="001577E1">
            <w:pPr>
              <w:tabs>
                <w:tab w:val="left" w:pos="7920"/>
              </w:tabs>
              <w:rPr>
                <w:sz w:val="20"/>
              </w:rPr>
            </w:pPr>
          </w:p>
          <w:p w14:paraId="1BA4B7B9" w14:textId="77777777" w:rsidR="009D6212" w:rsidRPr="00DA3AE2" w:rsidRDefault="009D6212" w:rsidP="00A2664D">
            <w:pPr>
              <w:tabs>
                <w:tab w:val="left" w:pos="7920"/>
              </w:tabs>
              <w:rPr>
                <w:sz w:val="20"/>
              </w:rPr>
            </w:pPr>
            <w:r w:rsidRPr="00DA3AE2">
              <w:rPr>
                <w:sz w:val="20"/>
              </w:rPr>
              <w:t>While some of the measures proposed are likely to be more cost-effective at farm level</w:t>
            </w:r>
            <w:r w:rsidR="00A2664D" w:rsidRPr="00DA3AE2">
              <w:rPr>
                <w:sz w:val="20"/>
              </w:rPr>
              <w:t xml:space="preserve"> (longer grazing seasons, stabilised urea, lower crude protein, genetic improvement and low emission slurry spreading)</w:t>
            </w:r>
            <w:r w:rsidRPr="00DA3AE2">
              <w:rPr>
                <w:sz w:val="20"/>
              </w:rPr>
              <w:t>, there will be costs incurred in establishing systems to verify their uptake</w:t>
            </w:r>
            <w:r w:rsidR="00A2664D" w:rsidRPr="00DA3AE2">
              <w:rPr>
                <w:sz w:val="20"/>
              </w:rPr>
              <w:t xml:space="preserve"> and transactional costs for farmers relating to changes in daily management practices and decisions on the farm. There will also be costs associated with the conservation actions required on designated sites and in relation to the proposed Operational Protocol. </w:t>
            </w:r>
          </w:p>
        </w:tc>
      </w:tr>
      <w:tr w:rsidR="00D8498D" w:rsidRPr="00DA3AE2" w14:paraId="7C8FB541" w14:textId="77777777" w:rsidTr="001577E1">
        <w:tc>
          <w:tcPr>
            <w:tcW w:w="2059" w:type="dxa"/>
            <w:tcBorders>
              <w:bottom w:val="nil"/>
            </w:tcBorders>
            <w:shd w:val="clear" w:color="auto" w:fill="auto"/>
          </w:tcPr>
          <w:p w14:paraId="54831142" w14:textId="4CAE00B0" w:rsidR="002144B3" w:rsidRPr="00DA3AE2" w:rsidRDefault="002144B3" w:rsidP="001577E1">
            <w:pPr>
              <w:tabs>
                <w:tab w:val="left" w:pos="7920"/>
              </w:tabs>
              <w:rPr>
                <w:b/>
                <w:sz w:val="22"/>
                <w:szCs w:val="22"/>
              </w:rPr>
            </w:pPr>
            <w:r w:rsidRPr="00DA3AE2">
              <w:rPr>
                <w:b/>
                <w:sz w:val="22"/>
                <w:szCs w:val="22"/>
              </w:rPr>
              <w:t>Benefits (£m)</w:t>
            </w:r>
            <w:r w:rsidR="00E54A91">
              <w:t xml:space="preserve"> </w:t>
            </w:r>
            <w:r w:rsidR="00E54A91" w:rsidRPr="00E54A91">
              <w:rPr>
                <w:b/>
                <w:sz w:val="20"/>
              </w:rPr>
              <w:t>(Calculated in terms of improved air quality)</w:t>
            </w:r>
          </w:p>
        </w:tc>
        <w:tc>
          <w:tcPr>
            <w:tcW w:w="3089" w:type="dxa"/>
            <w:gridSpan w:val="2"/>
            <w:tcBorders>
              <w:bottom w:val="nil"/>
            </w:tcBorders>
            <w:shd w:val="clear" w:color="auto" w:fill="auto"/>
          </w:tcPr>
          <w:p w14:paraId="4339F502" w14:textId="77777777" w:rsidR="002144B3" w:rsidRPr="00DA3AE2" w:rsidRDefault="002144B3" w:rsidP="001577E1">
            <w:pPr>
              <w:tabs>
                <w:tab w:val="left" w:pos="7920"/>
              </w:tabs>
              <w:rPr>
                <w:b/>
                <w:sz w:val="22"/>
                <w:szCs w:val="22"/>
              </w:rPr>
            </w:pPr>
            <w:r w:rsidRPr="00DA3AE2">
              <w:rPr>
                <w:b/>
                <w:sz w:val="22"/>
                <w:szCs w:val="22"/>
              </w:rPr>
              <w:t>Total Transitional (Policy)</w:t>
            </w:r>
          </w:p>
        </w:tc>
        <w:tc>
          <w:tcPr>
            <w:tcW w:w="3088" w:type="dxa"/>
            <w:tcBorders>
              <w:bottom w:val="nil"/>
            </w:tcBorders>
            <w:shd w:val="clear" w:color="auto" w:fill="auto"/>
          </w:tcPr>
          <w:p w14:paraId="21791403" w14:textId="77777777" w:rsidR="002144B3" w:rsidRPr="00DA3AE2" w:rsidRDefault="002144B3" w:rsidP="001577E1">
            <w:pPr>
              <w:tabs>
                <w:tab w:val="left" w:pos="7920"/>
              </w:tabs>
              <w:rPr>
                <w:b/>
                <w:sz w:val="22"/>
                <w:szCs w:val="22"/>
              </w:rPr>
            </w:pPr>
            <w:r w:rsidRPr="00DA3AE2">
              <w:rPr>
                <w:b/>
                <w:sz w:val="22"/>
                <w:szCs w:val="22"/>
              </w:rPr>
              <w:t>Average Annual (recurring)</w:t>
            </w:r>
          </w:p>
        </w:tc>
        <w:tc>
          <w:tcPr>
            <w:tcW w:w="2060" w:type="dxa"/>
            <w:tcBorders>
              <w:bottom w:val="nil"/>
            </w:tcBorders>
            <w:shd w:val="clear" w:color="auto" w:fill="auto"/>
          </w:tcPr>
          <w:p w14:paraId="3D01791A" w14:textId="77777777" w:rsidR="002144B3" w:rsidRPr="00DA3AE2" w:rsidRDefault="002144B3" w:rsidP="00F276DB">
            <w:pPr>
              <w:tabs>
                <w:tab w:val="left" w:pos="7920"/>
              </w:tabs>
              <w:rPr>
                <w:b/>
                <w:sz w:val="22"/>
                <w:szCs w:val="22"/>
              </w:rPr>
            </w:pPr>
            <w:r w:rsidRPr="00DA3AE2">
              <w:rPr>
                <w:b/>
                <w:sz w:val="22"/>
                <w:szCs w:val="22"/>
              </w:rPr>
              <w:t xml:space="preserve">Total </w:t>
            </w:r>
            <w:r w:rsidR="00F276DB" w:rsidRPr="00DA3AE2">
              <w:rPr>
                <w:b/>
                <w:sz w:val="22"/>
                <w:szCs w:val="22"/>
              </w:rPr>
              <w:t>Benefit</w:t>
            </w:r>
          </w:p>
        </w:tc>
      </w:tr>
      <w:tr w:rsidR="00D8498D" w:rsidRPr="00DA3AE2" w14:paraId="34F28CC1" w14:textId="77777777" w:rsidTr="001577E1">
        <w:tc>
          <w:tcPr>
            <w:tcW w:w="2059" w:type="dxa"/>
            <w:tcBorders>
              <w:top w:val="nil"/>
            </w:tcBorders>
            <w:shd w:val="clear" w:color="auto" w:fill="auto"/>
          </w:tcPr>
          <w:p w14:paraId="30298483" w14:textId="77777777" w:rsidR="002144B3" w:rsidRPr="00DA3AE2" w:rsidRDefault="002144B3" w:rsidP="001577E1">
            <w:pPr>
              <w:tabs>
                <w:tab w:val="left" w:pos="7920"/>
              </w:tabs>
              <w:rPr>
                <w:b/>
                <w:sz w:val="22"/>
                <w:szCs w:val="22"/>
              </w:rPr>
            </w:pPr>
          </w:p>
        </w:tc>
        <w:tc>
          <w:tcPr>
            <w:tcW w:w="2059" w:type="dxa"/>
            <w:tcBorders>
              <w:top w:val="nil"/>
              <w:right w:val="nil"/>
            </w:tcBorders>
            <w:shd w:val="clear" w:color="auto" w:fill="auto"/>
          </w:tcPr>
          <w:p w14:paraId="43CD5FD8" w14:textId="77777777" w:rsidR="002144B3" w:rsidRPr="00DA3AE2" w:rsidRDefault="002144B3" w:rsidP="001577E1">
            <w:pPr>
              <w:tabs>
                <w:tab w:val="left" w:pos="7920"/>
              </w:tabs>
              <w:jc w:val="right"/>
              <w:rPr>
                <w:sz w:val="18"/>
                <w:szCs w:val="18"/>
              </w:rPr>
            </w:pPr>
            <w:r w:rsidRPr="00DA3AE2">
              <w:rPr>
                <w:sz w:val="18"/>
                <w:szCs w:val="18"/>
              </w:rPr>
              <w:t>(</w:t>
            </w:r>
            <w:proofErr w:type="gramStart"/>
            <w:r w:rsidRPr="00DA3AE2">
              <w:rPr>
                <w:sz w:val="18"/>
                <w:szCs w:val="18"/>
              </w:rPr>
              <w:t>constant</w:t>
            </w:r>
            <w:proofErr w:type="gramEnd"/>
            <w:r w:rsidRPr="00DA3AE2">
              <w:rPr>
                <w:sz w:val="18"/>
                <w:szCs w:val="18"/>
              </w:rPr>
              <w:t xml:space="preserve"> price)</w:t>
            </w:r>
          </w:p>
        </w:tc>
        <w:tc>
          <w:tcPr>
            <w:tcW w:w="1030" w:type="dxa"/>
            <w:tcBorders>
              <w:top w:val="nil"/>
              <w:left w:val="nil"/>
            </w:tcBorders>
            <w:shd w:val="clear" w:color="auto" w:fill="auto"/>
          </w:tcPr>
          <w:p w14:paraId="38E2BB89" w14:textId="77777777" w:rsidR="002144B3" w:rsidRPr="00DA3AE2" w:rsidRDefault="002144B3" w:rsidP="001577E1">
            <w:pPr>
              <w:tabs>
                <w:tab w:val="left" w:pos="7920"/>
              </w:tabs>
              <w:jc w:val="right"/>
              <w:rPr>
                <w:sz w:val="18"/>
                <w:szCs w:val="18"/>
              </w:rPr>
            </w:pPr>
            <w:r w:rsidRPr="00DA3AE2">
              <w:rPr>
                <w:sz w:val="18"/>
                <w:szCs w:val="18"/>
              </w:rPr>
              <w:t>Years</w:t>
            </w:r>
          </w:p>
        </w:tc>
        <w:tc>
          <w:tcPr>
            <w:tcW w:w="3088" w:type="dxa"/>
            <w:tcBorders>
              <w:top w:val="nil"/>
            </w:tcBorders>
            <w:shd w:val="clear" w:color="auto" w:fill="auto"/>
          </w:tcPr>
          <w:p w14:paraId="6D4136FB" w14:textId="77777777" w:rsidR="002144B3" w:rsidRPr="00DA3AE2" w:rsidRDefault="002144B3" w:rsidP="001577E1">
            <w:pPr>
              <w:tabs>
                <w:tab w:val="left" w:pos="7920"/>
              </w:tabs>
              <w:jc w:val="right"/>
              <w:rPr>
                <w:sz w:val="18"/>
                <w:szCs w:val="18"/>
              </w:rPr>
            </w:pPr>
            <w:r w:rsidRPr="00DA3AE2">
              <w:rPr>
                <w:sz w:val="18"/>
                <w:szCs w:val="18"/>
              </w:rPr>
              <w:t>(excl. transitional) (constant price)</w:t>
            </w:r>
          </w:p>
        </w:tc>
        <w:tc>
          <w:tcPr>
            <w:tcW w:w="2060" w:type="dxa"/>
            <w:tcBorders>
              <w:top w:val="nil"/>
            </w:tcBorders>
            <w:shd w:val="clear" w:color="auto" w:fill="auto"/>
          </w:tcPr>
          <w:p w14:paraId="79E72E92" w14:textId="77777777" w:rsidR="002144B3" w:rsidRPr="00DA3AE2" w:rsidRDefault="002144B3" w:rsidP="001577E1">
            <w:pPr>
              <w:tabs>
                <w:tab w:val="left" w:pos="7920"/>
              </w:tabs>
              <w:jc w:val="right"/>
              <w:rPr>
                <w:sz w:val="18"/>
                <w:szCs w:val="18"/>
              </w:rPr>
            </w:pPr>
            <w:r w:rsidRPr="00DA3AE2">
              <w:rPr>
                <w:sz w:val="18"/>
                <w:szCs w:val="18"/>
              </w:rPr>
              <w:t>(Present Value)</w:t>
            </w:r>
          </w:p>
        </w:tc>
      </w:tr>
      <w:tr w:rsidR="00D8498D" w:rsidRPr="00DA3AE2" w14:paraId="66A95A95" w14:textId="77777777" w:rsidTr="001577E1">
        <w:trPr>
          <w:trHeight w:hRule="exact" w:val="255"/>
        </w:trPr>
        <w:tc>
          <w:tcPr>
            <w:tcW w:w="2059" w:type="dxa"/>
            <w:shd w:val="clear" w:color="auto" w:fill="auto"/>
          </w:tcPr>
          <w:p w14:paraId="580E8960" w14:textId="77777777" w:rsidR="002144B3" w:rsidRPr="00DA3AE2" w:rsidRDefault="002144B3" w:rsidP="001577E1">
            <w:pPr>
              <w:tabs>
                <w:tab w:val="left" w:pos="7920"/>
              </w:tabs>
              <w:rPr>
                <w:b/>
                <w:sz w:val="22"/>
                <w:szCs w:val="22"/>
              </w:rPr>
            </w:pPr>
            <w:r w:rsidRPr="00DA3AE2">
              <w:rPr>
                <w:b/>
                <w:sz w:val="22"/>
                <w:szCs w:val="22"/>
              </w:rPr>
              <w:t>Low</w:t>
            </w:r>
          </w:p>
        </w:tc>
        <w:tc>
          <w:tcPr>
            <w:tcW w:w="2059" w:type="dxa"/>
            <w:shd w:val="clear" w:color="auto" w:fill="auto"/>
          </w:tcPr>
          <w:p w14:paraId="40B909BB" w14:textId="3FCB7F50" w:rsidR="002144B3" w:rsidRPr="00DA3AE2" w:rsidRDefault="002144B3" w:rsidP="00150B38">
            <w:pPr>
              <w:tabs>
                <w:tab w:val="left" w:pos="7920"/>
              </w:tabs>
              <w:jc w:val="right"/>
              <w:rPr>
                <w:b/>
                <w:sz w:val="22"/>
                <w:szCs w:val="22"/>
              </w:rPr>
            </w:pPr>
          </w:p>
        </w:tc>
        <w:tc>
          <w:tcPr>
            <w:tcW w:w="1030" w:type="dxa"/>
            <w:vMerge w:val="restart"/>
            <w:shd w:val="clear" w:color="auto" w:fill="auto"/>
          </w:tcPr>
          <w:p w14:paraId="15B72D51" w14:textId="7A2B97B2" w:rsidR="002144B3" w:rsidRPr="00DA3AE2" w:rsidRDefault="002144B3" w:rsidP="00150B38">
            <w:pPr>
              <w:tabs>
                <w:tab w:val="left" w:pos="7920"/>
              </w:tabs>
              <w:rPr>
                <w:b/>
                <w:sz w:val="22"/>
                <w:szCs w:val="22"/>
              </w:rPr>
            </w:pPr>
          </w:p>
        </w:tc>
        <w:tc>
          <w:tcPr>
            <w:tcW w:w="3088" w:type="dxa"/>
            <w:shd w:val="clear" w:color="auto" w:fill="auto"/>
          </w:tcPr>
          <w:p w14:paraId="2F5242DC" w14:textId="1B9E6E29" w:rsidR="002144B3" w:rsidRPr="00DA3AE2" w:rsidRDefault="00475C21" w:rsidP="00D8498D">
            <w:pPr>
              <w:tabs>
                <w:tab w:val="left" w:pos="7920"/>
              </w:tabs>
              <w:jc w:val="right"/>
              <w:rPr>
                <w:b/>
                <w:sz w:val="22"/>
                <w:szCs w:val="22"/>
              </w:rPr>
            </w:pPr>
            <w:r w:rsidRPr="00DA3AE2">
              <w:rPr>
                <w:b/>
                <w:sz w:val="22"/>
                <w:szCs w:val="22"/>
              </w:rPr>
              <w:t>£</w:t>
            </w:r>
            <w:r w:rsidR="00D8498D" w:rsidRPr="00DA3AE2">
              <w:rPr>
                <w:b/>
                <w:sz w:val="22"/>
                <w:szCs w:val="22"/>
              </w:rPr>
              <w:t>9.</w:t>
            </w:r>
            <w:r w:rsidR="00247434">
              <w:rPr>
                <w:b/>
                <w:sz w:val="22"/>
                <w:szCs w:val="22"/>
              </w:rPr>
              <w:t>89</w:t>
            </w:r>
            <w:r w:rsidR="002D388D">
              <w:rPr>
                <w:b/>
                <w:sz w:val="22"/>
                <w:szCs w:val="22"/>
              </w:rPr>
              <w:t xml:space="preserve"> </w:t>
            </w:r>
            <w:r w:rsidR="00D8498D" w:rsidRPr="00DA3AE2">
              <w:rPr>
                <w:b/>
                <w:sz w:val="22"/>
                <w:szCs w:val="22"/>
              </w:rPr>
              <w:t>m</w:t>
            </w:r>
          </w:p>
        </w:tc>
        <w:tc>
          <w:tcPr>
            <w:tcW w:w="2060" w:type="dxa"/>
            <w:shd w:val="clear" w:color="auto" w:fill="auto"/>
          </w:tcPr>
          <w:p w14:paraId="01DBC1E0" w14:textId="75677595" w:rsidR="002144B3" w:rsidRPr="00DA3AE2" w:rsidRDefault="002144B3" w:rsidP="00D8498D">
            <w:pPr>
              <w:tabs>
                <w:tab w:val="left" w:pos="7920"/>
              </w:tabs>
              <w:jc w:val="right"/>
              <w:rPr>
                <w:b/>
                <w:sz w:val="22"/>
                <w:szCs w:val="22"/>
              </w:rPr>
            </w:pPr>
          </w:p>
        </w:tc>
      </w:tr>
      <w:tr w:rsidR="00D8498D" w:rsidRPr="00DA3AE2" w14:paraId="0CB3019E" w14:textId="77777777" w:rsidTr="001577E1">
        <w:trPr>
          <w:trHeight w:hRule="exact" w:val="255"/>
        </w:trPr>
        <w:tc>
          <w:tcPr>
            <w:tcW w:w="2059" w:type="dxa"/>
            <w:tcBorders>
              <w:bottom w:val="single" w:sz="12" w:space="0" w:color="auto"/>
            </w:tcBorders>
            <w:shd w:val="clear" w:color="auto" w:fill="auto"/>
          </w:tcPr>
          <w:p w14:paraId="0A04E66B" w14:textId="77777777" w:rsidR="002144B3" w:rsidRPr="00DA3AE2" w:rsidRDefault="002144B3" w:rsidP="001577E1">
            <w:pPr>
              <w:tabs>
                <w:tab w:val="left" w:pos="7920"/>
              </w:tabs>
              <w:rPr>
                <w:b/>
                <w:sz w:val="22"/>
                <w:szCs w:val="22"/>
              </w:rPr>
            </w:pPr>
            <w:r w:rsidRPr="00DA3AE2">
              <w:rPr>
                <w:b/>
                <w:sz w:val="22"/>
                <w:szCs w:val="22"/>
              </w:rPr>
              <w:t>High</w:t>
            </w:r>
          </w:p>
        </w:tc>
        <w:tc>
          <w:tcPr>
            <w:tcW w:w="2059" w:type="dxa"/>
            <w:tcBorders>
              <w:bottom w:val="single" w:sz="12" w:space="0" w:color="auto"/>
            </w:tcBorders>
            <w:shd w:val="clear" w:color="auto" w:fill="auto"/>
          </w:tcPr>
          <w:p w14:paraId="79084AA5" w14:textId="36DF0BF6" w:rsidR="002144B3" w:rsidRPr="00DA3AE2" w:rsidRDefault="002144B3" w:rsidP="00150B38">
            <w:pPr>
              <w:tabs>
                <w:tab w:val="left" w:pos="7920"/>
              </w:tabs>
              <w:jc w:val="right"/>
              <w:rPr>
                <w:b/>
                <w:sz w:val="22"/>
                <w:szCs w:val="22"/>
              </w:rPr>
            </w:pPr>
          </w:p>
        </w:tc>
        <w:tc>
          <w:tcPr>
            <w:tcW w:w="1030" w:type="dxa"/>
            <w:vMerge/>
            <w:tcBorders>
              <w:bottom w:val="single" w:sz="12" w:space="0" w:color="auto"/>
            </w:tcBorders>
            <w:shd w:val="clear" w:color="auto" w:fill="auto"/>
          </w:tcPr>
          <w:p w14:paraId="4E24897C" w14:textId="77777777" w:rsidR="002144B3" w:rsidRPr="00DA3AE2" w:rsidRDefault="002144B3" w:rsidP="001577E1">
            <w:pPr>
              <w:tabs>
                <w:tab w:val="left" w:pos="7920"/>
              </w:tabs>
              <w:rPr>
                <w:b/>
                <w:sz w:val="22"/>
                <w:szCs w:val="22"/>
              </w:rPr>
            </w:pPr>
          </w:p>
        </w:tc>
        <w:tc>
          <w:tcPr>
            <w:tcW w:w="3088" w:type="dxa"/>
            <w:tcBorders>
              <w:bottom w:val="single" w:sz="12" w:space="0" w:color="auto"/>
            </w:tcBorders>
            <w:shd w:val="clear" w:color="auto" w:fill="auto"/>
          </w:tcPr>
          <w:p w14:paraId="6ABB4977" w14:textId="5E495682" w:rsidR="002144B3" w:rsidRPr="00DA3AE2" w:rsidRDefault="00475C21" w:rsidP="00D8498D">
            <w:pPr>
              <w:tabs>
                <w:tab w:val="left" w:pos="7920"/>
              </w:tabs>
              <w:jc w:val="right"/>
              <w:rPr>
                <w:b/>
                <w:sz w:val="22"/>
                <w:szCs w:val="22"/>
              </w:rPr>
            </w:pPr>
            <w:r w:rsidRPr="00DA3AE2">
              <w:rPr>
                <w:b/>
                <w:sz w:val="22"/>
                <w:szCs w:val="22"/>
              </w:rPr>
              <w:t>£</w:t>
            </w:r>
            <w:r w:rsidR="00D8498D" w:rsidRPr="00DA3AE2">
              <w:rPr>
                <w:b/>
                <w:sz w:val="22"/>
                <w:szCs w:val="22"/>
              </w:rPr>
              <w:t>159.</w:t>
            </w:r>
            <w:r w:rsidR="00247434">
              <w:rPr>
                <w:b/>
                <w:sz w:val="22"/>
                <w:szCs w:val="22"/>
              </w:rPr>
              <w:t>0</w:t>
            </w:r>
            <w:r w:rsidR="003754BD">
              <w:rPr>
                <w:b/>
                <w:sz w:val="22"/>
                <w:szCs w:val="22"/>
              </w:rPr>
              <w:t>4</w:t>
            </w:r>
            <w:r w:rsidR="002D388D">
              <w:rPr>
                <w:b/>
                <w:sz w:val="22"/>
                <w:szCs w:val="22"/>
              </w:rPr>
              <w:t xml:space="preserve"> </w:t>
            </w:r>
            <w:r w:rsidR="00D8498D" w:rsidRPr="00DA3AE2">
              <w:rPr>
                <w:b/>
                <w:sz w:val="22"/>
                <w:szCs w:val="22"/>
              </w:rPr>
              <w:t>m</w:t>
            </w:r>
          </w:p>
        </w:tc>
        <w:tc>
          <w:tcPr>
            <w:tcW w:w="2060" w:type="dxa"/>
            <w:tcBorders>
              <w:bottom w:val="single" w:sz="12" w:space="0" w:color="auto"/>
            </w:tcBorders>
            <w:shd w:val="clear" w:color="auto" w:fill="auto"/>
          </w:tcPr>
          <w:p w14:paraId="2DFE37E4" w14:textId="1D16C0F4" w:rsidR="002144B3" w:rsidRPr="00DA3AE2" w:rsidRDefault="002144B3" w:rsidP="00D8498D">
            <w:pPr>
              <w:tabs>
                <w:tab w:val="left" w:pos="7920"/>
              </w:tabs>
              <w:jc w:val="right"/>
              <w:rPr>
                <w:b/>
                <w:sz w:val="22"/>
                <w:szCs w:val="22"/>
              </w:rPr>
            </w:pPr>
          </w:p>
        </w:tc>
      </w:tr>
      <w:tr w:rsidR="00D8498D" w:rsidRPr="00DA3AE2" w14:paraId="70FB7F75" w14:textId="77777777" w:rsidTr="00603E1E">
        <w:trPr>
          <w:trHeight w:hRule="exact" w:val="588"/>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4A51D16E" w14:textId="77777777" w:rsidR="002144B3" w:rsidRPr="00DA3AE2" w:rsidRDefault="002144B3" w:rsidP="001577E1">
            <w:pPr>
              <w:tabs>
                <w:tab w:val="left" w:pos="7920"/>
              </w:tabs>
              <w:rPr>
                <w:b/>
                <w:sz w:val="22"/>
                <w:szCs w:val="22"/>
              </w:rPr>
            </w:pPr>
            <w:r w:rsidRPr="00DA3AE2">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3FDC4A4B" w14:textId="31E409E6" w:rsidR="002144B3" w:rsidRPr="00DA3AE2" w:rsidRDefault="002144B3" w:rsidP="00150B38">
            <w:pPr>
              <w:tabs>
                <w:tab w:val="left" w:pos="7920"/>
              </w:tabs>
              <w:jc w:val="right"/>
              <w:rPr>
                <w:b/>
                <w:sz w:val="22"/>
                <w:szCs w:val="22"/>
              </w:rPr>
            </w:pP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011AF737" w14:textId="77777777" w:rsidR="002144B3" w:rsidRPr="00DA3AE2" w:rsidRDefault="002144B3" w:rsidP="001577E1">
            <w:pPr>
              <w:tabs>
                <w:tab w:val="left" w:pos="7920"/>
              </w:tabs>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28AB5E7" w14:textId="21F8D521" w:rsidR="002144B3" w:rsidRPr="00DA3AE2" w:rsidRDefault="00365E01" w:rsidP="00365E01">
            <w:pPr>
              <w:tabs>
                <w:tab w:val="left" w:pos="7920"/>
              </w:tabs>
              <w:jc w:val="right"/>
              <w:rPr>
                <w:b/>
                <w:sz w:val="22"/>
                <w:szCs w:val="22"/>
              </w:rPr>
            </w:pPr>
            <w:r w:rsidRPr="00DA3AE2">
              <w:rPr>
                <w:b/>
                <w:sz w:val="22"/>
                <w:szCs w:val="22"/>
              </w:rPr>
              <w:t>£</w:t>
            </w:r>
            <w:r w:rsidR="00D8498D" w:rsidRPr="00DA3AE2">
              <w:rPr>
                <w:b/>
                <w:sz w:val="22"/>
                <w:szCs w:val="22"/>
              </w:rPr>
              <w:t>51.</w:t>
            </w:r>
            <w:r w:rsidR="003754BD">
              <w:rPr>
                <w:b/>
                <w:sz w:val="22"/>
                <w:szCs w:val="22"/>
              </w:rPr>
              <w:t>50</w:t>
            </w:r>
            <w:r w:rsidR="002D388D">
              <w:rPr>
                <w:b/>
                <w:sz w:val="22"/>
                <w:szCs w:val="22"/>
              </w:rPr>
              <w:t xml:space="preserve"> m</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1E7105E2" w14:textId="0CF512CE" w:rsidR="002144B3" w:rsidRPr="00DA3AE2" w:rsidRDefault="002144B3" w:rsidP="00365E01">
            <w:pPr>
              <w:tabs>
                <w:tab w:val="left" w:pos="7920"/>
              </w:tabs>
              <w:jc w:val="right"/>
              <w:rPr>
                <w:b/>
                <w:sz w:val="22"/>
                <w:szCs w:val="22"/>
              </w:rPr>
            </w:pPr>
          </w:p>
        </w:tc>
      </w:tr>
      <w:tr w:rsidR="002144B3" w:rsidRPr="00DA3AE2" w14:paraId="2AD5F6BC" w14:textId="77777777" w:rsidTr="00EB03B9">
        <w:trPr>
          <w:trHeight w:hRule="exact" w:val="3571"/>
        </w:trPr>
        <w:tc>
          <w:tcPr>
            <w:tcW w:w="10296" w:type="dxa"/>
            <w:gridSpan w:val="5"/>
            <w:tcBorders>
              <w:top w:val="single" w:sz="12" w:space="0" w:color="auto"/>
              <w:bottom w:val="single" w:sz="4" w:space="0" w:color="auto"/>
            </w:tcBorders>
            <w:shd w:val="clear" w:color="auto" w:fill="auto"/>
          </w:tcPr>
          <w:p w14:paraId="7B55A093" w14:textId="7F05D491" w:rsidR="002144B3" w:rsidRDefault="002144B3" w:rsidP="001577E1">
            <w:pPr>
              <w:tabs>
                <w:tab w:val="left" w:pos="7920"/>
              </w:tabs>
              <w:rPr>
                <w:sz w:val="22"/>
                <w:szCs w:val="22"/>
              </w:rPr>
            </w:pPr>
            <w:r w:rsidRPr="00DA3AE2">
              <w:rPr>
                <w:b/>
                <w:sz w:val="22"/>
                <w:szCs w:val="22"/>
              </w:rPr>
              <w:t xml:space="preserve">Description and scale of key monetised </w:t>
            </w:r>
            <w:r w:rsidR="00F276DB" w:rsidRPr="00DA3AE2">
              <w:rPr>
                <w:b/>
                <w:sz w:val="22"/>
                <w:szCs w:val="22"/>
              </w:rPr>
              <w:t>benefits</w:t>
            </w:r>
            <w:r w:rsidRPr="00DA3AE2">
              <w:rPr>
                <w:b/>
                <w:sz w:val="22"/>
                <w:szCs w:val="22"/>
              </w:rPr>
              <w:t xml:space="preserve"> by ‘main affected groups’</w:t>
            </w:r>
            <w:r w:rsidR="00BC6455" w:rsidRPr="00DA3AE2">
              <w:rPr>
                <w:b/>
                <w:sz w:val="22"/>
                <w:szCs w:val="22"/>
              </w:rPr>
              <w:t xml:space="preserve"> </w:t>
            </w:r>
            <w:r w:rsidRPr="00DA3AE2">
              <w:rPr>
                <w:sz w:val="22"/>
                <w:szCs w:val="22"/>
              </w:rPr>
              <w:t>Maximum 5 lines</w:t>
            </w:r>
            <w:r w:rsidR="003403CC" w:rsidRPr="00DA3AE2">
              <w:rPr>
                <w:sz w:val="22"/>
                <w:szCs w:val="22"/>
              </w:rPr>
              <w:t xml:space="preserve">  </w:t>
            </w:r>
          </w:p>
          <w:p w14:paraId="1DB8C5C6" w14:textId="54880396" w:rsidR="00EB03B9" w:rsidRPr="00EB03B9" w:rsidRDefault="00EB03B9" w:rsidP="001577E1">
            <w:pPr>
              <w:tabs>
                <w:tab w:val="left" w:pos="7920"/>
              </w:tabs>
              <w:rPr>
                <w:sz w:val="20"/>
              </w:rPr>
            </w:pPr>
          </w:p>
          <w:p w14:paraId="00FE765A" w14:textId="30E3CE4B" w:rsidR="00EB03B9" w:rsidRPr="00EB03B9" w:rsidRDefault="00EB03B9" w:rsidP="001577E1">
            <w:pPr>
              <w:tabs>
                <w:tab w:val="left" w:pos="7920"/>
              </w:tabs>
              <w:rPr>
                <w:sz w:val="20"/>
              </w:rPr>
            </w:pPr>
            <w:r w:rsidRPr="00EB03B9">
              <w:rPr>
                <w:sz w:val="20"/>
              </w:rPr>
              <w:t xml:space="preserve">Benefits to agriculture sector: </w:t>
            </w:r>
          </w:p>
          <w:p w14:paraId="1EFE33BF" w14:textId="25DABA8E" w:rsidR="00A2664D" w:rsidRPr="00DA3AE2" w:rsidRDefault="00A2664D" w:rsidP="005B4AC5">
            <w:pPr>
              <w:tabs>
                <w:tab w:val="left" w:pos="7920"/>
              </w:tabs>
              <w:rPr>
                <w:sz w:val="22"/>
                <w:szCs w:val="22"/>
              </w:rPr>
            </w:pPr>
          </w:p>
          <w:p w14:paraId="40897397" w14:textId="77777777" w:rsidR="002144B3" w:rsidRDefault="005B4AC5" w:rsidP="008A17B8">
            <w:pPr>
              <w:tabs>
                <w:tab w:val="left" w:pos="7920"/>
              </w:tabs>
              <w:rPr>
                <w:sz w:val="20"/>
              </w:rPr>
            </w:pPr>
            <w:r w:rsidRPr="00DA3AE2">
              <w:rPr>
                <w:sz w:val="20"/>
              </w:rPr>
              <w:t xml:space="preserve">Benefits will accrue across NI society of achieving </w:t>
            </w:r>
            <w:r w:rsidR="008A17B8" w:rsidRPr="00DA3AE2">
              <w:rPr>
                <w:sz w:val="20"/>
              </w:rPr>
              <w:t xml:space="preserve">an </w:t>
            </w:r>
            <w:r w:rsidRPr="00DA3AE2">
              <w:rPr>
                <w:sz w:val="20"/>
              </w:rPr>
              <w:t>ammonia reduction target</w:t>
            </w:r>
            <w:r w:rsidR="008A17B8" w:rsidRPr="00DA3AE2">
              <w:rPr>
                <w:sz w:val="20"/>
              </w:rPr>
              <w:t xml:space="preserve"> of 21% through the lower cost measures </w:t>
            </w:r>
            <w:r w:rsidR="008A17B8" w:rsidRPr="009D2D1A">
              <w:rPr>
                <w:sz w:val="20"/>
              </w:rPr>
              <w:t>only</w:t>
            </w:r>
            <w:r w:rsidRPr="009D2D1A">
              <w:rPr>
                <w:sz w:val="20"/>
              </w:rPr>
              <w:t xml:space="preserve"> </w:t>
            </w:r>
            <w:r w:rsidR="00475C21" w:rsidRPr="009D2D1A">
              <w:rPr>
                <w:sz w:val="20"/>
              </w:rPr>
              <w:t>(</w:t>
            </w:r>
            <w:proofErr w:type="spellStart"/>
            <w:proofErr w:type="gramStart"/>
            <w:r w:rsidR="00475C21" w:rsidRPr="009D2D1A">
              <w:rPr>
                <w:sz w:val="20"/>
              </w:rPr>
              <w:t>ie</w:t>
            </w:r>
            <w:proofErr w:type="spellEnd"/>
            <w:proofErr w:type="gramEnd"/>
            <w:r w:rsidR="00475C21" w:rsidRPr="009D2D1A">
              <w:rPr>
                <w:sz w:val="20"/>
              </w:rPr>
              <w:t xml:space="preserve"> </w:t>
            </w:r>
            <w:r w:rsidR="007E7467" w:rsidRPr="009D2D1A">
              <w:rPr>
                <w:sz w:val="20"/>
              </w:rPr>
              <w:t>6.5</w:t>
            </w:r>
            <w:r w:rsidR="005B62DC" w:rsidRPr="009D2D1A">
              <w:rPr>
                <w:sz w:val="20"/>
              </w:rPr>
              <w:t xml:space="preserve"> kt</w:t>
            </w:r>
            <w:r w:rsidRPr="009D2D1A">
              <w:rPr>
                <w:sz w:val="20"/>
              </w:rPr>
              <w:t xml:space="preserve"> of ammonia</w:t>
            </w:r>
            <w:r w:rsidR="009D1E72" w:rsidRPr="009D2D1A">
              <w:rPr>
                <w:sz w:val="20"/>
              </w:rPr>
              <w:t xml:space="preserve"> </w:t>
            </w:r>
            <w:r w:rsidR="008A17B8" w:rsidRPr="009D2D1A">
              <w:rPr>
                <w:sz w:val="20"/>
              </w:rPr>
              <w:t xml:space="preserve">reduction </w:t>
            </w:r>
            <w:r w:rsidR="009D1E72" w:rsidRPr="009D2D1A">
              <w:rPr>
                <w:sz w:val="20"/>
              </w:rPr>
              <w:t>annually</w:t>
            </w:r>
            <w:r w:rsidRPr="009D2D1A">
              <w:rPr>
                <w:sz w:val="20"/>
              </w:rPr>
              <w:t>). At</w:t>
            </w:r>
            <w:r w:rsidRPr="00DA3AE2">
              <w:rPr>
                <w:sz w:val="20"/>
              </w:rPr>
              <w:t xml:space="preserve"> UK level, the damage cost of ammonia emissions is assessed at between £1,521 and £24,467 per tonne with a central damage cost of £7,923. </w:t>
            </w:r>
            <w:r w:rsidR="00A2664D" w:rsidRPr="00DA3AE2">
              <w:rPr>
                <w:sz w:val="20"/>
              </w:rPr>
              <w:t>While the public health element of this figure is based on PM2.5 levels across the UK, benefits</w:t>
            </w:r>
            <w:r w:rsidR="00CC7337" w:rsidRPr="00DA3AE2">
              <w:rPr>
                <w:sz w:val="20"/>
              </w:rPr>
              <w:t xml:space="preserve"> from ammonia reduction will</w:t>
            </w:r>
            <w:r w:rsidR="00A2664D" w:rsidRPr="00DA3AE2">
              <w:rPr>
                <w:sz w:val="20"/>
              </w:rPr>
              <w:t xml:space="preserve"> accrue in Northern Ireland. </w:t>
            </w:r>
            <w:r w:rsidR="008A17B8" w:rsidRPr="00DA3AE2">
              <w:rPr>
                <w:sz w:val="20"/>
              </w:rPr>
              <w:t>However</w:t>
            </w:r>
            <w:r w:rsidR="00BE251F">
              <w:rPr>
                <w:sz w:val="20"/>
              </w:rPr>
              <w:t>,</w:t>
            </w:r>
            <w:r w:rsidR="008A17B8" w:rsidRPr="00DA3AE2">
              <w:rPr>
                <w:sz w:val="20"/>
              </w:rPr>
              <w:t xml:space="preserve"> these benefits are not maximised due to the selection of lower cost measures only.</w:t>
            </w:r>
          </w:p>
          <w:p w14:paraId="2C21B08C" w14:textId="77777777" w:rsidR="009211B3" w:rsidRDefault="009211B3" w:rsidP="008A17B8">
            <w:pPr>
              <w:tabs>
                <w:tab w:val="left" w:pos="7920"/>
              </w:tabs>
              <w:rPr>
                <w:b/>
                <w:sz w:val="20"/>
              </w:rPr>
            </w:pPr>
          </w:p>
          <w:p w14:paraId="1913E21B" w14:textId="12493104" w:rsidR="009211B3" w:rsidRPr="009211B3" w:rsidRDefault="009211B3" w:rsidP="008A17B8">
            <w:pPr>
              <w:tabs>
                <w:tab w:val="left" w:pos="7920"/>
              </w:tabs>
              <w:rPr>
                <w:bCs/>
                <w:sz w:val="20"/>
              </w:rPr>
            </w:pPr>
            <w:r w:rsidRPr="009211B3">
              <w:rPr>
                <w:bCs/>
                <w:sz w:val="20"/>
              </w:rPr>
              <w:t>Calculations are show</w:t>
            </w:r>
            <w:r>
              <w:rPr>
                <w:bCs/>
                <w:sz w:val="20"/>
              </w:rPr>
              <w:t>n</w:t>
            </w:r>
            <w:r w:rsidRPr="009211B3">
              <w:rPr>
                <w:bCs/>
                <w:sz w:val="20"/>
              </w:rPr>
              <w:t xml:space="preserve"> in Annex A.</w:t>
            </w:r>
          </w:p>
        </w:tc>
      </w:tr>
      <w:tr w:rsidR="002144B3" w:rsidRPr="00DA3AE2" w14:paraId="75E7720D" w14:textId="77777777" w:rsidTr="004A3782">
        <w:trPr>
          <w:trHeight w:hRule="exact" w:val="1826"/>
        </w:trPr>
        <w:tc>
          <w:tcPr>
            <w:tcW w:w="10296" w:type="dxa"/>
            <w:gridSpan w:val="5"/>
            <w:shd w:val="clear" w:color="auto" w:fill="auto"/>
          </w:tcPr>
          <w:p w14:paraId="6D67445D" w14:textId="77777777" w:rsidR="002144B3" w:rsidRPr="00DA3AE2" w:rsidRDefault="002144B3" w:rsidP="001577E1">
            <w:pPr>
              <w:tabs>
                <w:tab w:val="left" w:pos="7920"/>
              </w:tabs>
              <w:rPr>
                <w:sz w:val="20"/>
              </w:rPr>
            </w:pPr>
            <w:r w:rsidRPr="00DA3AE2">
              <w:rPr>
                <w:b/>
                <w:sz w:val="20"/>
              </w:rPr>
              <w:lastRenderedPageBreak/>
              <w:t xml:space="preserve">Other key non-monetised </w:t>
            </w:r>
            <w:r w:rsidR="00F276DB" w:rsidRPr="00DA3AE2">
              <w:rPr>
                <w:b/>
                <w:sz w:val="20"/>
              </w:rPr>
              <w:t>benefits</w:t>
            </w:r>
            <w:r w:rsidRPr="00DA3AE2">
              <w:rPr>
                <w:b/>
                <w:sz w:val="20"/>
              </w:rPr>
              <w:t xml:space="preserve"> by ‘main affected groups’</w:t>
            </w:r>
            <w:r w:rsidR="00BC6455" w:rsidRPr="00DA3AE2">
              <w:rPr>
                <w:b/>
                <w:sz w:val="20"/>
              </w:rPr>
              <w:t xml:space="preserve"> </w:t>
            </w:r>
            <w:r w:rsidRPr="00DA3AE2">
              <w:rPr>
                <w:sz w:val="20"/>
              </w:rPr>
              <w:t>Maximum 5 lines</w:t>
            </w:r>
          </w:p>
          <w:p w14:paraId="2DB69B39" w14:textId="5333996D" w:rsidR="002144B3" w:rsidRPr="00DA3AE2" w:rsidRDefault="002144B3" w:rsidP="001577E1">
            <w:pPr>
              <w:tabs>
                <w:tab w:val="left" w:pos="7920"/>
              </w:tabs>
              <w:rPr>
                <w:sz w:val="20"/>
              </w:rPr>
            </w:pPr>
          </w:p>
          <w:p w14:paraId="516DA1DD" w14:textId="52F7BC88" w:rsidR="00A2664D" w:rsidRPr="00DA3AE2" w:rsidRDefault="00A2664D" w:rsidP="004A3782">
            <w:pPr>
              <w:tabs>
                <w:tab w:val="left" w:pos="7920"/>
              </w:tabs>
              <w:rPr>
                <w:sz w:val="20"/>
              </w:rPr>
            </w:pPr>
            <w:r w:rsidRPr="00DA3AE2">
              <w:rPr>
                <w:sz w:val="20"/>
              </w:rPr>
              <w:t>There is a legal imperative on Northern Ireland to reduce ammonia emissions and protect and restore habitats. If the options highlighted in the draft ammonia strategy are not successfully implemented to meet these legal obligations, alternative approaches may impose greater costs on the agri-food sector and the public purse.</w:t>
            </w:r>
            <w:r w:rsidR="004A3782" w:rsidRPr="00DA3AE2">
              <w:rPr>
                <w:sz w:val="20"/>
              </w:rPr>
              <w:t xml:space="preserve"> There are wider environmental benefits from some ammonia mitigation measures, such as improved water quality</w:t>
            </w:r>
            <w:r w:rsidR="005B62DC" w:rsidRPr="00DA3AE2">
              <w:rPr>
                <w:sz w:val="20"/>
              </w:rPr>
              <w:t>.</w:t>
            </w:r>
          </w:p>
        </w:tc>
      </w:tr>
      <w:tr w:rsidR="002144B3" w:rsidRPr="00DA3AE2" w14:paraId="14EEB996" w14:textId="77777777" w:rsidTr="0055278F">
        <w:trPr>
          <w:trHeight w:hRule="exact" w:val="1960"/>
        </w:trPr>
        <w:tc>
          <w:tcPr>
            <w:tcW w:w="10296" w:type="dxa"/>
            <w:gridSpan w:val="5"/>
            <w:tcBorders>
              <w:bottom w:val="single" w:sz="4" w:space="0" w:color="auto"/>
            </w:tcBorders>
            <w:shd w:val="clear" w:color="auto" w:fill="auto"/>
          </w:tcPr>
          <w:p w14:paraId="4B0F4399" w14:textId="77777777" w:rsidR="002144B3" w:rsidRPr="00DA3AE2" w:rsidRDefault="002144B3" w:rsidP="001577E1">
            <w:pPr>
              <w:tabs>
                <w:tab w:val="left" w:pos="7920"/>
              </w:tabs>
              <w:rPr>
                <w:sz w:val="20"/>
              </w:rPr>
            </w:pPr>
            <w:r w:rsidRPr="00DA3AE2">
              <w:rPr>
                <w:b/>
                <w:sz w:val="20"/>
              </w:rPr>
              <w:t>Key Assumptions, Sensitivities, Risks</w:t>
            </w:r>
            <w:r w:rsidR="00BC6455" w:rsidRPr="00DA3AE2">
              <w:rPr>
                <w:b/>
                <w:sz w:val="20"/>
              </w:rPr>
              <w:t xml:space="preserve"> </w:t>
            </w:r>
            <w:r w:rsidRPr="00DA3AE2">
              <w:rPr>
                <w:sz w:val="20"/>
              </w:rPr>
              <w:t>Maximum 5 lines</w:t>
            </w:r>
          </w:p>
          <w:p w14:paraId="23A12D8F" w14:textId="0DC1B7EC" w:rsidR="002144B3" w:rsidRPr="00DA3AE2" w:rsidRDefault="002144B3" w:rsidP="00B34F78">
            <w:pPr>
              <w:tabs>
                <w:tab w:val="left" w:pos="7920"/>
              </w:tabs>
              <w:rPr>
                <w:sz w:val="20"/>
              </w:rPr>
            </w:pPr>
          </w:p>
          <w:p w14:paraId="795D8CC7" w14:textId="77777777" w:rsidR="005B4AC5" w:rsidRPr="00DA3AE2" w:rsidRDefault="0055278F" w:rsidP="005B4AC5">
            <w:pPr>
              <w:tabs>
                <w:tab w:val="left" w:pos="7920"/>
              </w:tabs>
              <w:rPr>
                <w:b/>
                <w:sz w:val="20"/>
              </w:rPr>
            </w:pPr>
            <w:r w:rsidRPr="00DA3AE2">
              <w:rPr>
                <w:sz w:val="20"/>
              </w:rPr>
              <w:t xml:space="preserve">The economic analysis conducted by AFBI assumes static livestock numbers. Increases or decreases in livestock numbers will have corresponding impacts on ammonia emissions. </w:t>
            </w:r>
            <w:r w:rsidR="005B4AC5" w:rsidRPr="00DA3AE2">
              <w:rPr>
                <w:sz w:val="20"/>
              </w:rPr>
              <w:t xml:space="preserve">There is a significant variation in the low and high damage costs of ammonia. These costs have been calculated at the UK level. </w:t>
            </w:r>
            <w:r w:rsidR="00353AED" w:rsidRPr="00DA3AE2">
              <w:rPr>
                <w:sz w:val="20"/>
              </w:rPr>
              <w:t>Levels of PM</w:t>
            </w:r>
            <w:r w:rsidR="00353AED" w:rsidRPr="00DA3AE2">
              <w:rPr>
                <w:sz w:val="20"/>
                <w:vertAlign w:val="subscript"/>
              </w:rPr>
              <w:t>2.5</w:t>
            </w:r>
            <w:r w:rsidR="00353AED" w:rsidRPr="00DA3AE2">
              <w:rPr>
                <w:sz w:val="20"/>
              </w:rPr>
              <w:t>, an air quality pollutant for which ammonia is a contributory factor, vary across the UK.</w:t>
            </w:r>
            <w:r w:rsidR="004A3782" w:rsidRPr="00DA3AE2">
              <w:rPr>
                <w:sz w:val="20"/>
              </w:rPr>
              <w:t xml:space="preserve"> There is a risk that if systems to ensure uptake of measures are not sufficient, the targets in the draft ammonia strategy will not be achieved.</w:t>
            </w:r>
          </w:p>
        </w:tc>
      </w:tr>
    </w:tbl>
    <w:p w14:paraId="25527CBF" w14:textId="77777777" w:rsidR="00AA4ABF" w:rsidRPr="00DA3AE2" w:rsidRDefault="00AA4ABF" w:rsidP="00AA4ABF">
      <w:pPr>
        <w:rPr>
          <w:sz w:val="20"/>
        </w:rPr>
      </w:pPr>
    </w:p>
    <w:p w14:paraId="68886946" w14:textId="77777777" w:rsidR="00AA4ABF" w:rsidRPr="00DA3AE2" w:rsidRDefault="00CC0939" w:rsidP="00AA4ABF">
      <w:pPr>
        <w:tabs>
          <w:tab w:val="left" w:pos="7920"/>
        </w:tabs>
        <w:rPr>
          <w:b/>
          <w:sz w:val="22"/>
          <w:szCs w:val="22"/>
        </w:rPr>
      </w:pPr>
      <w:r w:rsidRPr="00DA3AE2">
        <w:rPr>
          <w:b/>
          <w:sz w:val="22"/>
          <w:szCs w:val="22"/>
        </w:rPr>
        <w:t xml:space="preserve">BUSINESS ASSESSMENT (Option </w:t>
      </w:r>
      <w:r w:rsidR="005D1836" w:rsidRPr="00BE251F">
        <w:rPr>
          <w:b/>
          <w:bCs/>
          <w:sz w:val="20"/>
        </w:rPr>
        <w:t>2</w:t>
      </w:r>
      <w:r w:rsidR="00AA4ABF" w:rsidRPr="00BE251F">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73"/>
        <w:gridCol w:w="1979"/>
        <w:gridCol w:w="1134"/>
        <w:gridCol w:w="2420"/>
      </w:tblGrid>
      <w:tr w:rsidR="00AA4ABF" w:rsidRPr="00DA3AE2" w14:paraId="71499C69" w14:textId="77777777" w:rsidTr="005663A8">
        <w:tc>
          <w:tcPr>
            <w:tcW w:w="6516" w:type="dxa"/>
            <w:gridSpan w:val="3"/>
            <w:tcBorders>
              <w:top w:val="single" w:sz="4" w:space="0" w:color="auto"/>
            </w:tcBorders>
            <w:shd w:val="clear" w:color="auto" w:fill="auto"/>
          </w:tcPr>
          <w:p w14:paraId="543BA3FB" w14:textId="1FB69F34" w:rsidR="00AA4ABF" w:rsidRPr="00DA3AE2" w:rsidRDefault="00AA4ABF" w:rsidP="008A17B8">
            <w:pPr>
              <w:tabs>
                <w:tab w:val="left" w:pos="7920"/>
              </w:tabs>
              <w:rPr>
                <w:b/>
                <w:sz w:val="22"/>
                <w:szCs w:val="22"/>
              </w:rPr>
            </w:pPr>
            <w:r w:rsidRPr="00DA3AE2">
              <w:rPr>
                <w:b/>
                <w:sz w:val="22"/>
                <w:szCs w:val="22"/>
              </w:rPr>
              <w:t>Direct Impact on business (Equivalent Annual) £</w:t>
            </w:r>
            <w:r w:rsidR="004A3782" w:rsidRPr="00DA3AE2">
              <w:t xml:space="preserve"> </w:t>
            </w:r>
          </w:p>
        </w:tc>
        <w:tc>
          <w:tcPr>
            <w:tcW w:w="1134" w:type="dxa"/>
            <w:tcBorders>
              <w:top w:val="single" w:sz="4" w:space="0" w:color="auto"/>
            </w:tcBorders>
            <w:shd w:val="clear" w:color="auto" w:fill="auto"/>
          </w:tcPr>
          <w:p w14:paraId="0F0EB033" w14:textId="77777777" w:rsidR="00AA4ABF" w:rsidRPr="00DA3AE2" w:rsidRDefault="00AA4ABF" w:rsidP="001577E1">
            <w:pPr>
              <w:tabs>
                <w:tab w:val="left" w:pos="7920"/>
              </w:tabs>
              <w:rPr>
                <w:b/>
                <w:sz w:val="22"/>
                <w:szCs w:val="22"/>
              </w:rPr>
            </w:pPr>
          </w:p>
        </w:tc>
        <w:tc>
          <w:tcPr>
            <w:tcW w:w="2420" w:type="dxa"/>
            <w:tcBorders>
              <w:top w:val="single" w:sz="4" w:space="0" w:color="auto"/>
            </w:tcBorders>
            <w:shd w:val="clear" w:color="auto" w:fill="auto"/>
          </w:tcPr>
          <w:p w14:paraId="418A4A1A" w14:textId="7C8CF068" w:rsidR="00AA4ABF" w:rsidRPr="00BE251F" w:rsidRDefault="00AA4ABF" w:rsidP="001577E1">
            <w:pPr>
              <w:tabs>
                <w:tab w:val="left" w:pos="7920"/>
              </w:tabs>
              <w:rPr>
                <w:bCs/>
                <w:sz w:val="20"/>
              </w:rPr>
            </w:pPr>
          </w:p>
        </w:tc>
      </w:tr>
      <w:tr w:rsidR="002144B3" w:rsidRPr="00DA3AE2" w14:paraId="4C5825B4" w14:textId="77777777" w:rsidTr="005663A8">
        <w:trPr>
          <w:trHeight w:hRule="exact" w:val="2534"/>
        </w:trPr>
        <w:tc>
          <w:tcPr>
            <w:tcW w:w="2264" w:type="dxa"/>
            <w:shd w:val="clear" w:color="auto" w:fill="auto"/>
          </w:tcPr>
          <w:p w14:paraId="30026799" w14:textId="47D7602A" w:rsidR="002144B3" w:rsidRPr="00E16F4B" w:rsidRDefault="00AA4ABF" w:rsidP="0053314B">
            <w:pPr>
              <w:tabs>
                <w:tab w:val="left" w:pos="7920"/>
              </w:tabs>
              <w:rPr>
                <w:b/>
                <w:sz w:val="22"/>
                <w:szCs w:val="22"/>
              </w:rPr>
            </w:pPr>
            <w:r w:rsidRPr="00E16F4B">
              <w:rPr>
                <w:b/>
                <w:sz w:val="22"/>
                <w:szCs w:val="22"/>
              </w:rPr>
              <w:t>Costs:</w:t>
            </w:r>
            <w:r w:rsidR="00BE251F" w:rsidRPr="00E16F4B">
              <w:rPr>
                <w:b/>
                <w:sz w:val="22"/>
                <w:szCs w:val="22"/>
              </w:rPr>
              <w:t xml:space="preserve"> </w:t>
            </w:r>
          </w:p>
        </w:tc>
        <w:tc>
          <w:tcPr>
            <w:tcW w:w="2273" w:type="dxa"/>
            <w:shd w:val="clear" w:color="auto" w:fill="auto"/>
          </w:tcPr>
          <w:p w14:paraId="674D315F" w14:textId="722FA244" w:rsidR="002144B3" w:rsidRPr="00E16F4B" w:rsidRDefault="00AA4ABF" w:rsidP="0053314B">
            <w:pPr>
              <w:tabs>
                <w:tab w:val="left" w:pos="7920"/>
              </w:tabs>
              <w:rPr>
                <w:b/>
                <w:sz w:val="22"/>
                <w:szCs w:val="22"/>
              </w:rPr>
            </w:pPr>
            <w:r w:rsidRPr="00E16F4B">
              <w:rPr>
                <w:b/>
                <w:sz w:val="22"/>
                <w:szCs w:val="22"/>
              </w:rPr>
              <w:t>Benefits:</w:t>
            </w:r>
            <w:r w:rsidR="00BE251F" w:rsidRPr="00E16F4B">
              <w:rPr>
                <w:b/>
                <w:sz w:val="22"/>
                <w:szCs w:val="22"/>
              </w:rPr>
              <w:t xml:space="preserve"> </w:t>
            </w:r>
          </w:p>
        </w:tc>
        <w:tc>
          <w:tcPr>
            <w:tcW w:w="1979" w:type="dxa"/>
            <w:shd w:val="clear" w:color="auto" w:fill="auto"/>
          </w:tcPr>
          <w:p w14:paraId="176BECB8" w14:textId="3259DC48" w:rsidR="002144B3" w:rsidRPr="00E16F4B" w:rsidRDefault="00AA4ABF" w:rsidP="0053314B">
            <w:pPr>
              <w:tabs>
                <w:tab w:val="left" w:pos="7920"/>
              </w:tabs>
              <w:rPr>
                <w:b/>
                <w:sz w:val="22"/>
                <w:szCs w:val="22"/>
              </w:rPr>
            </w:pPr>
            <w:r w:rsidRPr="00E16F4B">
              <w:rPr>
                <w:b/>
                <w:sz w:val="22"/>
                <w:szCs w:val="22"/>
              </w:rPr>
              <w:t>Net:</w:t>
            </w:r>
            <w:r w:rsidR="00BE251F" w:rsidRPr="00E16F4B">
              <w:rPr>
                <w:b/>
                <w:sz w:val="22"/>
                <w:szCs w:val="22"/>
              </w:rPr>
              <w:t xml:space="preserve"> </w:t>
            </w:r>
          </w:p>
        </w:tc>
        <w:tc>
          <w:tcPr>
            <w:tcW w:w="1134" w:type="dxa"/>
            <w:shd w:val="clear" w:color="auto" w:fill="auto"/>
          </w:tcPr>
          <w:p w14:paraId="22651534" w14:textId="77777777" w:rsidR="002144B3" w:rsidRPr="00DA3AE2" w:rsidRDefault="002144B3" w:rsidP="001577E1">
            <w:pPr>
              <w:tabs>
                <w:tab w:val="left" w:pos="7920"/>
              </w:tabs>
              <w:rPr>
                <w:b/>
                <w:sz w:val="22"/>
                <w:szCs w:val="22"/>
              </w:rPr>
            </w:pPr>
          </w:p>
        </w:tc>
        <w:tc>
          <w:tcPr>
            <w:tcW w:w="2420" w:type="dxa"/>
            <w:shd w:val="clear" w:color="auto" w:fill="auto"/>
          </w:tcPr>
          <w:p w14:paraId="30A98E4C" w14:textId="77777777" w:rsidR="002144B3" w:rsidRPr="005663A8" w:rsidRDefault="002144B3" w:rsidP="001577E1">
            <w:pPr>
              <w:tabs>
                <w:tab w:val="left" w:pos="7920"/>
              </w:tabs>
              <w:rPr>
                <w:bCs/>
                <w:sz w:val="20"/>
              </w:rPr>
            </w:pPr>
          </w:p>
          <w:p w14:paraId="1AEB34E0" w14:textId="36981D67" w:rsidR="005663A8" w:rsidRPr="005663A8" w:rsidRDefault="005663A8" w:rsidP="001577E1">
            <w:pPr>
              <w:tabs>
                <w:tab w:val="left" w:pos="7920"/>
              </w:tabs>
              <w:rPr>
                <w:bCs/>
                <w:sz w:val="20"/>
              </w:rPr>
            </w:pPr>
            <w:r w:rsidRPr="005663A8">
              <w:rPr>
                <w:bCs/>
                <w:sz w:val="20"/>
              </w:rPr>
              <w:t>A significant portion of the cost of ammonia reduction either now or in the future is likely to fall on businesses. These specific costs will be identified as regulation is proposed.</w:t>
            </w:r>
          </w:p>
        </w:tc>
      </w:tr>
    </w:tbl>
    <w:p w14:paraId="6CAB4A4C" w14:textId="77777777" w:rsidR="002144B3" w:rsidRPr="00DA3AE2" w:rsidRDefault="002144B3" w:rsidP="002144B3">
      <w:pPr>
        <w:tabs>
          <w:tab w:val="left" w:pos="7920"/>
        </w:tabs>
        <w:rPr>
          <w:sz w:val="20"/>
        </w:rPr>
      </w:pPr>
    </w:p>
    <w:p w14:paraId="024E32A2" w14:textId="3ADC7863" w:rsidR="002144B3" w:rsidRPr="005162DF" w:rsidRDefault="00CF1552" w:rsidP="002144B3">
      <w:pPr>
        <w:tabs>
          <w:tab w:val="left" w:pos="7920"/>
        </w:tabs>
        <w:rPr>
          <w:b/>
          <w:bCs/>
          <w:sz w:val="22"/>
          <w:szCs w:val="22"/>
        </w:rPr>
      </w:pPr>
      <w:r w:rsidRPr="00DA3AE2">
        <w:rPr>
          <w:b/>
          <w:sz w:val="22"/>
          <w:szCs w:val="22"/>
        </w:rPr>
        <w:t>Cross Border Issues</w:t>
      </w:r>
      <w:r w:rsidR="00F77F41" w:rsidRPr="00DA3AE2">
        <w:rPr>
          <w:b/>
          <w:sz w:val="22"/>
          <w:szCs w:val="22"/>
        </w:rPr>
        <w:t xml:space="preserve"> (Option</w:t>
      </w:r>
      <w:r w:rsidR="005162DF">
        <w:rPr>
          <w:sz w:val="20"/>
        </w:rPr>
        <w:t xml:space="preserve"> </w:t>
      </w:r>
      <w:r w:rsidR="005162DF" w:rsidRPr="005162DF">
        <w:rPr>
          <w:b/>
          <w:bCs/>
          <w:sz w:val="20"/>
        </w:rPr>
        <w:t>2</w:t>
      </w:r>
      <w:r w:rsidR="003403CC" w:rsidRPr="005162DF">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AA4ABF" w:rsidRPr="00DA3AE2" w14:paraId="08390B8A" w14:textId="77777777" w:rsidTr="003F0549">
        <w:trPr>
          <w:trHeight w:hRule="exact" w:val="2114"/>
        </w:trPr>
        <w:tc>
          <w:tcPr>
            <w:tcW w:w="10296" w:type="dxa"/>
            <w:shd w:val="clear" w:color="auto" w:fill="auto"/>
          </w:tcPr>
          <w:p w14:paraId="0CF92F6C" w14:textId="77777777" w:rsidR="00AA4ABF" w:rsidRPr="00DA3AE2" w:rsidRDefault="00AA4ABF" w:rsidP="001577E1">
            <w:pPr>
              <w:tabs>
                <w:tab w:val="left" w:pos="7920"/>
              </w:tabs>
              <w:rPr>
                <w:sz w:val="20"/>
              </w:rPr>
            </w:pPr>
            <w:r w:rsidRPr="00DA3AE2">
              <w:rPr>
                <w:b/>
                <w:sz w:val="20"/>
              </w:rPr>
              <w:t xml:space="preserve">How does this option compare to other UK regions and to other EU Member States (particularly Republic of Ireland) </w:t>
            </w:r>
            <w:r w:rsidRPr="00DA3AE2">
              <w:rPr>
                <w:sz w:val="20"/>
              </w:rPr>
              <w:t>Maximum 3 lines</w:t>
            </w:r>
          </w:p>
          <w:p w14:paraId="4E9CE90D" w14:textId="77777777" w:rsidR="003F0549" w:rsidRPr="00DA3AE2" w:rsidRDefault="003F0549" w:rsidP="00D450E4">
            <w:pPr>
              <w:tabs>
                <w:tab w:val="left" w:pos="7920"/>
              </w:tabs>
              <w:rPr>
                <w:sz w:val="20"/>
              </w:rPr>
            </w:pPr>
          </w:p>
          <w:p w14:paraId="74A565A3" w14:textId="1DDD663F" w:rsidR="00A504FC" w:rsidRPr="00DA3AE2" w:rsidRDefault="003F0549" w:rsidP="005D1836">
            <w:pPr>
              <w:tabs>
                <w:tab w:val="left" w:pos="7920"/>
              </w:tabs>
              <w:rPr>
                <w:sz w:val="20"/>
              </w:rPr>
            </w:pPr>
            <w:r w:rsidRPr="00DA3AE2">
              <w:rPr>
                <w:sz w:val="20"/>
              </w:rPr>
              <w:t>Each UK region is obliged to contribute to the overall U</w:t>
            </w:r>
            <w:r w:rsidR="005D1836" w:rsidRPr="00DA3AE2">
              <w:rPr>
                <w:sz w:val="20"/>
              </w:rPr>
              <w:t>K</w:t>
            </w:r>
            <w:r w:rsidRPr="00DA3AE2">
              <w:rPr>
                <w:sz w:val="20"/>
              </w:rPr>
              <w:t xml:space="preserve"> ammonia reduction of 16% from 2005 levels by 2030. Defra have outlined their plans to reduce ammonia through requirements on urea fertiliser, low emission slurry spreading, slurry store </w:t>
            </w:r>
            <w:r w:rsidR="005345B3" w:rsidRPr="00DA3AE2">
              <w:rPr>
                <w:sz w:val="20"/>
              </w:rPr>
              <w:t>c</w:t>
            </w:r>
            <w:r w:rsidRPr="00DA3AE2">
              <w:rPr>
                <w:sz w:val="20"/>
              </w:rPr>
              <w:t>overs and extension of environmental permitting. ROI analysis suggests similar measures will be taken to those proposed in NI</w:t>
            </w:r>
            <w:r w:rsidRPr="00DA3AE2">
              <w:rPr>
                <w:rStyle w:val="FootnoteReference"/>
                <w:sz w:val="20"/>
              </w:rPr>
              <w:footnoteReference w:id="2"/>
            </w:r>
            <w:r w:rsidRPr="00DA3AE2">
              <w:rPr>
                <w:sz w:val="20"/>
              </w:rPr>
              <w:t>.</w:t>
            </w:r>
          </w:p>
        </w:tc>
      </w:tr>
    </w:tbl>
    <w:p w14:paraId="0F7C6136" w14:textId="77777777" w:rsidR="00441982" w:rsidRPr="00DA3AE2" w:rsidRDefault="00441982" w:rsidP="003D6EAD">
      <w:pPr>
        <w:tabs>
          <w:tab w:val="left" w:pos="7920"/>
        </w:tabs>
        <w:rPr>
          <w:sz w:val="28"/>
          <w:szCs w:val="28"/>
        </w:rPr>
      </w:pPr>
    </w:p>
    <w:p w14:paraId="31AA114F" w14:textId="77777777" w:rsidR="005D1836" w:rsidRPr="00DA3AE2" w:rsidRDefault="005D1836">
      <w:pPr>
        <w:rPr>
          <w:sz w:val="28"/>
          <w:szCs w:val="28"/>
        </w:rPr>
      </w:pPr>
    </w:p>
    <w:p w14:paraId="6466E27B" w14:textId="77777777" w:rsidR="005D1836" w:rsidRPr="00DA3AE2" w:rsidRDefault="005D1836">
      <w:pPr>
        <w:rPr>
          <w:sz w:val="28"/>
          <w:szCs w:val="28"/>
        </w:rPr>
      </w:pPr>
    </w:p>
    <w:p w14:paraId="5A0B8045" w14:textId="77777777" w:rsidR="005D1836" w:rsidRPr="00DA3AE2" w:rsidRDefault="005D1836" w:rsidP="005D1836">
      <w:pPr>
        <w:tabs>
          <w:tab w:val="left" w:pos="7797"/>
        </w:tabs>
        <w:rPr>
          <w:sz w:val="28"/>
          <w:szCs w:val="28"/>
        </w:rPr>
      </w:pPr>
      <w:r w:rsidRPr="00DA3AE2">
        <w:rPr>
          <w:sz w:val="28"/>
          <w:szCs w:val="28"/>
        </w:rPr>
        <w:br w:type="page"/>
      </w:r>
      <w:r w:rsidRPr="00DA3AE2">
        <w:rPr>
          <w:sz w:val="28"/>
          <w:szCs w:val="28"/>
        </w:rPr>
        <w:lastRenderedPageBreak/>
        <w:t xml:space="preserve">Summary: Analysis and Evidence </w:t>
      </w:r>
      <w:r w:rsidRPr="00DA3AE2">
        <w:rPr>
          <w:sz w:val="28"/>
          <w:szCs w:val="28"/>
        </w:rPr>
        <w:tab/>
        <w:t>Policy Option 3</w:t>
      </w:r>
    </w:p>
    <w:p w14:paraId="0644AD03" w14:textId="068ABC0F" w:rsidR="005D1836" w:rsidRPr="00DA3AE2" w:rsidRDefault="005D1836" w:rsidP="005D1836">
      <w:pPr>
        <w:tabs>
          <w:tab w:val="left" w:pos="7920"/>
        </w:tabs>
        <w:rPr>
          <w:sz w:val="22"/>
          <w:szCs w:val="22"/>
        </w:rPr>
      </w:pPr>
      <w:r w:rsidRPr="00DA3AE2">
        <w:rPr>
          <w:sz w:val="22"/>
          <w:szCs w:val="22"/>
        </w:rPr>
        <w:t xml:space="preserve">Description: </w:t>
      </w:r>
      <w:r w:rsidR="008A17B8" w:rsidRPr="00DA3AE2">
        <w:rPr>
          <w:sz w:val="20"/>
        </w:rPr>
        <w:t>Develop and implement an Ammonia Strategy including the full range of feasible ammonia reduction measures (25 to 28% ammonia reduction)</w:t>
      </w:r>
    </w:p>
    <w:p w14:paraId="13AE0CAE" w14:textId="77777777" w:rsidR="005D1836" w:rsidRPr="00DA3AE2" w:rsidRDefault="005D1836" w:rsidP="005D1836">
      <w:pPr>
        <w:tabs>
          <w:tab w:val="left" w:pos="7920"/>
        </w:tabs>
        <w:rPr>
          <w:sz w:val="22"/>
          <w:szCs w:val="22"/>
        </w:rPr>
      </w:pPr>
    </w:p>
    <w:p w14:paraId="172938B8" w14:textId="77777777" w:rsidR="005D1836" w:rsidRPr="00DA3AE2" w:rsidRDefault="005D1836" w:rsidP="005D1836">
      <w:pPr>
        <w:tabs>
          <w:tab w:val="left" w:pos="7920"/>
        </w:tabs>
        <w:rPr>
          <w:sz w:val="22"/>
          <w:szCs w:val="22"/>
        </w:rPr>
      </w:pPr>
    </w:p>
    <w:p w14:paraId="2371A597" w14:textId="77777777" w:rsidR="005D1836" w:rsidRPr="00DA3AE2" w:rsidRDefault="005D1836" w:rsidP="005D1836">
      <w:pPr>
        <w:tabs>
          <w:tab w:val="left" w:pos="7920"/>
        </w:tabs>
        <w:rPr>
          <w:sz w:val="22"/>
          <w:szCs w:val="22"/>
        </w:rPr>
      </w:pPr>
    </w:p>
    <w:p w14:paraId="59EA54EA" w14:textId="77777777" w:rsidR="005D1836" w:rsidRPr="00DA3AE2" w:rsidRDefault="005D1836" w:rsidP="005D1836">
      <w:pPr>
        <w:tabs>
          <w:tab w:val="left" w:pos="7920"/>
        </w:tabs>
        <w:rPr>
          <w:b/>
          <w:sz w:val="22"/>
          <w:szCs w:val="22"/>
        </w:rPr>
      </w:pPr>
      <w:r w:rsidRPr="00DA3AE2">
        <w:rPr>
          <w:b/>
          <w:sz w:val="22"/>
          <w:szCs w:val="22"/>
        </w:rPr>
        <w:t>ECONOMIC ASSESSMENT (</w:t>
      </w:r>
      <w:r w:rsidRPr="00DA3AE2">
        <w:rPr>
          <w:b/>
          <w:szCs w:val="24"/>
        </w:rPr>
        <w:t xml:space="preserve">Option </w:t>
      </w:r>
      <w:r w:rsidR="00286FB2" w:rsidRPr="00DA3AE2">
        <w:rPr>
          <w:b/>
          <w:szCs w:val="24"/>
        </w:rPr>
        <w:t>3</w:t>
      </w:r>
      <w:r w:rsidRPr="00DA3AE2">
        <w:rPr>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231"/>
        <w:gridCol w:w="709"/>
        <w:gridCol w:w="2976"/>
        <w:gridCol w:w="2137"/>
      </w:tblGrid>
      <w:tr w:rsidR="005D1836" w:rsidRPr="00DA3AE2" w14:paraId="2E04ED50" w14:textId="77777777" w:rsidTr="00247434">
        <w:tc>
          <w:tcPr>
            <w:tcW w:w="2017" w:type="dxa"/>
            <w:tcBorders>
              <w:bottom w:val="nil"/>
            </w:tcBorders>
            <w:shd w:val="clear" w:color="auto" w:fill="auto"/>
          </w:tcPr>
          <w:p w14:paraId="0DC884A8" w14:textId="77777777" w:rsidR="005D1836" w:rsidRPr="00DA3AE2" w:rsidRDefault="005D1836" w:rsidP="005D1836">
            <w:pPr>
              <w:tabs>
                <w:tab w:val="left" w:pos="7920"/>
              </w:tabs>
              <w:rPr>
                <w:b/>
                <w:sz w:val="22"/>
                <w:szCs w:val="22"/>
              </w:rPr>
            </w:pPr>
            <w:r w:rsidRPr="00DA3AE2">
              <w:rPr>
                <w:b/>
                <w:sz w:val="22"/>
                <w:szCs w:val="22"/>
              </w:rPr>
              <w:t>Costs (£m)</w:t>
            </w:r>
          </w:p>
        </w:tc>
        <w:tc>
          <w:tcPr>
            <w:tcW w:w="2940" w:type="dxa"/>
            <w:gridSpan w:val="2"/>
            <w:tcBorders>
              <w:bottom w:val="nil"/>
            </w:tcBorders>
            <w:shd w:val="clear" w:color="auto" w:fill="auto"/>
          </w:tcPr>
          <w:p w14:paraId="6095C6DE" w14:textId="77777777" w:rsidR="005D1836" w:rsidRPr="00DA3AE2" w:rsidRDefault="005D1836" w:rsidP="005D1836">
            <w:pPr>
              <w:tabs>
                <w:tab w:val="left" w:pos="7920"/>
              </w:tabs>
              <w:rPr>
                <w:b/>
                <w:sz w:val="22"/>
                <w:szCs w:val="22"/>
              </w:rPr>
            </w:pPr>
            <w:r w:rsidRPr="00DA3AE2">
              <w:rPr>
                <w:b/>
                <w:sz w:val="22"/>
                <w:szCs w:val="22"/>
              </w:rPr>
              <w:t>Total Transitional (Policy)</w:t>
            </w:r>
          </w:p>
        </w:tc>
        <w:tc>
          <w:tcPr>
            <w:tcW w:w="2976" w:type="dxa"/>
            <w:tcBorders>
              <w:bottom w:val="nil"/>
            </w:tcBorders>
            <w:shd w:val="clear" w:color="auto" w:fill="auto"/>
          </w:tcPr>
          <w:p w14:paraId="6CFB286F" w14:textId="77777777" w:rsidR="005D1836" w:rsidRPr="00DA3AE2" w:rsidRDefault="005D1836" w:rsidP="00247434">
            <w:pPr>
              <w:tabs>
                <w:tab w:val="left" w:pos="7920"/>
              </w:tabs>
              <w:jc w:val="center"/>
              <w:rPr>
                <w:b/>
                <w:sz w:val="22"/>
                <w:szCs w:val="22"/>
              </w:rPr>
            </w:pPr>
            <w:r w:rsidRPr="00DA3AE2">
              <w:rPr>
                <w:b/>
                <w:sz w:val="22"/>
                <w:szCs w:val="22"/>
              </w:rPr>
              <w:t>Average Annual (recurring)</w:t>
            </w:r>
          </w:p>
        </w:tc>
        <w:tc>
          <w:tcPr>
            <w:tcW w:w="2137" w:type="dxa"/>
            <w:tcBorders>
              <w:bottom w:val="nil"/>
            </w:tcBorders>
            <w:shd w:val="clear" w:color="auto" w:fill="auto"/>
          </w:tcPr>
          <w:p w14:paraId="7A4B18D7" w14:textId="77777777" w:rsidR="005D1836" w:rsidRPr="00DA3AE2" w:rsidRDefault="005D1836" w:rsidP="00247434">
            <w:pPr>
              <w:tabs>
                <w:tab w:val="left" w:pos="7920"/>
              </w:tabs>
              <w:jc w:val="center"/>
              <w:rPr>
                <w:b/>
                <w:sz w:val="22"/>
                <w:szCs w:val="22"/>
              </w:rPr>
            </w:pPr>
            <w:r w:rsidRPr="00DA3AE2">
              <w:rPr>
                <w:b/>
                <w:sz w:val="22"/>
                <w:szCs w:val="22"/>
              </w:rPr>
              <w:t>Total Cost</w:t>
            </w:r>
          </w:p>
        </w:tc>
      </w:tr>
      <w:tr w:rsidR="005D1836" w:rsidRPr="00DA3AE2" w14:paraId="07C1ECB1" w14:textId="77777777" w:rsidTr="009211B3">
        <w:tc>
          <w:tcPr>
            <w:tcW w:w="2017" w:type="dxa"/>
            <w:tcBorders>
              <w:top w:val="nil"/>
            </w:tcBorders>
            <w:shd w:val="clear" w:color="auto" w:fill="auto"/>
          </w:tcPr>
          <w:p w14:paraId="0E10DD9F" w14:textId="77777777" w:rsidR="005D1836" w:rsidRPr="00DA3AE2" w:rsidRDefault="005D1836" w:rsidP="005D1836">
            <w:pPr>
              <w:tabs>
                <w:tab w:val="left" w:pos="7920"/>
              </w:tabs>
              <w:rPr>
                <w:sz w:val="18"/>
                <w:szCs w:val="18"/>
              </w:rPr>
            </w:pPr>
          </w:p>
        </w:tc>
        <w:tc>
          <w:tcPr>
            <w:tcW w:w="2231" w:type="dxa"/>
            <w:tcBorders>
              <w:top w:val="nil"/>
              <w:right w:val="nil"/>
            </w:tcBorders>
            <w:shd w:val="clear" w:color="auto" w:fill="auto"/>
          </w:tcPr>
          <w:p w14:paraId="3812E225" w14:textId="77777777" w:rsidR="005D1836" w:rsidRPr="00DA3AE2" w:rsidRDefault="005D1836" w:rsidP="005D1836">
            <w:pPr>
              <w:tabs>
                <w:tab w:val="left" w:pos="7920"/>
              </w:tabs>
              <w:jc w:val="right"/>
              <w:rPr>
                <w:sz w:val="18"/>
                <w:szCs w:val="18"/>
              </w:rPr>
            </w:pPr>
            <w:r w:rsidRPr="00DA3AE2">
              <w:rPr>
                <w:sz w:val="18"/>
                <w:szCs w:val="18"/>
              </w:rPr>
              <w:t>(</w:t>
            </w:r>
            <w:proofErr w:type="gramStart"/>
            <w:r w:rsidRPr="00DA3AE2">
              <w:rPr>
                <w:sz w:val="18"/>
                <w:szCs w:val="18"/>
              </w:rPr>
              <w:t>constant</w:t>
            </w:r>
            <w:proofErr w:type="gramEnd"/>
            <w:r w:rsidRPr="00DA3AE2">
              <w:rPr>
                <w:sz w:val="18"/>
                <w:szCs w:val="18"/>
              </w:rPr>
              <w:t xml:space="preserve"> price)</w:t>
            </w:r>
          </w:p>
        </w:tc>
        <w:tc>
          <w:tcPr>
            <w:tcW w:w="709" w:type="dxa"/>
            <w:tcBorders>
              <w:top w:val="nil"/>
              <w:left w:val="nil"/>
            </w:tcBorders>
            <w:shd w:val="clear" w:color="auto" w:fill="auto"/>
          </w:tcPr>
          <w:p w14:paraId="477A86EC" w14:textId="77777777" w:rsidR="005D1836" w:rsidRPr="00DA3AE2" w:rsidRDefault="005D1836" w:rsidP="005D1836">
            <w:pPr>
              <w:tabs>
                <w:tab w:val="left" w:pos="7920"/>
              </w:tabs>
              <w:jc w:val="right"/>
              <w:rPr>
                <w:sz w:val="18"/>
                <w:szCs w:val="18"/>
              </w:rPr>
            </w:pPr>
            <w:r w:rsidRPr="00DA3AE2">
              <w:rPr>
                <w:sz w:val="18"/>
                <w:szCs w:val="18"/>
              </w:rPr>
              <w:t>Years</w:t>
            </w:r>
          </w:p>
        </w:tc>
        <w:tc>
          <w:tcPr>
            <w:tcW w:w="2976" w:type="dxa"/>
            <w:tcBorders>
              <w:top w:val="nil"/>
            </w:tcBorders>
            <w:shd w:val="clear" w:color="auto" w:fill="auto"/>
          </w:tcPr>
          <w:p w14:paraId="4296F1A3" w14:textId="77777777" w:rsidR="005D1836" w:rsidRPr="00DA3AE2" w:rsidRDefault="005D1836" w:rsidP="005D1836">
            <w:pPr>
              <w:tabs>
                <w:tab w:val="left" w:pos="7920"/>
              </w:tabs>
              <w:jc w:val="right"/>
              <w:rPr>
                <w:sz w:val="18"/>
                <w:szCs w:val="18"/>
              </w:rPr>
            </w:pPr>
            <w:r w:rsidRPr="00DA3AE2">
              <w:rPr>
                <w:sz w:val="18"/>
                <w:szCs w:val="18"/>
              </w:rPr>
              <w:t>(excl. transitional) (constant price)</w:t>
            </w:r>
          </w:p>
        </w:tc>
        <w:tc>
          <w:tcPr>
            <w:tcW w:w="2137" w:type="dxa"/>
            <w:tcBorders>
              <w:top w:val="nil"/>
            </w:tcBorders>
            <w:shd w:val="clear" w:color="auto" w:fill="auto"/>
          </w:tcPr>
          <w:p w14:paraId="33C0D541" w14:textId="77777777" w:rsidR="005D1836" w:rsidRPr="00DA3AE2" w:rsidRDefault="005D1836" w:rsidP="005D1836">
            <w:pPr>
              <w:tabs>
                <w:tab w:val="left" w:pos="7920"/>
              </w:tabs>
              <w:jc w:val="right"/>
              <w:rPr>
                <w:sz w:val="18"/>
                <w:szCs w:val="18"/>
              </w:rPr>
            </w:pPr>
            <w:r w:rsidRPr="00DA3AE2">
              <w:rPr>
                <w:sz w:val="18"/>
                <w:szCs w:val="18"/>
              </w:rPr>
              <w:t>(Present Value)</w:t>
            </w:r>
          </w:p>
        </w:tc>
      </w:tr>
      <w:tr w:rsidR="00413BA2" w:rsidRPr="00DA3AE2" w14:paraId="102CB354" w14:textId="77777777" w:rsidTr="009211B3">
        <w:trPr>
          <w:trHeight w:hRule="exact" w:val="389"/>
        </w:trPr>
        <w:tc>
          <w:tcPr>
            <w:tcW w:w="2017" w:type="dxa"/>
            <w:shd w:val="clear" w:color="auto" w:fill="auto"/>
          </w:tcPr>
          <w:p w14:paraId="35A2001E" w14:textId="77777777" w:rsidR="00413BA2" w:rsidRPr="00DA3AE2" w:rsidRDefault="00413BA2" w:rsidP="00413BA2">
            <w:pPr>
              <w:tabs>
                <w:tab w:val="left" w:pos="7920"/>
              </w:tabs>
              <w:rPr>
                <w:b/>
                <w:sz w:val="22"/>
                <w:szCs w:val="22"/>
              </w:rPr>
            </w:pPr>
            <w:r w:rsidRPr="00DA3AE2">
              <w:rPr>
                <w:b/>
                <w:sz w:val="22"/>
                <w:szCs w:val="22"/>
              </w:rPr>
              <w:t>Low</w:t>
            </w:r>
          </w:p>
        </w:tc>
        <w:tc>
          <w:tcPr>
            <w:tcW w:w="2231" w:type="dxa"/>
            <w:shd w:val="clear" w:color="auto" w:fill="auto"/>
            <w:vAlign w:val="center"/>
          </w:tcPr>
          <w:p w14:paraId="22EB531F" w14:textId="77777777" w:rsidR="00413BA2" w:rsidRPr="00DA3AE2" w:rsidRDefault="00413BA2" w:rsidP="00413BA2">
            <w:pPr>
              <w:tabs>
                <w:tab w:val="left" w:pos="7920"/>
              </w:tabs>
              <w:jc w:val="right"/>
              <w:rPr>
                <w:b/>
                <w:sz w:val="16"/>
                <w:szCs w:val="16"/>
              </w:rPr>
            </w:pPr>
          </w:p>
        </w:tc>
        <w:tc>
          <w:tcPr>
            <w:tcW w:w="709" w:type="dxa"/>
            <w:vMerge w:val="restart"/>
            <w:shd w:val="clear" w:color="auto" w:fill="auto"/>
          </w:tcPr>
          <w:p w14:paraId="38E08608" w14:textId="1440D1CF" w:rsidR="00413BA2" w:rsidRPr="00DA3AE2" w:rsidRDefault="005162DF" w:rsidP="00413BA2">
            <w:pPr>
              <w:tabs>
                <w:tab w:val="left" w:pos="7920"/>
              </w:tabs>
              <w:rPr>
                <w:b/>
                <w:sz w:val="22"/>
                <w:szCs w:val="22"/>
              </w:rPr>
            </w:pPr>
            <w:r>
              <w:rPr>
                <w:b/>
                <w:sz w:val="22"/>
                <w:szCs w:val="22"/>
              </w:rPr>
              <w:t>5</w:t>
            </w:r>
            <w:r w:rsidR="00072E56">
              <w:rPr>
                <w:b/>
                <w:sz w:val="22"/>
                <w:szCs w:val="22"/>
              </w:rPr>
              <w:t xml:space="preserve"> – 10 </w:t>
            </w:r>
            <w:proofErr w:type="spellStart"/>
            <w:r w:rsidR="00072E56">
              <w:rPr>
                <w:b/>
                <w:sz w:val="22"/>
                <w:szCs w:val="22"/>
              </w:rPr>
              <w:t>yrs</w:t>
            </w:r>
            <w:proofErr w:type="spellEnd"/>
          </w:p>
        </w:tc>
        <w:tc>
          <w:tcPr>
            <w:tcW w:w="2976" w:type="dxa"/>
            <w:shd w:val="clear" w:color="auto" w:fill="auto"/>
            <w:vAlign w:val="center"/>
          </w:tcPr>
          <w:p w14:paraId="1882BC79" w14:textId="06AB0290" w:rsidR="00247434" w:rsidRPr="001E1CF0" w:rsidRDefault="001E1CF0" w:rsidP="001E1CF0">
            <w:pPr>
              <w:tabs>
                <w:tab w:val="left" w:pos="7920"/>
              </w:tabs>
              <w:jc w:val="center"/>
              <w:rPr>
                <w:b/>
                <w:sz w:val="22"/>
                <w:szCs w:val="22"/>
              </w:rPr>
            </w:pPr>
            <w:r>
              <w:rPr>
                <w:b/>
                <w:sz w:val="22"/>
                <w:szCs w:val="22"/>
              </w:rPr>
              <w:t>£31.24</w:t>
            </w:r>
            <w:r w:rsidR="00FD54B6">
              <w:rPr>
                <w:b/>
                <w:sz w:val="22"/>
                <w:szCs w:val="22"/>
              </w:rPr>
              <w:t xml:space="preserve"> m</w:t>
            </w:r>
          </w:p>
        </w:tc>
        <w:tc>
          <w:tcPr>
            <w:tcW w:w="2137" w:type="dxa"/>
            <w:shd w:val="clear" w:color="auto" w:fill="auto"/>
            <w:vAlign w:val="center"/>
          </w:tcPr>
          <w:p w14:paraId="6A852015" w14:textId="7259C41B" w:rsidR="00413BA2" w:rsidRPr="005663A8" w:rsidRDefault="00413BA2" w:rsidP="00413BA2">
            <w:pPr>
              <w:tabs>
                <w:tab w:val="left" w:pos="7920"/>
              </w:tabs>
              <w:jc w:val="right"/>
              <w:rPr>
                <w:b/>
                <w:sz w:val="22"/>
                <w:szCs w:val="22"/>
              </w:rPr>
            </w:pPr>
          </w:p>
        </w:tc>
      </w:tr>
      <w:tr w:rsidR="00413BA2" w:rsidRPr="00DA3AE2" w14:paraId="51DC4DA8" w14:textId="77777777" w:rsidTr="009211B3">
        <w:trPr>
          <w:trHeight w:hRule="exact" w:val="422"/>
        </w:trPr>
        <w:tc>
          <w:tcPr>
            <w:tcW w:w="2017" w:type="dxa"/>
            <w:tcBorders>
              <w:bottom w:val="single" w:sz="12" w:space="0" w:color="auto"/>
            </w:tcBorders>
            <w:shd w:val="clear" w:color="auto" w:fill="auto"/>
          </w:tcPr>
          <w:p w14:paraId="1DE84DFF" w14:textId="77777777" w:rsidR="00413BA2" w:rsidRPr="00DA3AE2" w:rsidRDefault="00413BA2" w:rsidP="00413BA2">
            <w:pPr>
              <w:tabs>
                <w:tab w:val="left" w:pos="7920"/>
              </w:tabs>
              <w:rPr>
                <w:b/>
                <w:sz w:val="22"/>
                <w:szCs w:val="22"/>
              </w:rPr>
            </w:pPr>
            <w:r w:rsidRPr="00DA3AE2">
              <w:rPr>
                <w:b/>
                <w:sz w:val="22"/>
                <w:szCs w:val="22"/>
              </w:rPr>
              <w:t>High</w:t>
            </w:r>
          </w:p>
        </w:tc>
        <w:tc>
          <w:tcPr>
            <w:tcW w:w="2231" w:type="dxa"/>
            <w:tcBorders>
              <w:bottom w:val="single" w:sz="12" w:space="0" w:color="auto"/>
            </w:tcBorders>
            <w:shd w:val="clear" w:color="auto" w:fill="auto"/>
            <w:vAlign w:val="center"/>
          </w:tcPr>
          <w:p w14:paraId="7404F71E" w14:textId="77777777" w:rsidR="00413BA2" w:rsidRPr="00DA3AE2" w:rsidRDefault="00413BA2" w:rsidP="00413BA2">
            <w:pPr>
              <w:tabs>
                <w:tab w:val="left" w:pos="7920"/>
              </w:tabs>
              <w:jc w:val="right"/>
              <w:rPr>
                <w:b/>
                <w:sz w:val="16"/>
                <w:szCs w:val="16"/>
              </w:rPr>
            </w:pPr>
          </w:p>
        </w:tc>
        <w:tc>
          <w:tcPr>
            <w:tcW w:w="709" w:type="dxa"/>
            <w:vMerge/>
            <w:tcBorders>
              <w:bottom w:val="single" w:sz="12" w:space="0" w:color="auto"/>
            </w:tcBorders>
            <w:shd w:val="clear" w:color="auto" w:fill="auto"/>
          </w:tcPr>
          <w:p w14:paraId="7D891EAC" w14:textId="77777777" w:rsidR="00413BA2" w:rsidRPr="00DA3AE2" w:rsidRDefault="00413BA2" w:rsidP="00413BA2">
            <w:pPr>
              <w:tabs>
                <w:tab w:val="left" w:pos="7920"/>
              </w:tabs>
              <w:jc w:val="right"/>
              <w:rPr>
                <w:b/>
                <w:sz w:val="22"/>
                <w:szCs w:val="22"/>
              </w:rPr>
            </w:pPr>
          </w:p>
        </w:tc>
        <w:tc>
          <w:tcPr>
            <w:tcW w:w="2976" w:type="dxa"/>
            <w:tcBorders>
              <w:bottom w:val="single" w:sz="12" w:space="0" w:color="auto"/>
            </w:tcBorders>
            <w:shd w:val="clear" w:color="auto" w:fill="auto"/>
            <w:vAlign w:val="center"/>
          </w:tcPr>
          <w:p w14:paraId="106AB887" w14:textId="0934E50E" w:rsidR="00413BA2" w:rsidRPr="001E1CF0" w:rsidRDefault="001E1CF0" w:rsidP="005162DF">
            <w:pPr>
              <w:tabs>
                <w:tab w:val="left" w:pos="7920"/>
              </w:tabs>
              <w:jc w:val="center"/>
              <w:rPr>
                <w:b/>
                <w:sz w:val="22"/>
                <w:szCs w:val="22"/>
              </w:rPr>
            </w:pPr>
            <w:r>
              <w:rPr>
                <w:b/>
                <w:sz w:val="22"/>
                <w:szCs w:val="22"/>
              </w:rPr>
              <w:t>£43.65</w:t>
            </w:r>
            <w:r w:rsidR="00FD54B6">
              <w:rPr>
                <w:b/>
                <w:sz w:val="22"/>
                <w:szCs w:val="22"/>
              </w:rPr>
              <w:t xml:space="preserve"> m</w:t>
            </w:r>
          </w:p>
        </w:tc>
        <w:tc>
          <w:tcPr>
            <w:tcW w:w="2137" w:type="dxa"/>
            <w:tcBorders>
              <w:bottom w:val="single" w:sz="12" w:space="0" w:color="auto"/>
            </w:tcBorders>
            <w:shd w:val="clear" w:color="auto" w:fill="auto"/>
            <w:vAlign w:val="center"/>
          </w:tcPr>
          <w:p w14:paraId="6935D940" w14:textId="15BDBFFA" w:rsidR="00413BA2" w:rsidRPr="005663A8" w:rsidRDefault="00413BA2" w:rsidP="00413BA2">
            <w:pPr>
              <w:tabs>
                <w:tab w:val="left" w:pos="7920"/>
              </w:tabs>
              <w:jc w:val="right"/>
              <w:rPr>
                <w:b/>
                <w:sz w:val="22"/>
                <w:szCs w:val="22"/>
              </w:rPr>
            </w:pPr>
          </w:p>
        </w:tc>
      </w:tr>
      <w:tr w:rsidR="00413BA2" w:rsidRPr="00DA3AE2" w14:paraId="5EB1C9FB" w14:textId="77777777" w:rsidTr="009211B3">
        <w:trPr>
          <w:trHeight w:hRule="exact" w:val="646"/>
        </w:trPr>
        <w:tc>
          <w:tcPr>
            <w:tcW w:w="2017" w:type="dxa"/>
            <w:tcBorders>
              <w:top w:val="single" w:sz="12" w:space="0" w:color="auto"/>
              <w:left w:val="single" w:sz="12" w:space="0" w:color="auto"/>
              <w:bottom w:val="single" w:sz="12" w:space="0" w:color="auto"/>
              <w:right w:val="single" w:sz="12" w:space="0" w:color="auto"/>
            </w:tcBorders>
            <w:shd w:val="clear" w:color="auto" w:fill="auto"/>
          </w:tcPr>
          <w:p w14:paraId="0B9C04F8" w14:textId="77777777" w:rsidR="00413BA2" w:rsidRPr="00DA3AE2" w:rsidRDefault="00413BA2" w:rsidP="00413BA2">
            <w:pPr>
              <w:tabs>
                <w:tab w:val="left" w:pos="7920"/>
              </w:tabs>
              <w:rPr>
                <w:b/>
                <w:sz w:val="22"/>
                <w:szCs w:val="22"/>
              </w:rPr>
            </w:pPr>
            <w:r w:rsidRPr="00DA3AE2">
              <w:rPr>
                <w:b/>
                <w:sz w:val="22"/>
                <w:szCs w:val="22"/>
              </w:rPr>
              <w:t>Best Estimate</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14:paraId="7B7756E3" w14:textId="72B0ADBB" w:rsidR="00413BA2" w:rsidRPr="005B7E1D" w:rsidRDefault="00413BA2" w:rsidP="005B7E1D">
            <w:pPr>
              <w:tabs>
                <w:tab w:val="left" w:pos="7920"/>
              </w:tabs>
              <w:rPr>
                <w:bCs/>
                <w:sz w:val="20"/>
              </w:rPr>
            </w:pPr>
          </w:p>
        </w:tc>
        <w:tc>
          <w:tcPr>
            <w:tcW w:w="709" w:type="dxa"/>
            <w:vMerge/>
            <w:tcBorders>
              <w:top w:val="single" w:sz="12" w:space="0" w:color="auto"/>
              <w:left w:val="single" w:sz="12" w:space="0" w:color="auto"/>
              <w:bottom w:val="single" w:sz="12" w:space="0" w:color="auto"/>
              <w:right w:val="single" w:sz="12" w:space="0" w:color="auto"/>
            </w:tcBorders>
            <w:shd w:val="clear" w:color="auto" w:fill="auto"/>
          </w:tcPr>
          <w:p w14:paraId="2C4D3688" w14:textId="77777777" w:rsidR="00413BA2" w:rsidRPr="00DA3AE2" w:rsidRDefault="00413BA2" w:rsidP="00413BA2">
            <w:pPr>
              <w:tabs>
                <w:tab w:val="left" w:pos="7920"/>
              </w:tabs>
              <w:jc w:val="right"/>
              <w:rPr>
                <w:b/>
                <w:sz w:val="22"/>
                <w:szCs w:val="22"/>
              </w:rPr>
            </w:pPr>
          </w:p>
        </w:tc>
        <w:tc>
          <w:tcPr>
            <w:tcW w:w="2976" w:type="dxa"/>
            <w:tcBorders>
              <w:top w:val="single" w:sz="12" w:space="0" w:color="auto"/>
              <w:left w:val="single" w:sz="12" w:space="0" w:color="auto"/>
              <w:bottom w:val="single" w:sz="12" w:space="0" w:color="auto"/>
              <w:right w:val="single" w:sz="12" w:space="0" w:color="auto"/>
            </w:tcBorders>
            <w:shd w:val="clear" w:color="auto" w:fill="auto"/>
          </w:tcPr>
          <w:p w14:paraId="2931C0D2" w14:textId="64285F2E" w:rsidR="00413BA2" w:rsidRPr="001E1CF0" w:rsidRDefault="001E1CF0" w:rsidP="005162DF">
            <w:pPr>
              <w:tabs>
                <w:tab w:val="left" w:pos="7920"/>
              </w:tabs>
              <w:jc w:val="center"/>
              <w:rPr>
                <w:bCs/>
                <w:sz w:val="22"/>
                <w:szCs w:val="22"/>
              </w:rPr>
            </w:pPr>
            <w:r w:rsidRPr="001E1CF0">
              <w:rPr>
                <w:bCs/>
                <w:sz w:val="22"/>
                <w:szCs w:val="22"/>
              </w:rPr>
              <w:t>Dependent on uptake rates</w:t>
            </w:r>
          </w:p>
        </w:tc>
        <w:tc>
          <w:tcPr>
            <w:tcW w:w="2137" w:type="dxa"/>
            <w:tcBorders>
              <w:top w:val="single" w:sz="12" w:space="0" w:color="auto"/>
              <w:left w:val="single" w:sz="12" w:space="0" w:color="auto"/>
              <w:bottom w:val="single" w:sz="12" w:space="0" w:color="auto"/>
              <w:right w:val="single" w:sz="12" w:space="0" w:color="auto"/>
            </w:tcBorders>
            <w:shd w:val="clear" w:color="auto" w:fill="auto"/>
          </w:tcPr>
          <w:p w14:paraId="74BF01B7" w14:textId="5F716CBF" w:rsidR="00413BA2" w:rsidRPr="005663A8" w:rsidRDefault="00413BA2" w:rsidP="00413BA2">
            <w:pPr>
              <w:tabs>
                <w:tab w:val="left" w:pos="7920"/>
              </w:tabs>
              <w:jc w:val="right"/>
              <w:rPr>
                <w:b/>
                <w:sz w:val="22"/>
                <w:szCs w:val="22"/>
              </w:rPr>
            </w:pPr>
          </w:p>
        </w:tc>
      </w:tr>
      <w:tr w:rsidR="005D1836" w:rsidRPr="00DA3AE2" w14:paraId="7FEB8EB7" w14:textId="77777777" w:rsidTr="00247434">
        <w:trPr>
          <w:trHeight w:hRule="exact" w:val="1673"/>
        </w:trPr>
        <w:tc>
          <w:tcPr>
            <w:tcW w:w="10070" w:type="dxa"/>
            <w:gridSpan w:val="5"/>
            <w:tcBorders>
              <w:top w:val="single" w:sz="12" w:space="0" w:color="auto"/>
            </w:tcBorders>
            <w:shd w:val="clear" w:color="auto" w:fill="auto"/>
          </w:tcPr>
          <w:p w14:paraId="659E8FCD" w14:textId="77777777" w:rsidR="005D1836" w:rsidRPr="00DA3AE2" w:rsidRDefault="005D1836" w:rsidP="005D1836">
            <w:pPr>
              <w:tabs>
                <w:tab w:val="left" w:pos="7920"/>
              </w:tabs>
              <w:rPr>
                <w:sz w:val="20"/>
              </w:rPr>
            </w:pPr>
            <w:r w:rsidRPr="00DA3AE2">
              <w:rPr>
                <w:b/>
                <w:sz w:val="20"/>
              </w:rPr>
              <w:t xml:space="preserve">Description and scale of key monetised costs by ‘main affected groups’ </w:t>
            </w:r>
            <w:r w:rsidRPr="00DA3AE2">
              <w:rPr>
                <w:sz w:val="20"/>
              </w:rPr>
              <w:t>Maximum 5 lines</w:t>
            </w:r>
          </w:p>
          <w:p w14:paraId="0EFFA1B6" w14:textId="406A6431" w:rsidR="005D1836" w:rsidRPr="00DA3AE2" w:rsidRDefault="00365E01" w:rsidP="00453935">
            <w:pPr>
              <w:tabs>
                <w:tab w:val="left" w:pos="7920"/>
              </w:tabs>
              <w:rPr>
                <w:sz w:val="20"/>
              </w:rPr>
            </w:pPr>
            <w:r w:rsidRPr="00DA3AE2">
              <w:rPr>
                <w:sz w:val="20"/>
              </w:rPr>
              <w:t>The monetised costs highlighted above come from the AFBI economic analysis of the cost of ammonia reduction for NI agriculture based on</w:t>
            </w:r>
            <w:r w:rsidR="00DC65F9" w:rsidRPr="00DA3AE2">
              <w:rPr>
                <w:sz w:val="20"/>
              </w:rPr>
              <w:t xml:space="preserve"> the MACC1 and MACC3 scenarios which modelled the ammonia reduction impact of a wide range of feasible ammonia reduction measures (with some variation in the precise type of measures</w:t>
            </w:r>
            <w:r w:rsidR="00453935" w:rsidRPr="00DA3AE2">
              <w:rPr>
                <w:sz w:val="20"/>
              </w:rPr>
              <w:t xml:space="preserve"> between the scenarios).</w:t>
            </w:r>
            <w:r w:rsidRPr="00DA3AE2">
              <w:rPr>
                <w:sz w:val="20"/>
              </w:rPr>
              <w:t xml:space="preserve"> This option has a potential of </w:t>
            </w:r>
            <w:r w:rsidR="00453935" w:rsidRPr="00DA3AE2">
              <w:rPr>
                <w:sz w:val="20"/>
              </w:rPr>
              <w:t>an</w:t>
            </w:r>
            <w:r w:rsidRPr="00DA3AE2">
              <w:rPr>
                <w:sz w:val="20"/>
              </w:rPr>
              <w:t xml:space="preserve"> ammonia reduction</w:t>
            </w:r>
            <w:r w:rsidR="00453935" w:rsidRPr="00DA3AE2">
              <w:rPr>
                <w:sz w:val="20"/>
              </w:rPr>
              <w:t xml:space="preserve"> of between 25</w:t>
            </w:r>
            <w:r w:rsidR="005B7E1D">
              <w:rPr>
                <w:sz w:val="20"/>
              </w:rPr>
              <w:t>%</w:t>
            </w:r>
            <w:r w:rsidR="00453935" w:rsidRPr="00DA3AE2">
              <w:rPr>
                <w:sz w:val="20"/>
              </w:rPr>
              <w:t xml:space="preserve"> and 28%</w:t>
            </w:r>
            <w:r w:rsidRPr="00DA3AE2">
              <w:rPr>
                <w:sz w:val="20"/>
              </w:rPr>
              <w:t xml:space="preserve"> at the specified uptake rates. These uptake rates are the key determinant of the efficacy of the Option 3 approach and lack the certainty delivered by a mandatory approach. </w:t>
            </w:r>
          </w:p>
        </w:tc>
      </w:tr>
      <w:tr w:rsidR="005D1836" w:rsidRPr="00DA3AE2" w14:paraId="01962D9D" w14:textId="77777777" w:rsidTr="00247434">
        <w:trPr>
          <w:trHeight w:hRule="exact" w:val="1976"/>
        </w:trPr>
        <w:tc>
          <w:tcPr>
            <w:tcW w:w="10070" w:type="dxa"/>
            <w:gridSpan w:val="5"/>
            <w:shd w:val="clear" w:color="auto" w:fill="auto"/>
          </w:tcPr>
          <w:p w14:paraId="0ACF0D40" w14:textId="77777777" w:rsidR="005D1836" w:rsidRPr="00DA3AE2" w:rsidRDefault="005D1836" w:rsidP="005D1836">
            <w:pPr>
              <w:tabs>
                <w:tab w:val="left" w:pos="7920"/>
              </w:tabs>
              <w:rPr>
                <w:sz w:val="20"/>
              </w:rPr>
            </w:pPr>
            <w:r w:rsidRPr="00DA3AE2">
              <w:rPr>
                <w:b/>
                <w:sz w:val="20"/>
              </w:rPr>
              <w:t xml:space="preserve">Other key non-monetised costs by ‘main affected groups’ </w:t>
            </w:r>
            <w:r w:rsidRPr="00DA3AE2">
              <w:rPr>
                <w:sz w:val="20"/>
              </w:rPr>
              <w:t>Maximum 5 lines</w:t>
            </w:r>
          </w:p>
          <w:p w14:paraId="443C1303" w14:textId="2F20B81C" w:rsidR="00413BA2" w:rsidRPr="00DA3AE2" w:rsidRDefault="00413BA2" w:rsidP="005D1836">
            <w:pPr>
              <w:tabs>
                <w:tab w:val="left" w:pos="7920"/>
              </w:tabs>
              <w:rPr>
                <w:sz w:val="20"/>
              </w:rPr>
            </w:pPr>
          </w:p>
          <w:p w14:paraId="4FB22DDC" w14:textId="577F9D7C" w:rsidR="00DB6143" w:rsidRPr="00DA3AE2" w:rsidRDefault="00453935" w:rsidP="008509C7">
            <w:pPr>
              <w:tabs>
                <w:tab w:val="left" w:pos="7920"/>
              </w:tabs>
              <w:rPr>
                <w:sz w:val="20"/>
              </w:rPr>
            </w:pPr>
            <w:r w:rsidRPr="00DA3AE2">
              <w:rPr>
                <w:sz w:val="20"/>
              </w:rPr>
              <w:t xml:space="preserve">The </w:t>
            </w:r>
            <w:r w:rsidR="0023495C" w:rsidRPr="00DA3AE2">
              <w:rPr>
                <w:sz w:val="20"/>
              </w:rPr>
              <w:t>uptake of ammonia reduction measures</w:t>
            </w:r>
            <w:r w:rsidRPr="00DA3AE2">
              <w:rPr>
                <w:sz w:val="20"/>
              </w:rPr>
              <w:t xml:space="preserve"> required </w:t>
            </w:r>
            <w:r w:rsidR="0023495C" w:rsidRPr="00DA3AE2">
              <w:rPr>
                <w:sz w:val="20"/>
              </w:rPr>
              <w:t>to achieve a 25% to 28% will represent a transformational change in farming practice across Northern Ireland. There will be an administrative burden in participating in schemes which will implement the various measures. There is also likely to be a requirement for training in the new technologies to be adopted. Some measures may increase uncert</w:t>
            </w:r>
            <w:r w:rsidR="008509C7" w:rsidRPr="00DA3AE2">
              <w:rPr>
                <w:sz w:val="20"/>
              </w:rPr>
              <w:t>ainty within the farming system, for example in relation to weather for extending grazing seasons and availability of supply for measures such as stabilised urea and technologies, including low emission slurry spreading.</w:t>
            </w:r>
          </w:p>
        </w:tc>
      </w:tr>
      <w:tr w:rsidR="005D1836" w:rsidRPr="00DA3AE2" w14:paraId="3422CB08" w14:textId="77777777" w:rsidTr="00247434">
        <w:tc>
          <w:tcPr>
            <w:tcW w:w="2017" w:type="dxa"/>
            <w:tcBorders>
              <w:bottom w:val="nil"/>
            </w:tcBorders>
            <w:shd w:val="clear" w:color="auto" w:fill="auto"/>
          </w:tcPr>
          <w:p w14:paraId="78BA33B7" w14:textId="77777777" w:rsidR="005D1836" w:rsidRDefault="005D1836" w:rsidP="005D1836">
            <w:pPr>
              <w:tabs>
                <w:tab w:val="left" w:pos="7920"/>
              </w:tabs>
              <w:rPr>
                <w:b/>
                <w:sz w:val="22"/>
                <w:szCs w:val="22"/>
              </w:rPr>
            </w:pPr>
            <w:r w:rsidRPr="00DA3AE2">
              <w:rPr>
                <w:b/>
                <w:sz w:val="22"/>
                <w:szCs w:val="22"/>
              </w:rPr>
              <w:t>Benefits (£m)</w:t>
            </w:r>
          </w:p>
          <w:p w14:paraId="79608798" w14:textId="4A197BEB" w:rsidR="00E54A91" w:rsidRPr="00DA3AE2" w:rsidRDefault="00E54A91" w:rsidP="005D1836">
            <w:pPr>
              <w:tabs>
                <w:tab w:val="left" w:pos="7920"/>
              </w:tabs>
              <w:rPr>
                <w:b/>
                <w:sz w:val="22"/>
                <w:szCs w:val="22"/>
              </w:rPr>
            </w:pPr>
            <w:r w:rsidRPr="00E54A91">
              <w:rPr>
                <w:b/>
                <w:sz w:val="20"/>
              </w:rPr>
              <w:t>(Calculated in terms of improved air quality)</w:t>
            </w:r>
          </w:p>
        </w:tc>
        <w:tc>
          <w:tcPr>
            <w:tcW w:w="2940" w:type="dxa"/>
            <w:gridSpan w:val="2"/>
            <w:tcBorders>
              <w:bottom w:val="nil"/>
            </w:tcBorders>
            <w:shd w:val="clear" w:color="auto" w:fill="auto"/>
          </w:tcPr>
          <w:p w14:paraId="72561270" w14:textId="6C738F2E" w:rsidR="003754BD" w:rsidRDefault="003754BD" w:rsidP="003754BD">
            <w:pPr>
              <w:tabs>
                <w:tab w:val="left" w:pos="7920"/>
              </w:tabs>
              <w:rPr>
                <w:b/>
                <w:sz w:val="22"/>
                <w:szCs w:val="22"/>
              </w:rPr>
            </w:pPr>
            <w:r w:rsidRPr="003754BD">
              <w:rPr>
                <w:b/>
                <w:sz w:val="22"/>
                <w:szCs w:val="22"/>
              </w:rPr>
              <w:t>Average Annual (recurring)</w:t>
            </w:r>
          </w:p>
          <w:p w14:paraId="073ECED4" w14:textId="4869CB31" w:rsidR="005D1836" w:rsidRPr="00DA3AE2" w:rsidRDefault="003754BD" w:rsidP="003754BD">
            <w:pPr>
              <w:tabs>
                <w:tab w:val="left" w:pos="7920"/>
              </w:tabs>
              <w:rPr>
                <w:b/>
                <w:sz w:val="22"/>
                <w:szCs w:val="22"/>
              </w:rPr>
            </w:pPr>
            <w:r>
              <w:rPr>
                <w:b/>
                <w:sz w:val="22"/>
                <w:szCs w:val="22"/>
              </w:rPr>
              <w:t xml:space="preserve">25% reduction </w:t>
            </w:r>
          </w:p>
        </w:tc>
        <w:tc>
          <w:tcPr>
            <w:tcW w:w="2976" w:type="dxa"/>
            <w:tcBorders>
              <w:bottom w:val="nil"/>
            </w:tcBorders>
            <w:shd w:val="clear" w:color="auto" w:fill="auto"/>
          </w:tcPr>
          <w:p w14:paraId="5D57223D" w14:textId="77777777" w:rsidR="005D1836" w:rsidRDefault="005D1836" w:rsidP="005D1836">
            <w:pPr>
              <w:tabs>
                <w:tab w:val="left" w:pos="7920"/>
              </w:tabs>
              <w:rPr>
                <w:b/>
                <w:sz w:val="22"/>
                <w:szCs w:val="22"/>
              </w:rPr>
            </w:pPr>
            <w:r w:rsidRPr="00DA3AE2">
              <w:rPr>
                <w:b/>
                <w:sz w:val="22"/>
                <w:szCs w:val="22"/>
              </w:rPr>
              <w:t>Average Annual (recurring)</w:t>
            </w:r>
          </w:p>
          <w:p w14:paraId="0F915CBB" w14:textId="7E61DCEA" w:rsidR="003754BD" w:rsidRPr="00DA3AE2" w:rsidRDefault="003754BD" w:rsidP="005D1836">
            <w:pPr>
              <w:tabs>
                <w:tab w:val="left" w:pos="7920"/>
              </w:tabs>
              <w:rPr>
                <w:b/>
                <w:sz w:val="22"/>
                <w:szCs w:val="22"/>
              </w:rPr>
            </w:pPr>
            <w:r>
              <w:rPr>
                <w:b/>
                <w:sz w:val="22"/>
                <w:szCs w:val="22"/>
              </w:rPr>
              <w:t>28% reduction</w:t>
            </w:r>
          </w:p>
        </w:tc>
        <w:tc>
          <w:tcPr>
            <w:tcW w:w="2137" w:type="dxa"/>
            <w:tcBorders>
              <w:bottom w:val="nil"/>
            </w:tcBorders>
            <w:shd w:val="clear" w:color="auto" w:fill="auto"/>
          </w:tcPr>
          <w:p w14:paraId="569F30DF" w14:textId="77777777" w:rsidR="005D1836" w:rsidRPr="00DA3AE2" w:rsidRDefault="005D1836" w:rsidP="005D1836">
            <w:pPr>
              <w:tabs>
                <w:tab w:val="left" w:pos="7920"/>
              </w:tabs>
              <w:rPr>
                <w:b/>
                <w:sz w:val="22"/>
                <w:szCs w:val="22"/>
              </w:rPr>
            </w:pPr>
            <w:r w:rsidRPr="00DA3AE2">
              <w:rPr>
                <w:b/>
                <w:sz w:val="22"/>
                <w:szCs w:val="22"/>
              </w:rPr>
              <w:t>Total Benefit</w:t>
            </w:r>
          </w:p>
        </w:tc>
      </w:tr>
      <w:tr w:rsidR="005D1836" w:rsidRPr="00DA3AE2" w14:paraId="7367FF40" w14:textId="77777777" w:rsidTr="009211B3">
        <w:trPr>
          <w:trHeight w:val="80"/>
        </w:trPr>
        <w:tc>
          <w:tcPr>
            <w:tcW w:w="2017" w:type="dxa"/>
            <w:tcBorders>
              <w:top w:val="nil"/>
            </w:tcBorders>
            <w:shd w:val="clear" w:color="auto" w:fill="auto"/>
          </w:tcPr>
          <w:p w14:paraId="35D3BA96" w14:textId="77777777" w:rsidR="005D1836" w:rsidRPr="00DA3AE2" w:rsidRDefault="005D1836" w:rsidP="005D1836">
            <w:pPr>
              <w:tabs>
                <w:tab w:val="left" w:pos="7920"/>
              </w:tabs>
              <w:rPr>
                <w:b/>
                <w:sz w:val="22"/>
                <w:szCs w:val="22"/>
              </w:rPr>
            </w:pPr>
          </w:p>
        </w:tc>
        <w:tc>
          <w:tcPr>
            <w:tcW w:w="2231" w:type="dxa"/>
            <w:tcBorders>
              <w:top w:val="nil"/>
              <w:right w:val="nil"/>
            </w:tcBorders>
            <w:shd w:val="clear" w:color="auto" w:fill="auto"/>
          </w:tcPr>
          <w:p w14:paraId="16A9EDAD" w14:textId="47845F2E" w:rsidR="005D1836" w:rsidRPr="003754BD" w:rsidRDefault="003754BD" w:rsidP="003754BD">
            <w:pPr>
              <w:tabs>
                <w:tab w:val="left" w:pos="7920"/>
              </w:tabs>
              <w:rPr>
                <w:bCs/>
                <w:sz w:val="18"/>
                <w:szCs w:val="18"/>
              </w:rPr>
            </w:pPr>
            <w:r>
              <w:rPr>
                <w:bCs/>
                <w:sz w:val="18"/>
                <w:szCs w:val="18"/>
              </w:rPr>
              <w:t>(</w:t>
            </w:r>
            <w:r w:rsidRPr="003754BD">
              <w:rPr>
                <w:bCs/>
                <w:sz w:val="18"/>
                <w:szCs w:val="18"/>
              </w:rPr>
              <w:t>excl. transitional)</w:t>
            </w:r>
            <w:r>
              <w:rPr>
                <w:bCs/>
                <w:sz w:val="18"/>
                <w:szCs w:val="18"/>
              </w:rPr>
              <w:t xml:space="preserve"> (</w:t>
            </w:r>
            <w:r w:rsidRPr="003754BD">
              <w:rPr>
                <w:bCs/>
                <w:sz w:val="18"/>
                <w:szCs w:val="18"/>
              </w:rPr>
              <w:t>constant price)</w:t>
            </w:r>
          </w:p>
        </w:tc>
        <w:tc>
          <w:tcPr>
            <w:tcW w:w="709" w:type="dxa"/>
            <w:tcBorders>
              <w:top w:val="nil"/>
              <w:left w:val="nil"/>
            </w:tcBorders>
            <w:shd w:val="clear" w:color="auto" w:fill="auto"/>
          </w:tcPr>
          <w:p w14:paraId="100FCFE1" w14:textId="148F0AF8" w:rsidR="005D1836" w:rsidRPr="00DA3AE2" w:rsidRDefault="005D1836" w:rsidP="005D1836">
            <w:pPr>
              <w:tabs>
                <w:tab w:val="left" w:pos="7920"/>
              </w:tabs>
              <w:jc w:val="right"/>
              <w:rPr>
                <w:sz w:val="18"/>
                <w:szCs w:val="18"/>
              </w:rPr>
            </w:pPr>
          </w:p>
        </w:tc>
        <w:tc>
          <w:tcPr>
            <w:tcW w:w="2976" w:type="dxa"/>
            <w:tcBorders>
              <w:top w:val="nil"/>
            </w:tcBorders>
            <w:shd w:val="clear" w:color="auto" w:fill="auto"/>
          </w:tcPr>
          <w:p w14:paraId="49A6AFE6" w14:textId="77777777" w:rsidR="005D1836" w:rsidRPr="00DA3AE2" w:rsidRDefault="005D1836" w:rsidP="005D1836">
            <w:pPr>
              <w:tabs>
                <w:tab w:val="left" w:pos="7920"/>
              </w:tabs>
              <w:jc w:val="right"/>
              <w:rPr>
                <w:sz w:val="18"/>
                <w:szCs w:val="18"/>
              </w:rPr>
            </w:pPr>
            <w:r w:rsidRPr="00DA3AE2">
              <w:rPr>
                <w:sz w:val="18"/>
                <w:szCs w:val="18"/>
              </w:rPr>
              <w:t>(excl. transitional) (constant price)</w:t>
            </w:r>
          </w:p>
        </w:tc>
        <w:tc>
          <w:tcPr>
            <w:tcW w:w="2137" w:type="dxa"/>
            <w:tcBorders>
              <w:top w:val="nil"/>
            </w:tcBorders>
            <w:shd w:val="clear" w:color="auto" w:fill="auto"/>
          </w:tcPr>
          <w:p w14:paraId="1AB6D722" w14:textId="77777777" w:rsidR="005D1836" w:rsidRPr="00DA3AE2" w:rsidRDefault="005D1836" w:rsidP="005D1836">
            <w:pPr>
              <w:tabs>
                <w:tab w:val="left" w:pos="7920"/>
              </w:tabs>
              <w:jc w:val="right"/>
              <w:rPr>
                <w:sz w:val="18"/>
                <w:szCs w:val="18"/>
              </w:rPr>
            </w:pPr>
            <w:r w:rsidRPr="00DA3AE2">
              <w:rPr>
                <w:sz w:val="18"/>
                <w:szCs w:val="18"/>
              </w:rPr>
              <w:t>(Present Value)</w:t>
            </w:r>
          </w:p>
        </w:tc>
      </w:tr>
      <w:tr w:rsidR="00365E01" w:rsidRPr="00DA3AE2" w14:paraId="66A83F65" w14:textId="77777777" w:rsidTr="009211B3">
        <w:trPr>
          <w:trHeight w:hRule="exact" w:val="255"/>
        </w:trPr>
        <w:tc>
          <w:tcPr>
            <w:tcW w:w="2017" w:type="dxa"/>
            <w:shd w:val="clear" w:color="auto" w:fill="auto"/>
          </w:tcPr>
          <w:p w14:paraId="77B83A86" w14:textId="77777777" w:rsidR="00365E01" w:rsidRPr="00DA3AE2" w:rsidRDefault="00365E01" w:rsidP="00365E01">
            <w:pPr>
              <w:tabs>
                <w:tab w:val="left" w:pos="7920"/>
              </w:tabs>
              <w:rPr>
                <w:b/>
                <w:sz w:val="22"/>
                <w:szCs w:val="22"/>
              </w:rPr>
            </w:pPr>
            <w:r w:rsidRPr="00DA3AE2">
              <w:rPr>
                <w:b/>
                <w:sz w:val="22"/>
                <w:szCs w:val="22"/>
              </w:rPr>
              <w:t>Low</w:t>
            </w:r>
          </w:p>
        </w:tc>
        <w:tc>
          <w:tcPr>
            <w:tcW w:w="2231" w:type="dxa"/>
            <w:shd w:val="clear" w:color="auto" w:fill="auto"/>
          </w:tcPr>
          <w:p w14:paraId="71AA25AE" w14:textId="79FA1DBA" w:rsidR="00365E01" w:rsidRPr="00DA3AE2" w:rsidRDefault="009211B3" w:rsidP="00365E01">
            <w:pPr>
              <w:tabs>
                <w:tab w:val="left" w:pos="7920"/>
              </w:tabs>
              <w:jc w:val="right"/>
              <w:rPr>
                <w:b/>
                <w:sz w:val="22"/>
                <w:szCs w:val="22"/>
              </w:rPr>
            </w:pPr>
            <w:r>
              <w:rPr>
                <w:b/>
                <w:sz w:val="22"/>
                <w:szCs w:val="22"/>
              </w:rPr>
              <w:t>£12.17 m</w:t>
            </w:r>
          </w:p>
        </w:tc>
        <w:tc>
          <w:tcPr>
            <w:tcW w:w="709" w:type="dxa"/>
            <w:vMerge w:val="restart"/>
            <w:shd w:val="clear" w:color="auto" w:fill="auto"/>
          </w:tcPr>
          <w:p w14:paraId="27747FEB" w14:textId="170CEEE7" w:rsidR="00365E01" w:rsidRPr="00DA3AE2" w:rsidRDefault="00365E01" w:rsidP="00365E01">
            <w:pPr>
              <w:tabs>
                <w:tab w:val="left" w:pos="7920"/>
              </w:tabs>
              <w:rPr>
                <w:b/>
                <w:sz w:val="22"/>
                <w:szCs w:val="22"/>
              </w:rPr>
            </w:pPr>
          </w:p>
        </w:tc>
        <w:tc>
          <w:tcPr>
            <w:tcW w:w="2976" w:type="dxa"/>
            <w:shd w:val="clear" w:color="auto" w:fill="auto"/>
          </w:tcPr>
          <w:p w14:paraId="3B5C3004" w14:textId="27D34925" w:rsidR="00365E01" w:rsidRPr="00DA3AE2" w:rsidRDefault="00365E01" w:rsidP="00B9119B">
            <w:pPr>
              <w:tabs>
                <w:tab w:val="left" w:pos="7920"/>
              </w:tabs>
              <w:jc w:val="right"/>
              <w:rPr>
                <w:b/>
                <w:sz w:val="22"/>
                <w:szCs w:val="22"/>
              </w:rPr>
            </w:pPr>
            <w:r w:rsidRPr="00DA3AE2">
              <w:rPr>
                <w:b/>
              </w:rPr>
              <w:t>£</w:t>
            </w:r>
            <w:r w:rsidR="00B9119B" w:rsidRPr="00DA3AE2">
              <w:rPr>
                <w:b/>
              </w:rPr>
              <w:t>1</w:t>
            </w:r>
            <w:r w:rsidR="00247434">
              <w:rPr>
                <w:b/>
              </w:rPr>
              <w:t>3.54</w:t>
            </w:r>
            <w:r w:rsidR="009211B3">
              <w:rPr>
                <w:b/>
              </w:rPr>
              <w:t xml:space="preserve"> m</w:t>
            </w:r>
          </w:p>
        </w:tc>
        <w:tc>
          <w:tcPr>
            <w:tcW w:w="2137" w:type="dxa"/>
            <w:shd w:val="clear" w:color="auto" w:fill="auto"/>
          </w:tcPr>
          <w:p w14:paraId="5AAAD488" w14:textId="679870B9" w:rsidR="00365E01" w:rsidRPr="00DA3AE2" w:rsidRDefault="00365E01" w:rsidP="00B9119B">
            <w:pPr>
              <w:tabs>
                <w:tab w:val="left" w:pos="7920"/>
              </w:tabs>
              <w:jc w:val="right"/>
              <w:rPr>
                <w:b/>
                <w:sz w:val="22"/>
                <w:szCs w:val="22"/>
              </w:rPr>
            </w:pPr>
          </w:p>
        </w:tc>
      </w:tr>
      <w:tr w:rsidR="00365E01" w:rsidRPr="00DA3AE2" w14:paraId="4815B97D" w14:textId="77777777" w:rsidTr="009211B3">
        <w:trPr>
          <w:trHeight w:hRule="exact" w:val="255"/>
        </w:trPr>
        <w:tc>
          <w:tcPr>
            <w:tcW w:w="2017" w:type="dxa"/>
            <w:tcBorders>
              <w:bottom w:val="single" w:sz="12" w:space="0" w:color="auto"/>
            </w:tcBorders>
            <w:shd w:val="clear" w:color="auto" w:fill="auto"/>
          </w:tcPr>
          <w:p w14:paraId="5F94E54C" w14:textId="77777777" w:rsidR="00365E01" w:rsidRPr="00DA3AE2" w:rsidRDefault="00365E01" w:rsidP="00365E01">
            <w:pPr>
              <w:tabs>
                <w:tab w:val="left" w:pos="7920"/>
              </w:tabs>
              <w:rPr>
                <w:b/>
                <w:sz w:val="22"/>
                <w:szCs w:val="22"/>
              </w:rPr>
            </w:pPr>
            <w:r w:rsidRPr="00DA3AE2">
              <w:rPr>
                <w:b/>
                <w:sz w:val="22"/>
                <w:szCs w:val="22"/>
              </w:rPr>
              <w:t>High</w:t>
            </w:r>
          </w:p>
        </w:tc>
        <w:tc>
          <w:tcPr>
            <w:tcW w:w="2231" w:type="dxa"/>
            <w:tcBorders>
              <w:bottom w:val="single" w:sz="12" w:space="0" w:color="auto"/>
            </w:tcBorders>
            <w:shd w:val="clear" w:color="auto" w:fill="auto"/>
          </w:tcPr>
          <w:p w14:paraId="6E2D8C1E" w14:textId="477A5024" w:rsidR="00365E01" w:rsidRPr="00DA3AE2" w:rsidRDefault="009211B3" w:rsidP="00365E01">
            <w:pPr>
              <w:tabs>
                <w:tab w:val="left" w:pos="7920"/>
              </w:tabs>
              <w:jc w:val="right"/>
              <w:rPr>
                <w:b/>
                <w:sz w:val="22"/>
                <w:szCs w:val="22"/>
              </w:rPr>
            </w:pPr>
            <w:r>
              <w:rPr>
                <w:b/>
                <w:sz w:val="22"/>
                <w:szCs w:val="22"/>
              </w:rPr>
              <w:t>£195.74 m</w:t>
            </w:r>
          </w:p>
        </w:tc>
        <w:tc>
          <w:tcPr>
            <w:tcW w:w="709" w:type="dxa"/>
            <w:vMerge/>
            <w:tcBorders>
              <w:bottom w:val="single" w:sz="12" w:space="0" w:color="auto"/>
            </w:tcBorders>
            <w:shd w:val="clear" w:color="auto" w:fill="auto"/>
          </w:tcPr>
          <w:p w14:paraId="6465503C" w14:textId="77777777" w:rsidR="00365E01" w:rsidRPr="00DA3AE2" w:rsidRDefault="00365E01" w:rsidP="00365E01">
            <w:pPr>
              <w:tabs>
                <w:tab w:val="left" w:pos="7920"/>
              </w:tabs>
              <w:rPr>
                <w:b/>
                <w:sz w:val="22"/>
                <w:szCs w:val="22"/>
              </w:rPr>
            </w:pPr>
          </w:p>
        </w:tc>
        <w:tc>
          <w:tcPr>
            <w:tcW w:w="2976" w:type="dxa"/>
            <w:tcBorders>
              <w:bottom w:val="single" w:sz="12" w:space="0" w:color="auto"/>
            </w:tcBorders>
            <w:shd w:val="clear" w:color="auto" w:fill="auto"/>
          </w:tcPr>
          <w:p w14:paraId="1DC3F906" w14:textId="42D7FC48" w:rsidR="00365E01" w:rsidRPr="00DA3AE2" w:rsidRDefault="00365E01" w:rsidP="00B9119B">
            <w:pPr>
              <w:tabs>
                <w:tab w:val="left" w:pos="7920"/>
              </w:tabs>
              <w:jc w:val="right"/>
              <w:rPr>
                <w:b/>
                <w:sz w:val="22"/>
                <w:szCs w:val="22"/>
              </w:rPr>
            </w:pPr>
            <w:r w:rsidRPr="00DA3AE2">
              <w:rPr>
                <w:b/>
              </w:rPr>
              <w:t>£</w:t>
            </w:r>
            <w:r w:rsidR="009211B3">
              <w:rPr>
                <w:b/>
              </w:rPr>
              <w:t>217.76 m</w:t>
            </w:r>
          </w:p>
        </w:tc>
        <w:tc>
          <w:tcPr>
            <w:tcW w:w="2137" w:type="dxa"/>
            <w:tcBorders>
              <w:bottom w:val="single" w:sz="12" w:space="0" w:color="auto"/>
            </w:tcBorders>
            <w:shd w:val="clear" w:color="auto" w:fill="auto"/>
          </w:tcPr>
          <w:p w14:paraId="02350BE3" w14:textId="5E2958B3" w:rsidR="00365E01" w:rsidRPr="00DA3AE2" w:rsidRDefault="00365E01" w:rsidP="00B9119B">
            <w:pPr>
              <w:tabs>
                <w:tab w:val="left" w:pos="7920"/>
              </w:tabs>
              <w:jc w:val="right"/>
              <w:rPr>
                <w:b/>
                <w:sz w:val="22"/>
                <w:szCs w:val="22"/>
              </w:rPr>
            </w:pPr>
          </w:p>
        </w:tc>
      </w:tr>
      <w:tr w:rsidR="00365E01" w:rsidRPr="00DA3AE2" w14:paraId="3D6E8150" w14:textId="77777777" w:rsidTr="009211B3">
        <w:trPr>
          <w:trHeight w:hRule="exact" w:val="284"/>
        </w:trPr>
        <w:tc>
          <w:tcPr>
            <w:tcW w:w="2017" w:type="dxa"/>
            <w:tcBorders>
              <w:top w:val="single" w:sz="12" w:space="0" w:color="auto"/>
              <w:left w:val="single" w:sz="12" w:space="0" w:color="auto"/>
              <w:bottom w:val="single" w:sz="12" w:space="0" w:color="auto"/>
              <w:right w:val="single" w:sz="12" w:space="0" w:color="auto"/>
            </w:tcBorders>
            <w:shd w:val="clear" w:color="auto" w:fill="auto"/>
          </w:tcPr>
          <w:p w14:paraId="0479C8D5" w14:textId="77777777" w:rsidR="00365E01" w:rsidRPr="00DA3AE2" w:rsidRDefault="00365E01" w:rsidP="00365E01">
            <w:pPr>
              <w:tabs>
                <w:tab w:val="left" w:pos="7920"/>
              </w:tabs>
              <w:rPr>
                <w:b/>
                <w:sz w:val="22"/>
                <w:szCs w:val="22"/>
              </w:rPr>
            </w:pPr>
            <w:r w:rsidRPr="00DA3AE2">
              <w:rPr>
                <w:b/>
                <w:sz w:val="22"/>
                <w:szCs w:val="22"/>
              </w:rPr>
              <w:t>Best Estimate</w:t>
            </w:r>
          </w:p>
        </w:tc>
        <w:tc>
          <w:tcPr>
            <w:tcW w:w="2231" w:type="dxa"/>
            <w:tcBorders>
              <w:top w:val="single" w:sz="12" w:space="0" w:color="auto"/>
              <w:left w:val="single" w:sz="12" w:space="0" w:color="auto"/>
              <w:bottom w:val="single" w:sz="12" w:space="0" w:color="auto"/>
              <w:right w:val="single" w:sz="12" w:space="0" w:color="auto"/>
            </w:tcBorders>
            <w:shd w:val="clear" w:color="auto" w:fill="auto"/>
          </w:tcPr>
          <w:p w14:paraId="4F1A4462" w14:textId="2081FD51" w:rsidR="00365E01" w:rsidRPr="00DA3AE2" w:rsidRDefault="009211B3" w:rsidP="00365E01">
            <w:pPr>
              <w:tabs>
                <w:tab w:val="left" w:pos="7920"/>
              </w:tabs>
              <w:jc w:val="right"/>
              <w:rPr>
                <w:b/>
                <w:sz w:val="22"/>
                <w:szCs w:val="22"/>
              </w:rPr>
            </w:pPr>
            <w:r>
              <w:rPr>
                <w:b/>
                <w:sz w:val="22"/>
                <w:szCs w:val="22"/>
              </w:rPr>
              <w:t>£63.38 m</w:t>
            </w:r>
          </w:p>
        </w:tc>
        <w:tc>
          <w:tcPr>
            <w:tcW w:w="709" w:type="dxa"/>
            <w:vMerge/>
            <w:tcBorders>
              <w:top w:val="single" w:sz="12" w:space="0" w:color="auto"/>
              <w:left w:val="single" w:sz="12" w:space="0" w:color="auto"/>
              <w:bottom w:val="single" w:sz="12" w:space="0" w:color="auto"/>
              <w:right w:val="single" w:sz="12" w:space="0" w:color="auto"/>
            </w:tcBorders>
            <w:shd w:val="clear" w:color="auto" w:fill="auto"/>
          </w:tcPr>
          <w:p w14:paraId="3DBE3580" w14:textId="77777777" w:rsidR="00365E01" w:rsidRPr="00DA3AE2" w:rsidRDefault="00365E01" w:rsidP="00365E01">
            <w:pPr>
              <w:tabs>
                <w:tab w:val="left" w:pos="7920"/>
              </w:tabs>
              <w:rPr>
                <w:b/>
                <w:sz w:val="22"/>
                <w:szCs w:val="22"/>
              </w:rPr>
            </w:pPr>
          </w:p>
        </w:tc>
        <w:tc>
          <w:tcPr>
            <w:tcW w:w="2976" w:type="dxa"/>
            <w:tcBorders>
              <w:top w:val="single" w:sz="12" w:space="0" w:color="auto"/>
              <w:left w:val="single" w:sz="12" w:space="0" w:color="auto"/>
              <w:bottom w:val="single" w:sz="12" w:space="0" w:color="auto"/>
              <w:right w:val="single" w:sz="12" w:space="0" w:color="auto"/>
            </w:tcBorders>
            <w:shd w:val="clear" w:color="auto" w:fill="auto"/>
          </w:tcPr>
          <w:p w14:paraId="4517376E" w14:textId="455DDA7C" w:rsidR="00365E01" w:rsidRPr="00DA3AE2" w:rsidRDefault="00365E01" w:rsidP="00B9119B">
            <w:pPr>
              <w:tabs>
                <w:tab w:val="left" w:pos="7920"/>
              </w:tabs>
              <w:jc w:val="right"/>
              <w:rPr>
                <w:b/>
                <w:sz w:val="22"/>
                <w:szCs w:val="22"/>
              </w:rPr>
            </w:pPr>
            <w:r w:rsidRPr="00DA3AE2">
              <w:rPr>
                <w:b/>
              </w:rPr>
              <w:t>£</w:t>
            </w:r>
            <w:r w:rsidR="009211B3">
              <w:rPr>
                <w:b/>
              </w:rPr>
              <w:t>70.51 m</w:t>
            </w:r>
          </w:p>
        </w:tc>
        <w:tc>
          <w:tcPr>
            <w:tcW w:w="2137" w:type="dxa"/>
            <w:tcBorders>
              <w:top w:val="single" w:sz="12" w:space="0" w:color="auto"/>
              <w:left w:val="single" w:sz="12" w:space="0" w:color="auto"/>
              <w:bottom w:val="single" w:sz="12" w:space="0" w:color="auto"/>
              <w:right w:val="single" w:sz="12" w:space="0" w:color="auto"/>
            </w:tcBorders>
            <w:shd w:val="clear" w:color="auto" w:fill="auto"/>
          </w:tcPr>
          <w:p w14:paraId="26B65F30" w14:textId="733CAFA7" w:rsidR="00365E01" w:rsidRPr="00DA3AE2" w:rsidRDefault="00365E01" w:rsidP="00365E01">
            <w:pPr>
              <w:tabs>
                <w:tab w:val="left" w:pos="7920"/>
              </w:tabs>
              <w:jc w:val="right"/>
              <w:rPr>
                <w:b/>
                <w:sz w:val="22"/>
                <w:szCs w:val="22"/>
              </w:rPr>
            </w:pPr>
          </w:p>
        </w:tc>
      </w:tr>
      <w:tr w:rsidR="005D1836" w:rsidRPr="00DA3AE2" w14:paraId="467047E8" w14:textId="77777777" w:rsidTr="00247434">
        <w:trPr>
          <w:trHeight w:hRule="exact" w:val="3565"/>
        </w:trPr>
        <w:tc>
          <w:tcPr>
            <w:tcW w:w="10070" w:type="dxa"/>
            <w:gridSpan w:val="5"/>
            <w:tcBorders>
              <w:top w:val="single" w:sz="12" w:space="0" w:color="auto"/>
              <w:bottom w:val="single" w:sz="4" w:space="0" w:color="auto"/>
            </w:tcBorders>
            <w:shd w:val="clear" w:color="auto" w:fill="auto"/>
          </w:tcPr>
          <w:p w14:paraId="5363C1D6" w14:textId="2E6DD064" w:rsidR="005D1836" w:rsidRDefault="005D1836" w:rsidP="005D1836">
            <w:pPr>
              <w:tabs>
                <w:tab w:val="left" w:pos="7920"/>
              </w:tabs>
              <w:rPr>
                <w:sz w:val="20"/>
              </w:rPr>
            </w:pPr>
            <w:r w:rsidRPr="00DA3AE2">
              <w:rPr>
                <w:b/>
                <w:sz w:val="20"/>
              </w:rPr>
              <w:t xml:space="preserve">Description and scale of key monetised benefits by ‘main affected groups’ </w:t>
            </w:r>
            <w:r w:rsidRPr="00DA3AE2">
              <w:rPr>
                <w:sz w:val="20"/>
              </w:rPr>
              <w:t xml:space="preserve">Maximum 5 lines  </w:t>
            </w:r>
          </w:p>
          <w:p w14:paraId="45E04832" w14:textId="78C32649" w:rsidR="00EB03B9" w:rsidRDefault="00EB03B9" w:rsidP="005D1836">
            <w:pPr>
              <w:tabs>
                <w:tab w:val="left" w:pos="7920"/>
              </w:tabs>
              <w:rPr>
                <w:sz w:val="20"/>
              </w:rPr>
            </w:pPr>
          </w:p>
          <w:p w14:paraId="0D86EFF2" w14:textId="77777777" w:rsidR="00EB03B9" w:rsidRPr="00DA3AE2" w:rsidRDefault="00EB03B9" w:rsidP="005D1836">
            <w:pPr>
              <w:tabs>
                <w:tab w:val="left" w:pos="7920"/>
              </w:tabs>
              <w:rPr>
                <w:sz w:val="20"/>
              </w:rPr>
            </w:pPr>
          </w:p>
          <w:p w14:paraId="5FD42462" w14:textId="77777777" w:rsidR="005D1836" w:rsidRDefault="00CC7337" w:rsidP="00150B38">
            <w:pPr>
              <w:tabs>
                <w:tab w:val="left" w:pos="7920"/>
              </w:tabs>
              <w:rPr>
                <w:sz w:val="20"/>
              </w:rPr>
            </w:pPr>
            <w:r w:rsidRPr="00DA3AE2">
              <w:rPr>
                <w:sz w:val="20"/>
              </w:rPr>
              <w:t xml:space="preserve">Benefits will accrue across NI society of achieving </w:t>
            </w:r>
            <w:r w:rsidR="00D61B0A" w:rsidRPr="00DA3AE2">
              <w:rPr>
                <w:sz w:val="20"/>
              </w:rPr>
              <w:t xml:space="preserve">reductions in </w:t>
            </w:r>
            <w:r w:rsidRPr="00DA3AE2">
              <w:rPr>
                <w:sz w:val="20"/>
              </w:rPr>
              <w:t xml:space="preserve">ammonia </w:t>
            </w:r>
            <w:r w:rsidR="00D61B0A" w:rsidRPr="00DA3AE2">
              <w:rPr>
                <w:sz w:val="20"/>
              </w:rPr>
              <w:t>emission levels of 25-28%</w:t>
            </w:r>
            <w:r w:rsidR="00365E01" w:rsidRPr="00DA3AE2">
              <w:rPr>
                <w:sz w:val="20"/>
              </w:rPr>
              <w:t xml:space="preserve"> (</w:t>
            </w:r>
            <w:r w:rsidR="00D61B0A" w:rsidRPr="00DA3AE2">
              <w:rPr>
                <w:sz w:val="20"/>
              </w:rPr>
              <w:t xml:space="preserve">a reduction of </w:t>
            </w:r>
            <w:r w:rsidR="00150B38" w:rsidRPr="00DA3AE2">
              <w:rPr>
                <w:sz w:val="20"/>
              </w:rPr>
              <w:t>7.88</w:t>
            </w:r>
            <w:r w:rsidR="007D67F6">
              <w:rPr>
                <w:sz w:val="20"/>
              </w:rPr>
              <w:t xml:space="preserve"> </w:t>
            </w:r>
            <w:r w:rsidR="00150B38" w:rsidRPr="00DA3AE2">
              <w:rPr>
                <w:sz w:val="20"/>
              </w:rPr>
              <w:t>kt to 8.88</w:t>
            </w:r>
            <w:r w:rsidR="007D67F6">
              <w:rPr>
                <w:sz w:val="20"/>
              </w:rPr>
              <w:t xml:space="preserve"> </w:t>
            </w:r>
            <w:r w:rsidR="00365E01" w:rsidRPr="00DA3AE2">
              <w:rPr>
                <w:sz w:val="20"/>
              </w:rPr>
              <w:t>kt</w:t>
            </w:r>
            <w:r w:rsidRPr="00DA3AE2">
              <w:rPr>
                <w:sz w:val="20"/>
              </w:rPr>
              <w:t xml:space="preserve"> </w:t>
            </w:r>
            <w:r w:rsidR="00D61B0A" w:rsidRPr="00DA3AE2">
              <w:rPr>
                <w:sz w:val="20"/>
              </w:rPr>
              <w:t>from baseline levels</w:t>
            </w:r>
            <w:r w:rsidRPr="00DA3AE2">
              <w:rPr>
                <w:sz w:val="20"/>
              </w:rPr>
              <w:t xml:space="preserve"> </w:t>
            </w:r>
            <w:r w:rsidR="007D67F6">
              <w:rPr>
                <w:sz w:val="20"/>
              </w:rPr>
              <w:t xml:space="preserve">of </w:t>
            </w:r>
            <w:r w:rsidRPr="00DA3AE2">
              <w:rPr>
                <w:sz w:val="20"/>
              </w:rPr>
              <w:t xml:space="preserve">ammonia). </w:t>
            </w:r>
            <w:r w:rsidR="00B9119B" w:rsidRPr="00DA3AE2">
              <w:rPr>
                <w:sz w:val="20"/>
              </w:rPr>
              <w:t xml:space="preserve">At UK level, the damage cost of ammonia emissions is assessed at between £1,521 and £24,467 per tonne with a central damage cost of £7,923. </w:t>
            </w:r>
            <w:r w:rsidR="00245AFC" w:rsidRPr="00DA3AE2">
              <w:rPr>
                <w:sz w:val="20"/>
              </w:rPr>
              <w:t>Although t</w:t>
            </w:r>
            <w:r w:rsidRPr="00DA3AE2">
              <w:rPr>
                <w:sz w:val="20"/>
              </w:rPr>
              <w:t xml:space="preserve">he public health element of </w:t>
            </w:r>
            <w:r w:rsidR="002B62B9" w:rsidRPr="00DA3AE2">
              <w:rPr>
                <w:sz w:val="20"/>
              </w:rPr>
              <w:t>the figure</w:t>
            </w:r>
            <w:r w:rsidRPr="00DA3AE2">
              <w:rPr>
                <w:sz w:val="20"/>
              </w:rPr>
              <w:t xml:space="preserve"> is based on PM2.5 levels across the UK, benefits from ammonia reduction will accrue in Northern Ireland. </w:t>
            </w:r>
          </w:p>
          <w:p w14:paraId="47501368" w14:textId="77777777" w:rsidR="009211B3" w:rsidRDefault="009211B3" w:rsidP="00150B38">
            <w:pPr>
              <w:tabs>
                <w:tab w:val="left" w:pos="7920"/>
              </w:tabs>
              <w:rPr>
                <w:b/>
                <w:sz w:val="20"/>
              </w:rPr>
            </w:pPr>
          </w:p>
          <w:p w14:paraId="35101E89" w14:textId="4938A0E0" w:rsidR="009211B3" w:rsidRPr="009211B3" w:rsidRDefault="009211B3" w:rsidP="00150B38">
            <w:pPr>
              <w:tabs>
                <w:tab w:val="left" w:pos="7920"/>
              </w:tabs>
              <w:rPr>
                <w:bCs/>
                <w:sz w:val="20"/>
              </w:rPr>
            </w:pPr>
            <w:r w:rsidRPr="009211B3">
              <w:rPr>
                <w:bCs/>
                <w:sz w:val="20"/>
              </w:rPr>
              <w:t>Calculations are show</w:t>
            </w:r>
            <w:r>
              <w:rPr>
                <w:bCs/>
                <w:sz w:val="20"/>
              </w:rPr>
              <w:t>n</w:t>
            </w:r>
            <w:r w:rsidRPr="009211B3">
              <w:rPr>
                <w:bCs/>
                <w:sz w:val="20"/>
              </w:rPr>
              <w:t xml:space="preserve"> in Annex A.</w:t>
            </w:r>
          </w:p>
        </w:tc>
      </w:tr>
      <w:tr w:rsidR="005D1836" w:rsidRPr="00DA3AE2" w14:paraId="5115C275" w14:textId="77777777" w:rsidTr="00247434">
        <w:trPr>
          <w:trHeight w:hRule="exact" w:val="1418"/>
        </w:trPr>
        <w:tc>
          <w:tcPr>
            <w:tcW w:w="10070" w:type="dxa"/>
            <w:gridSpan w:val="5"/>
            <w:shd w:val="clear" w:color="auto" w:fill="auto"/>
          </w:tcPr>
          <w:p w14:paraId="5C837CD3" w14:textId="77777777" w:rsidR="005D1836" w:rsidRPr="00DA3AE2" w:rsidRDefault="005D1836" w:rsidP="005D1836">
            <w:pPr>
              <w:tabs>
                <w:tab w:val="left" w:pos="7920"/>
              </w:tabs>
              <w:rPr>
                <w:sz w:val="20"/>
              </w:rPr>
            </w:pPr>
            <w:r w:rsidRPr="00DA3AE2">
              <w:rPr>
                <w:b/>
                <w:sz w:val="20"/>
              </w:rPr>
              <w:t xml:space="preserve">Other key non-monetised benefits by ‘main affected groups’ </w:t>
            </w:r>
            <w:r w:rsidRPr="00DA3AE2">
              <w:rPr>
                <w:sz w:val="20"/>
              </w:rPr>
              <w:t>Maximum 5 lines</w:t>
            </w:r>
          </w:p>
          <w:p w14:paraId="3B5899EC" w14:textId="21740A8D" w:rsidR="005D1836" w:rsidRPr="00DA3AE2" w:rsidRDefault="00CC7337" w:rsidP="00B9119B">
            <w:pPr>
              <w:tabs>
                <w:tab w:val="left" w:pos="7920"/>
              </w:tabs>
              <w:rPr>
                <w:sz w:val="20"/>
              </w:rPr>
            </w:pPr>
            <w:r w:rsidRPr="00DA3AE2">
              <w:rPr>
                <w:sz w:val="20"/>
              </w:rPr>
              <w:t xml:space="preserve">There is a legal imperative on Northern Ireland to reduce ammonia emissions and protect and restore habitats. If the options highlighted in the draft ammonia strategy are not successfully implemented, alternative approaches may impose greater costs on the agri-food sector and the public purse. The risk that alternative approaches will be required will increase if the ammonia strategy </w:t>
            </w:r>
            <w:r w:rsidR="00B9119B" w:rsidRPr="00DA3AE2">
              <w:rPr>
                <w:sz w:val="20"/>
              </w:rPr>
              <w:t>is not appropriate</w:t>
            </w:r>
            <w:r w:rsidR="002B62B9" w:rsidRPr="00DA3AE2">
              <w:rPr>
                <w:sz w:val="20"/>
              </w:rPr>
              <w:t>ly</w:t>
            </w:r>
            <w:r w:rsidR="00B9119B" w:rsidRPr="00DA3AE2">
              <w:rPr>
                <w:sz w:val="20"/>
              </w:rPr>
              <w:t xml:space="preserve"> ambitious</w:t>
            </w:r>
            <w:r w:rsidRPr="00DA3AE2">
              <w:rPr>
                <w:sz w:val="20"/>
              </w:rPr>
              <w:t>. There are wider environmental benefits from some ammonia mitigation measures, such as improved water quality.</w:t>
            </w:r>
          </w:p>
        </w:tc>
      </w:tr>
      <w:tr w:rsidR="005D1836" w:rsidRPr="00DA3AE2" w14:paraId="3D7DE4F8" w14:textId="77777777" w:rsidTr="00247434">
        <w:trPr>
          <w:trHeight w:hRule="exact" w:val="1958"/>
        </w:trPr>
        <w:tc>
          <w:tcPr>
            <w:tcW w:w="10070" w:type="dxa"/>
            <w:gridSpan w:val="5"/>
            <w:tcBorders>
              <w:bottom w:val="single" w:sz="4" w:space="0" w:color="auto"/>
            </w:tcBorders>
            <w:shd w:val="clear" w:color="auto" w:fill="auto"/>
          </w:tcPr>
          <w:p w14:paraId="4AD1E688" w14:textId="77777777" w:rsidR="005D1836" w:rsidRPr="00DA3AE2" w:rsidRDefault="005D1836" w:rsidP="005D1836">
            <w:pPr>
              <w:tabs>
                <w:tab w:val="left" w:pos="7920"/>
              </w:tabs>
              <w:rPr>
                <w:sz w:val="20"/>
              </w:rPr>
            </w:pPr>
            <w:r w:rsidRPr="00DA3AE2">
              <w:rPr>
                <w:b/>
                <w:sz w:val="20"/>
              </w:rPr>
              <w:lastRenderedPageBreak/>
              <w:t xml:space="preserve">Key Assumptions, Sensitivities, Risks </w:t>
            </w:r>
            <w:r w:rsidRPr="00DA3AE2">
              <w:rPr>
                <w:sz w:val="20"/>
              </w:rPr>
              <w:t>Maximum 5 lines</w:t>
            </w:r>
          </w:p>
          <w:p w14:paraId="7185DC0D" w14:textId="6F7D652B" w:rsidR="005D1836" w:rsidRPr="00DA3AE2" w:rsidRDefault="005D1836" w:rsidP="005D1836">
            <w:pPr>
              <w:tabs>
                <w:tab w:val="left" w:pos="7920"/>
              </w:tabs>
              <w:rPr>
                <w:sz w:val="20"/>
              </w:rPr>
            </w:pPr>
          </w:p>
          <w:p w14:paraId="3757C719" w14:textId="45232382" w:rsidR="00F171C8" w:rsidRPr="00DA3AE2" w:rsidRDefault="00E20A29" w:rsidP="005345B3">
            <w:pPr>
              <w:tabs>
                <w:tab w:val="left" w:pos="7920"/>
              </w:tabs>
              <w:rPr>
                <w:sz w:val="20"/>
              </w:rPr>
            </w:pPr>
            <w:r w:rsidRPr="00DA3AE2">
              <w:rPr>
                <w:sz w:val="20"/>
              </w:rPr>
              <w:t>The economic analysis conducted by AFBI assumes static livestock numbers. Increases or decreases in livestock numbers will have corresponding impacts on ammonia emissions. There is a significant variation in the low and high damage costs of ammonia. These costs have been calculated at the UK level. Levels of PM2.5, an air quality pollutant for which ammonia is a contributory factor, vary across the UK. There is a risk that if systems to ensure uptake of measures are not sufficient, the targets in the draft ammonia strategy will not be achieved. Under this more ambitious option, that risk is increased.</w:t>
            </w:r>
          </w:p>
        </w:tc>
      </w:tr>
    </w:tbl>
    <w:p w14:paraId="21C5E499" w14:textId="77777777" w:rsidR="005D1836" w:rsidRPr="00DA3AE2" w:rsidRDefault="005D1836" w:rsidP="005D1836">
      <w:pPr>
        <w:rPr>
          <w:sz w:val="20"/>
        </w:rPr>
      </w:pPr>
    </w:p>
    <w:p w14:paraId="45E25D9E" w14:textId="77777777" w:rsidR="005B7E1D" w:rsidRDefault="005B7E1D" w:rsidP="005D1836">
      <w:pPr>
        <w:tabs>
          <w:tab w:val="left" w:pos="7920"/>
        </w:tabs>
        <w:rPr>
          <w:b/>
          <w:sz w:val="22"/>
          <w:szCs w:val="22"/>
        </w:rPr>
      </w:pPr>
    </w:p>
    <w:p w14:paraId="4578326F" w14:textId="77777777" w:rsidR="005B7E1D" w:rsidRDefault="005B7E1D" w:rsidP="005D1836">
      <w:pPr>
        <w:tabs>
          <w:tab w:val="left" w:pos="7920"/>
        </w:tabs>
        <w:rPr>
          <w:b/>
          <w:sz w:val="22"/>
          <w:szCs w:val="22"/>
        </w:rPr>
      </w:pPr>
    </w:p>
    <w:p w14:paraId="6AC27334" w14:textId="77777777" w:rsidR="005B7E1D" w:rsidRDefault="005B7E1D" w:rsidP="005D1836">
      <w:pPr>
        <w:tabs>
          <w:tab w:val="left" w:pos="7920"/>
        </w:tabs>
        <w:rPr>
          <w:b/>
          <w:sz w:val="22"/>
          <w:szCs w:val="22"/>
        </w:rPr>
      </w:pPr>
    </w:p>
    <w:p w14:paraId="358A3D72" w14:textId="77777777" w:rsidR="005B7E1D" w:rsidRDefault="005B7E1D" w:rsidP="005D1836">
      <w:pPr>
        <w:tabs>
          <w:tab w:val="left" w:pos="7920"/>
        </w:tabs>
        <w:rPr>
          <w:b/>
          <w:sz w:val="22"/>
          <w:szCs w:val="22"/>
        </w:rPr>
      </w:pPr>
    </w:p>
    <w:p w14:paraId="7F2EE7DF" w14:textId="77777777" w:rsidR="005B7E1D" w:rsidRDefault="005B7E1D" w:rsidP="005D1836">
      <w:pPr>
        <w:tabs>
          <w:tab w:val="left" w:pos="7920"/>
        </w:tabs>
        <w:rPr>
          <w:b/>
          <w:sz w:val="22"/>
          <w:szCs w:val="22"/>
        </w:rPr>
      </w:pPr>
    </w:p>
    <w:p w14:paraId="348889D9" w14:textId="77777777" w:rsidR="005B7E1D" w:rsidRDefault="005B7E1D" w:rsidP="005D1836">
      <w:pPr>
        <w:tabs>
          <w:tab w:val="left" w:pos="7920"/>
        </w:tabs>
        <w:rPr>
          <w:b/>
          <w:sz w:val="22"/>
          <w:szCs w:val="22"/>
        </w:rPr>
      </w:pPr>
    </w:p>
    <w:p w14:paraId="3FDF87A4" w14:textId="45825876" w:rsidR="005D1836" w:rsidRPr="005162DF" w:rsidRDefault="005D1836" w:rsidP="005D1836">
      <w:pPr>
        <w:tabs>
          <w:tab w:val="left" w:pos="7920"/>
        </w:tabs>
        <w:rPr>
          <w:bCs/>
          <w:sz w:val="22"/>
          <w:szCs w:val="22"/>
        </w:rPr>
      </w:pPr>
      <w:r w:rsidRPr="00DA3AE2">
        <w:rPr>
          <w:b/>
          <w:sz w:val="22"/>
          <w:szCs w:val="22"/>
        </w:rPr>
        <w:t>BUSINESS ASSESSMENT (</w:t>
      </w:r>
      <w:r w:rsidRPr="005162DF">
        <w:rPr>
          <w:bCs/>
          <w:sz w:val="22"/>
          <w:szCs w:val="22"/>
        </w:rPr>
        <w:t>Option</w:t>
      </w:r>
      <w:r w:rsidR="005162DF" w:rsidRPr="005162DF">
        <w:rPr>
          <w:bCs/>
          <w:sz w:val="20"/>
        </w:rPr>
        <w:t xml:space="preserve"> 3</w:t>
      </w:r>
      <w:r w:rsidRPr="005162DF">
        <w:rPr>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73"/>
        <w:gridCol w:w="2254"/>
        <w:gridCol w:w="1248"/>
        <w:gridCol w:w="2031"/>
      </w:tblGrid>
      <w:tr w:rsidR="005D1836" w:rsidRPr="00DA3AE2" w14:paraId="2B0F6C67" w14:textId="77777777" w:rsidTr="005D1836">
        <w:tc>
          <w:tcPr>
            <w:tcW w:w="6948" w:type="dxa"/>
            <w:gridSpan w:val="3"/>
            <w:tcBorders>
              <w:top w:val="single" w:sz="4" w:space="0" w:color="auto"/>
            </w:tcBorders>
            <w:shd w:val="clear" w:color="auto" w:fill="auto"/>
          </w:tcPr>
          <w:p w14:paraId="7D63720B" w14:textId="4B04A880" w:rsidR="005D1836" w:rsidRPr="00DA3AE2" w:rsidRDefault="005D1836" w:rsidP="00B9119B">
            <w:pPr>
              <w:tabs>
                <w:tab w:val="left" w:pos="7920"/>
              </w:tabs>
              <w:rPr>
                <w:b/>
                <w:sz w:val="22"/>
                <w:szCs w:val="22"/>
              </w:rPr>
            </w:pPr>
            <w:r w:rsidRPr="00DA3AE2">
              <w:rPr>
                <w:b/>
                <w:sz w:val="22"/>
                <w:szCs w:val="22"/>
              </w:rPr>
              <w:t>Direct Impact on business (Equivalent Annual) £</w:t>
            </w:r>
            <w:r w:rsidR="005345B3" w:rsidRPr="00DA3AE2">
              <w:t xml:space="preserve"> </w:t>
            </w:r>
          </w:p>
        </w:tc>
        <w:tc>
          <w:tcPr>
            <w:tcW w:w="1288" w:type="dxa"/>
            <w:tcBorders>
              <w:top w:val="single" w:sz="4" w:space="0" w:color="auto"/>
            </w:tcBorders>
            <w:shd w:val="clear" w:color="auto" w:fill="auto"/>
          </w:tcPr>
          <w:p w14:paraId="6B1B1D89" w14:textId="77777777" w:rsidR="005D1836" w:rsidRPr="00DA3AE2" w:rsidRDefault="005D1836" w:rsidP="005D1836">
            <w:pPr>
              <w:tabs>
                <w:tab w:val="left" w:pos="7920"/>
              </w:tabs>
              <w:rPr>
                <w:b/>
                <w:sz w:val="22"/>
                <w:szCs w:val="22"/>
              </w:rPr>
            </w:pPr>
          </w:p>
        </w:tc>
        <w:tc>
          <w:tcPr>
            <w:tcW w:w="2060" w:type="dxa"/>
            <w:tcBorders>
              <w:top w:val="single" w:sz="4" w:space="0" w:color="auto"/>
            </w:tcBorders>
            <w:shd w:val="clear" w:color="auto" w:fill="auto"/>
          </w:tcPr>
          <w:p w14:paraId="21389596" w14:textId="77777777" w:rsidR="005663A8" w:rsidRPr="005663A8" w:rsidRDefault="005663A8" w:rsidP="005663A8">
            <w:pPr>
              <w:tabs>
                <w:tab w:val="left" w:pos="7920"/>
              </w:tabs>
              <w:rPr>
                <w:sz w:val="20"/>
              </w:rPr>
            </w:pPr>
          </w:p>
          <w:p w14:paraId="0A48EF42" w14:textId="12CF6BF8" w:rsidR="005D1836" w:rsidRPr="005663A8" w:rsidRDefault="005663A8" w:rsidP="005663A8">
            <w:pPr>
              <w:tabs>
                <w:tab w:val="left" w:pos="7920"/>
              </w:tabs>
              <w:rPr>
                <w:sz w:val="20"/>
              </w:rPr>
            </w:pPr>
            <w:r w:rsidRPr="005663A8">
              <w:rPr>
                <w:sz w:val="20"/>
              </w:rPr>
              <w:t>A significant portion of the cost of ammonia reduction either now or in the future is likely to fall on businesses. These specific costs will be identified as regulation is proposed.</w:t>
            </w:r>
          </w:p>
        </w:tc>
      </w:tr>
      <w:tr w:rsidR="005D1836" w:rsidRPr="00DA3AE2" w14:paraId="25323197" w14:textId="77777777" w:rsidTr="005D1836">
        <w:trPr>
          <w:trHeight w:hRule="exact" w:val="284"/>
        </w:trPr>
        <w:tc>
          <w:tcPr>
            <w:tcW w:w="2316" w:type="dxa"/>
            <w:shd w:val="clear" w:color="auto" w:fill="auto"/>
          </w:tcPr>
          <w:p w14:paraId="09BE7274" w14:textId="2B2DBFB6" w:rsidR="005D1836" w:rsidRPr="00DA3AE2" w:rsidRDefault="005D1836" w:rsidP="005D1836">
            <w:pPr>
              <w:tabs>
                <w:tab w:val="left" w:pos="7920"/>
              </w:tabs>
              <w:rPr>
                <w:b/>
                <w:sz w:val="22"/>
                <w:szCs w:val="22"/>
              </w:rPr>
            </w:pPr>
            <w:r w:rsidRPr="00DA3AE2">
              <w:rPr>
                <w:b/>
                <w:sz w:val="22"/>
                <w:szCs w:val="22"/>
              </w:rPr>
              <w:t>Costs:</w:t>
            </w:r>
            <w:r w:rsidR="005B7E1D">
              <w:rPr>
                <w:b/>
                <w:sz w:val="22"/>
                <w:szCs w:val="22"/>
              </w:rPr>
              <w:t xml:space="preserve"> </w:t>
            </w:r>
          </w:p>
        </w:tc>
        <w:tc>
          <w:tcPr>
            <w:tcW w:w="2316" w:type="dxa"/>
            <w:shd w:val="clear" w:color="auto" w:fill="auto"/>
          </w:tcPr>
          <w:p w14:paraId="6A39871B" w14:textId="33320B76" w:rsidR="005D1836" w:rsidRPr="00DA3AE2" w:rsidRDefault="005D1836" w:rsidP="005D1836">
            <w:pPr>
              <w:tabs>
                <w:tab w:val="left" w:pos="7920"/>
              </w:tabs>
              <w:rPr>
                <w:b/>
                <w:sz w:val="22"/>
                <w:szCs w:val="22"/>
              </w:rPr>
            </w:pPr>
            <w:r w:rsidRPr="00DA3AE2">
              <w:rPr>
                <w:b/>
                <w:sz w:val="22"/>
                <w:szCs w:val="22"/>
              </w:rPr>
              <w:t>Benefits:</w:t>
            </w:r>
            <w:r w:rsidR="005B7E1D" w:rsidRPr="00DA3AE2">
              <w:rPr>
                <w:b/>
                <w:sz w:val="22"/>
                <w:szCs w:val="22"/>
              </w:rPr>
              <w:t xml:space="preserve"> </w:t>
            </w:r>
          </w:p>
        </w:tc>
        <w:tc>
          <w:tcPr>
            <w:tcW w:w="2316" w:type="dxa"/>
            <w:shd w:val="clear" w:color="auto" w:fill="auto"/>
          </w:tcPr>
          <w:p w14:paraId="3C011523" w14:textId="56AAFE7E" w:rsidR="005D1836" w:rsidRPr="00DA3AE2" w:rsidRDefault="005D1836" w:rsidP="005D1836">
            <w:pPr>
              <w:tabs>
                <w:tab w:val="left" w:pos="7920"/>
              </w:tabs>
              <w:rPr>
                <w:b/>
                <w:sz w:val="22"/>
                <w:szCs w:val="22"/>
              </w:rPr>
            </w:pPr>
            <w:r w:rsidRPr="00DA3AE2">
              <w:rPr>
                <w:b/>
                <w:sz w:val="22"/>
                <w:szCs w:val="22"/>
              </w:rPr>
              <w:t>Net:</w:t>
            </w:r>
            <w:r w:rsidR="005B7E1D" w:rsidRPr="00DA3AE2">
              <w:rPr>
                <w:b/>
                <w:sz w:val="22"/>
                <w:szCs w:val="22"/>
              </w:rPr>
              <w:t xml:space="preserve"> </w:t>
            </w:r>
          </w:p>
        </w:tc>
        <w:tc>
          <w:tcPr>
            <w:tcW w:w="1288" w:type="dxa"/>
            <w:shd w:val="clear" w:color="auto" w:fill="auto"/>
          </w:tcPr>
          <w:p w14:paraId="1094C300" w14:textId="77777777" w:rsidR="005D1836" w:rsidRPr="00DA3AE2" w:rsidRDefault="005D1836" w:rsidP="005D1836">
            <w:pPr>
              <w:tabs>
                <w:tab w:val="left" w:pos="7920"/>
              </w:tabs>
              <w:rPr>
                <w:b/>
                <w:sz w:val="22"/>
                <w:szCs w:val="22"/>
              </w:rPr>
            </w:pPr>
          </w:p>
        </w:tc>
        <w:tc>
          <w:tcPr>
            <w:tcW w:w="2060" w:type="dxa"/>
            <w:shd w:val="clear" w:color="auto" w:fill="auto"/>
          </w:tcPr>
          <w:p w14:paraId="36097DF7" w14:textId="77777777" w:rsidR="005D1836" w:rsidRPr="00DA3AE2" w:rsidRDefault="005D1836" w:rsidP="005D1836">
            <w:pPr>
              <w:tabs>
                <w:tab w:val="left" w:pos="7920"/>
              </w:tabs>
              <w:rPr>
                <w:b/>
                <w:sz w:val="22"/>
                <w:szCs w:val="22"/>
              </w:rPr>
            </w:pPr>
          </w:p>
        </w:tc>
      </w:tr>
    </w:tbl>
    <w:p w14:paraId="11A544ED" w14:textId="77777777" w:rsidR="005D1836" w:rsidRPr="00DA3AE2" w:rsidRDefault="005D1836" w:rsidP="005D1836">
      <w:pPr>
        <w:tabs>
          <w:tab w:val="left" w:pos="7920"/>
        </w:tabs>
        <w:rPr>
          <w:sz w:val="20"/>
        </w:rPr>
      </w:pPr>
    </w:p>
    <w:p w14:paraId="0C51EE20" w14:textId="71BD29D8" w:rsidR="005D1836" w:rsidRPr="00DA3AE2" w:rsidRDefault="005D1836" w:rsidP="005D1836">
      <w:pPr>
        <w:tabs>
          <w:tab w:val="left" w:pos="7920"/>
        </w:tabs>
        <w:rPr>
          <w:b/>
          <w:sz w:val="22"/>
          <w:szCs w:val="22"/>
        </w:rPr>
      </w:pPr>
      <w:r w:rsidRPr="00DA3AE2">
        <w:rPr>
          <w:b/>
          <w:sz w:val="22"/>
          <w:szCs w:val="22"/>
        </w:rPr>
        <w:t>Cross Border Issues (Option</w:t>
      </w:r>
      <w:r w:rsidR="005162DF">
        <w:rPr>
          <w:sz w:val="20"/>
        </w:rPr>
        <w:t xml:space="preserve"> </w:t>
      </w:r>
      <w:r w:rsidR="005162DF" w:rsidRPr="005162DF">
        <w:rPr>
          <w:b/>
          <w:bCs/>
          <w:sz w:val="20"/>
        </w:rPr>
        <w:t>3</w:t>
      </w:r>
      <w:r w:rsidRPr="005162DF">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D1836" w:rsidRPr="00DA3AE2" w14:paraId="121D545E" w14:textId="77777777" w:rsidTr="005B7E1D">
        <w:trPr>
          <w:trHeight w:hRule="exact" w:val="2147"/>
        </w:trPr>
        <w:tc>
          <w:tcPr>
            <w:tcW w:w="10296" w:type="dxa"/>
            <w:shd w:val="clear" w:color="auto" w:fill="auto"/>
          </w:tcPr>
          <w:p w14:paraId="3E28F3AD" w14:textId="77777777" w:rsidR="005D1836" w:rsidRPr="00DA3AE2" w:rsidRDefault="005D1836" w:rsidP="005D1836">
            <w:pPr>
              <w:tabs>
                <w:tab w:val="left" w:pos="7920"/>
              </w:tabs>
              <w:rPr>
                <w:sz w:val="20"/>
              </w:rPr>
            </w:pPr>
            <w:r w:rsidRPr="00DA3AE2">
              <w:rPr>
                <w:b/>
                <w:sz w:val="20"/>
              </w:rPr>
              <w:t xml:space="preserve">How does this option compare to other UK regions and to other EU Member States (particularly Republic of Ireland) </w:t>
            </w:r>
            <w:r w:rsidRPr="00DA3AE2">
              <w:rPr>
                <w:sz w:val="20"/>
              </w:rPr>
              <w:t>Maximum 3 lines</w:t>
            </w:r>
          </w:p>
          <w:p w14:paraId="3786A5CD" w14:textId="77777777" w:rsidR="005D1836" w:rsidRPr="00DA3AE2" w:rsidRDefault="005D1836" w:rsidP="005D1836">
            <w:pPr>
              <w:tabs>
                <w:tab w:val="left" w:pos="7920"/>
              </w:tabs>
              <w:rPr>
                <w:sz w:val="20"/>
              </w:rPr>
            </w:pPr>
          </w:p>
          <w:p w14:paraId="44191A93" w14:textId="2BBD7691" w:rsidR="005345B3" w:rsidRPr="00DA3AE2" w:rsidRDefault="00E20A29" w:rsidP="005345B3">
            <w:pPr>
              <w:tabs>
                <w:tab w:val="left" w:pos="7920"/>
              </w:tabs>
              <w:rPr>
                <w:sz w:val="20"/>
              </w:rPr>
            </w:pPr>
            <w:r w:rsidRPr="00DA3AE2">
              <w:rPr>
                <w:sz w:val="20"/>
              </w:rPr>
              <w:t>Each UK region is obliged to contribute to the overall UK ammonia reduction of 16% from 2005 levels by 2030. Defra have outlined their plans to reduce ammonia through requirements on urea fertiliser, low emission slurry spreading, slurry store covers and extension of environmental permitting. ROI analysis suggests similar measures will be taken to those proposed in NI</w:t>
            </w:r>
            <w:r w:rsidR="005B7E1D">
              <w:rPr>
                <w:sz w:val="20"/>
              </w:rPr>
              <w:t>.</w:t>
            </w:r>
          </w:p>
        </w:tc>
      </w:tr>
    </w:tbl>
    <w:p w14:paraId="0A3A6142" w14:textId="77777777" w:rsidR="005D1836" w:rsidRPr="00DA3AE2" w:rsidRDefault="005D1836" w:rsidP="005D1836">
      <w:pPr>
        <w:tabs>
          <w:tab w:val="left" w:pos="7920"/>
        </w:tabs>
        <w:rPr>
          <w:sz w:val="28"/>
          <w:szCs w:val="28"/>
        </w:rPr>
      </w:pPr>
    </w:p>
    <w:p w14:paraId="7CB1E2E9" w14:textId="77777777" w:rsidR="00E27E51" w:rsidRPr="00DA3AE2" w:rsidRDefault="005D1836" w:rsidP="005D1836">
      <w:pPr>
        <w:rPr>
          <w:b/>
          <w:sz w:val="28"/>
          <w:szCs w:val="28"/>
        </w:rPr>
      </w:pPr>
      <w:r w:rsidRPr="00DA3AE2">
        <w:rPr>
          <w:sz w:val="28"/>
          <w:szCs w:val="28"/>
        </w:rPr>
        <w:br w:type="page"/>
      </w:r>
      <w:r w:rsidR="00F447F1" w:rsidRPr="00DA3AE2">
        <w:rPr>
          <w:b/>
          <w:sz w:val="28"/>
          <w:szCs w:val="28"/>
        </w:rPr>
        <w:lastRenderedPageBreak/>
        <w:t>Evidence Base</w:t>
      </w:r>
    </w:p>
    <w:p w14:paraId="4F5AFEDA" w14:textId="77777777" w:rsidR="007104A8" w:rsidRPr="00DA3AE2" w:rsidRDefault="007104A8" w:rsidP="00F447F1">
      <w:pPr>
        <w:tabs>
          <w:tab w:val="left" w:pos="7920"/>
        </w:tabs>
        <w:rPr>
          <w:b/>
          <w:sz w:val="22"/>
          <w:szCs w:val="22"/>
        </w:rPr>
      </w:pPr>
    </w:p>
    <w:p w14:paraId="076D3D9F" w14:textId="77777777" w:rsidR="00720F35" w:rsidRPr="00DA3AE2" w:rsidRDefault="00720F35" w:rsidP="0032784D">
      <w:pPr>
        <w:tabs>
          <w:tab w:val="left" w:pos="7920"/>
        </w:tabs>
        <w:spacing w:line="276" w:lineRule="auto"/>
        <w:rPr>
          <w:b/>
          <w:sz w:val="22"/>
          <w:szCs w:val="22"/>
        </w:rPr>
      </w:pPr>
    </w:p>
    <w:p w14:paraId="04E1BE7A" w14:textId="4174EF62" w:rsidR="00720F35" w:rsidRPr="00DA3AE2" w:rsidRDefault="00460594" w:rsidP="0032784D">
      <w:pPr>
        <w:numPr>
          <w:ilvl w:val="0"/>
          <w:numId w:val="1"/>
        </w:numPr>
        <w:tabs>
          <w:tab w:val="left" w:pos="7920"/>
        </w:tabs>
        <w:spacing w:line="276" w:lineRule="auto"/>
        <w:rPr>
          <w:b/>
          <w:sz w:val="22"/>
          <w:szCs w:val="22"/>
        </w:rPr>
      </w:pPr>
      <w:r w:rsidRPr="00DA3AE2">
        <w:rPr>
          <w:b/>
          <w:sz w:val="22"/>
          <w:szCs w:val="22"/>
        </w:rPr>
        <w:t>Problem under consideration</w:t>
      </w:r>
    </w:p>
    <w:p w14:paraId="03765CDE" w14:textId="77777777" w:rsidR="00720F35" w:rsidRPr="00DA3AE2" w:rsidRDefault="00720F35" w:rsidP="0032784D">
      <w:pPr>
        <w:tabs>
          <w:tab w:val="left" w:pos="7920"/>
        </w:tabs>
        <w:spacing w:line="276" w:lineRule="auto"/>
        <w:ind w:left="360"/>
        <w:rPr>
          <w:sz w:val="22"/>
          <w:szCs w:val="22"/>
        </w:rPr>
      </w:pPr>
    </w:p>
    <w:p w14:paraId="4A811B7E" w14:textId="7CB12714" w:rsidR="00461B8E" w:rsidRPr="00DA3AE2" w:rsidRDefault="00720F35" w:rsidP="0032784D">
      <w:pPr>
        <w:tabs>
          <w:tab w:val="left" w:pos="7920"/>
        </w:tabs>
        <w:spacing w:line="276" w:lineRule="auto"/>
        <w:rPr>
          <w:sz w:val="22"/>
          <w:szCs w:val="22"/>
        </w:rPr>
      </w:pPr>
      <w:r w:rsidRPr="00DA3AE2">
        <w:rPr>
          <w:sz w:val="22"/>
          <w:szCs w:val="22"/>
        </w:rPr>
        <w:t>The UK has international commitments to reduce ammonia emissions by 16% by 2030, based on 2005 levels</w:t>
      </w:r>
      <w:r w:rsidR="009E3084" w:rsidRPr="00DA3AE2">
        <w:rPr>
          <w:sz w:val="22"/>
          <w:szCs w:val="22"/>
        </w:rPr>
        <w:t>. Northern Ireland is expected to contribute to the required reductions</w:t>
      </w:r>
      <w:r w:rsidR="00460594" w:rsidRPr="00DA3AE2">
        <w:rPr>
          <w:sz w:val="22"/>
          <w:szCs w:val="22"/>
        </w:rPr>
        <w:t xml:space="preserve"> but is currently producing a disproportionately large amount of total UK </w:t>
      </w:r>
      <w:r w:rsidR="0037544D" w:rsidRPr="00DA3AE2">
        <w:rPr>
          <w:sz w:val="22"/>
          <w:szCs w:val="22"/>
        </w:rPr>
        <w:t xml:space="preserve">ammonia emissions due to the predominance of livestock production in the agriculture industry. </w:t>
      </w:r>
      <w:r w:rsidR="006C603F" w:rsidRPr="00DA3AE2">
        <w:rPr>
          <w:sz w:val="22"/>
          <w:szCs w:val="22"/>
        </w:rPr>
        <w:t>Northern Ireland has 6% of the UK land area and 3% of the population and is responsible for 12% of UK ammonia emissions.</w:t>
      </w:r>
    </w:p>
    <w:p w14:paraId="1ECEF0D3" w14:textId="77777777" w:rsidR="00461B8E" w:rsidRPr="00DA3AE2" w:rsidRDefault="00461B8E" w:rsidP="0032784D">
      <w:pPr>
        <w:tabs>
          <w:tab w:val="left" w:pos="7920"/>
        </w:tabs>
        <w:spacing w:line="276" w:lineRule="auto"/>
        <w:ind w:left="360"/>
        <w:rPr>
          <w:sz w:val="22"/>
          <w:szCs w:val="22"/>
        </w:rPr>
      </w:pPr>
    </w:p>
    <w:p w14:paraId="29AB7C47" w14:textId="2E936757" w:rsidR="00461B8E" w:rsidRPr="00DA3AE2" w:rsidRDefault="009E3084" w:rsidP="0032784D">
      <w:pPr>
        <w:tabs>
          <w:tab w:val="left" w:pos="7920"/>
        </w:tabs>
        <w:spacing w:line="276" w:lineRule="auto"/>
        <w:rPr>
          <w:sz w:val="22"/>
          <w:szCs w:val="22"/>
        </w:rPr>
      </w:pPr>
      <w:r w:rsidRPr="00DA3AE2">
        <w:rPr>
          <w:sz w:val="22"/>
          <w:szCs w:val="22"/>
        </w:rPr>
        <w:t>Agricultural activities</w:t>
      </w:r>
      <w:r w:rsidR="00461B8E" w:rsidRPr="00DA3AE2">
        <w:rPr>
          <w:sz w:val="22"/>
          <w:szCs w:val="22"/>
        </w:rPr>
        <w:t xml:space="preserve"> associated with livestock manure management and fertiliser spreading are the main source of ammonia levels in Northern Ireland, shown in Table 1 for 2005 and 2019. Ammonia emissions from agriculture in Northern Ireland increased from 2005 to 2019.</w:t>
      </w:r>
    </w:p>
    <w:p w14:paraId="52C8618A" w14:textId="77777777" w:rsidR="00454A20" w:rsidRPr="00DA3AE2" w:rsidRDefault="00454A20" w:rsidP="0032784D">
      <w:pPr>
        <w:tabs>
          <w:tab w:val="left" w:pos="7920"/>
        </w:tabs>
        <w:spacing w:line="276" w:lineRule="auto"/>
        <w:rPr>
          <w:sz w:val="22"/>
          <w:szCs w:val="22"/>
        </w:rPr>
      </w:pPr>
    </w:p>
    <w:p w14:paraId="40921564" w14:textId="77777777" w:rsidR="00461B8E" w:rsidRPr="00DA3AE2" w:rsidRDefault="00461B8E" w:rsidP="0032784D">
      <w:pPr>
        <w:tabs>
          <w:tab w:val="left" w:pos="7920"/>
        </w:tabs>
        <w:spacing w:line="276" w:lineRule="auto"/>
        <w:ind w:left="360"/>
        <w:rPr>
          <w:sz w:val="22"/>
          <w:szCs w:val="22"/>
        </w:rPr>
      </w:pPr>
    </w:p>
    <w:p w14:paraId="3BB9A593" w14:textId="0EE9D31A" w:rsidR="00461B8E" w:rsidRPr="00DA3AE2" w:rsidRDefault="00461B8E" w:rsidP="0032784D">
      <w:pPr>
        <w:tabs>
          <w:tab w:val="left" w:pos="7920"/>
        </w:tabs>
        <w:spacing w:line="276" w:lineRule="auto"/>
        <w:ind w:left="360"/>
        <w:jc w:val="center"/>
        <w:rPr>
          <w:sz w:val="22"/>
          <w:szCs w:val="22"/>
        </w:rPr>
      </w:pPr>
      <w:r w:rsidRPr="005B7E1D">
        <w:rPr>
          <w:sz w:val="22"/>
          <w:szCs w:val="22"/>
        </w:rPr>
        <w:t>Table 1. Source</w:t>
      </w:r>
      <w:r w:rsidR="006C603F" w:rsidRPr="005B7E1D">
        <w:rPr>
          <w:sz w:val="22"/>
          <w:szCs w:val="22"/>
        </w:rPr>
        <w:t>s</w:t>
      </w:r>
      <w:r w:rsidRPr="005B7E1D">
        <w:rPr>
          <w:sz w:val="22"/>
          <w:szCs w:val="22"/>
        </w:rPr>
        <w:t xml:space="preserve"> of </w:t>
      </w:r>
      <w:r w:rsidR="005B7E1D">
        <w:rPr>
          <w:sz w:val="22"/>
          <w:szCs w:val="22"/>
        </w:rPr>
        <w:t>A</w:t>
      </w:r>
      <w:r w:rsidRPr="005B7E1D">
        <w:rPr>
          <w:sz w:val="22"/>
          <w:szCs w:val="22"/>
        </w:rPr>
        <w:t>mmonia in Northern Ireland in 2005 and 20</w:t>
      </w:r>
      <w:r w:rsidR="00695537" w:rsidRPr="005B7E1D">
        <w:rPr>
          <w:sz w:val="22"/>
          <w:szCs w:val="22"/>
        </w:rPr>
        <w:t>20</w:t>
      </w:r>
      <w:r w:rsidRPr="005B7E1D">
        <w:rPr>
          <w:sz w:val="22"/>
          <w:szCs w:val="22"/>
        </w:rPr>
        <w:t>.</w:t>
      </w:r>
      <w:r w:rsidRPr="005B7E1D">
        <w:rPr>
          <w:rStyle w:val="FootnoteReference"/>
          <w:sz w:val="22"/>
          <w:szCs w:val="22"/>
        </w:rPr>
        <w:footnoteReference w:id="3"/>
      </w:r>
      <w:r w:rsidR="00695537">
        <w:rPr>
          <w:sz w:val="22"/>
          <w:szCs w:val="22"/>
        </w:rPr>
        <w:t xml:space="preserve"> </w:t>
      </w:r>
    </w:p>
    <w:p w14:paraId="048D2362" w14:textId="5C11C547" w:rsidR="00720F35" w:rsidRPr="00DA3AE2" w:rsidRDefault="00461B8E" w:rsidP="0032784D">
      <w:pPr>
        <w:tabs>
          <w:tab w:val="left" w:pos="7920"/>
        </w:tabs>
        <w:spacing w:line="276" w:lineRule="auto"/>
        <w:ind w:left="360"/>
        <w:rPr>
          <w:sz w:val="22"/>
          <w:szCs w:val="22"/>
        </w:rPr>
      </w:pPr>
      <w:r w:rsidRPr="00DA3AE2">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024"/>
        <w:gridCol w:w="1786"/>
      </w:tblGrid>
      <w:tr w:rsidR="009E3084" w:rsidRPr="00DA3AE2" w14:paraId="0C30AF57" w14:textId="7275F62B" w:rsidTr="001A00B8">
        <w:trPr>
          <w:jc w:val="center"/>
        </w:trPr>
        <w:tc>
          <w:tcPr>
            <w:tcW w:w="2739" w:type="dxa"/>
            <w:shd w:val="clear" w:color="auto" w:fill="auto"/>
          </w:tcPr>
          <w:p w14:paraId="16333006" w14:textId="77777777" w:rsidR="001A00B8" w:rsidRPr="001A00B8" w:rsidRDefault="001A00B8" w:rsidP="0032784D">
            <w:pPr>
              <w:tabs>
                <w:tab w:val="left" w:pos="7920"/>
              </w:tabs>
              <w:spacing w:line="276" w:lineRule="auto"/>
              <w:jc w:val="center"/>
              <w:rPr>
                <w:b/>
                <w:bCs/>
                <w:sz w:val="20"/>
                <w:szCs w:val="22"/>
              </w:rPr>
            </w:pPr>
          </w:p>
          <w:p w14:paraId="0550C0ED" w14:textId="45FC5530" w:rsidR="009E3084" w:rsidRPr="001A00B8" w:rsidRDefault="009E3084" w:rsidP="0032784D">
            <w:pPr>
              <w:tabs>
                <w:tab w:val="left" w:pos="7920"/>
              </w:tabs>
              <w:spacing w:line="276" w:lineRule="auto"/>
              <w:jc w:val="center"/>
              <w:rPr>
                <w:b/>
                <w:bCs/>
                <w:sz w:val="20"/>
                <w:szCs w:val="22"/>
              </w:rPr>
            </w:pPr>
            <w:r w:rsidRPr="001A00B8">
              <w:rPr>
                <w:b/>
                <w:bCs/>
                <w:sz w:val="20"/>
                <w:szCs w:val="22"/>
              </w:rPr>
              <w:t xml:space="preserve">Sources of </w:t>
            </w:r>
            <w:r w:rsidR="001A00B8">
              <w:rPr>
                <w:b/>
                <w:bCs/>
                <w:sz w:val="20"/>
                <w:szCs w:val="22"/>
              </w:rPr>
              <w:t>A</w:t>
            </w:r>
            <w:r w:rsidRPr="001A00B8">
              <w:rPr>
                <w:b/>
                <w:bCs/>
                <w:sz w:val="20"/>
                <w:szCs w:val="22"/>
              </w:rPr>
              <w:t>mmonia in NI</w:t>
            </w:r>
          </w:p>
        </w:tc>
        <w:tc>
          <w:tcPr>
            <w:tcW w:w="2024" w:type="dxa"/>
            <w:shd w:val="clear" w:color="auto" w:fill="auto"/>
          </w:tcPr>
          <w:p w14:paraId="0CD9CA7F" w14:textId="77777777" w:rsidR="009E3084" w:rsidRPr="001A00B8" w:rsidRDefault="009E3084" w:rsidP="0032784D">
            <w:pPr>
              <w:tabs>
                <w:tab w:val="left" w:pos="7920"/>
              </w:tabs>
              <w:spacing w:line="276" w:lineRule="auto"/>
              <w:jc w:val="center"/>
              <w:rPr>
                <w:b/>
                <w:bCs/>
                <w:sz w:val="20"/>
                <w:szCs w:val="22"/>
              </w:rPr>
            </w:pPr>
          </w:p>
          <w:p w14:paraId="0605F002" w14:textId="314949D0" w:rsidR="009E3084" w:rsidRPr="001A00B8" w:rsidRDefault="009E3084" w:rsidP="0032784D">
            <w:pPr>
              <w:tabs>
                <w:tab w:val="left" w:pos="7920"/>
              </w:tabs>
              <w:spacing w:line="276" w:lineRule="auto"/>
              <w:jc w:val="center"/>
              <w:rPr>
                <w:b/>
                <w:bCs/>
                <w:sz w:val="20"/>
                <w:szCs w:val="22"/>
              </w:rPr>
            </w:pPr>
            <w:r w:rsidRPr="001A00B8">
              <w:rPr>
                <w:b/>
                <w:bCs/>
                <w:sz w:val="20"/>
                <w:szCs w:val="22"/>
              </w:rPr>
              <w:t>2005 (kt)</w:t>
            </w:r>
          </w:p>
        </w:tc>
        <w:tc>
          <w:tcPr>
            <w:tcW w:w="1786" w:type="dxa"/>
            <w:shd w:val="clear" w:color="auto" w:fill="auto"/>
          </w:tcPr>
          <w:p w14:paraId="1A3A1BBE" w14:textId="77777777" w:rsidR="009E3084" w:rsidRPr="001A00B8" w:rsidRDefault="009E3084" w:rsidP="0032784D">
            <w:pPr>
              <w:tabs>
                <w:tab w:val="left" w:pos="7920"/>
              </w:tabs>
              <w:spacing w:line="276" w:lineRule="auto"/>
              <w:jc w:val="center"/>
              <w:rPr>
                <w:b/>
                <w:bCs/>
                <w:sz w:val="20"/>
                <w:szCs w:val="22"/>
              </w:rPr>
            </w:pPr>
          </w:p>
          <w:p w14:paraId="4977B931" w14:textId="52027352" w:rsidR="009E3084" w:rsidRPr="001A00B8" w:rsidRDefault="009E3084" w:rsidP="0032784D">
            <w:pPr>
              <w:tabs>
                <w:tab w:val="left" w:pos="7920"/>
              </w:tabs>
              <w:spacing w:line="276" w:lineRule="auto"/>
              <w:jc w:val="center"/>
              <w:rPr>
                <w:b/>
                <w:bCs/>
                <w:sz w:val="20"/>
                <w:szCs w:val="22"/>
              </w:rPr>
            </w:pPr>
            <w:r w:rsidRPr="001A00B8">
              <w:rPr>
                <w:b/>
                <w:bCs/>
                <w:sz w:val="20"/>
                <w:szCs w:val="22"/>
              </w:rPr>
              <w:t>20</w:t>
            </w:r>
            <w:r w:rsidR="00695537" w:rsidRPr="001A00B8">
              <w:rPr>
                <w:b/>
                <w:bCs/>
                <w:sz w:val="20"/>
                <w:szCs w:val="22"/>
              </w:rPr>
              <w:t>20</w:t>
            </w:r>
            <w:r w:rsidRPr="001A00B8">
              <w:rPr>
                <w:b/>
                <w:bCs/>
                <w:sz w:val="20"/>
                <w:szCs w:val="22"/>
              </w:rPr>
              <w:t xml:space="preserve"> (kt)</w:t>
            </w:r>
          </w:p>
        </w:tc>
      </w:tr>
      <w:tr w:rsidR="009E3084" w:rsidRPr="00DA3AE2" w14:paraId="4FBED600" w14:textId="52390F18" w:rsidTr="001A00B8">
        <w:trPr>
          <w:trHeight w:val="313"/>
          <w:jc w:val="center"/>
        </w:trPr>
        <w:tc>
          <w:tcPr>
            <w:tcW w:w="2739" w:type="dxa"/>
            <w:shd w:val="clear" w:color="auto" w:fill="auto"/>
          </w:tcPr>
          <w:p w14:paraId="3735B589" w14:textId="77777777" w:rsidR="009E3084" w:rsidRPr="001A00B8" w:rsidRDefault="009E3084" w:rsidP="0032784D">
            <w:pPr>
              <w:tabs>
                <w:tab w:val="left" w:pos="7920"/>
              </w:tabs>
              <w:spacing w:line="276" w:lineRule="auto"/>
              <w:jc w:val="center"/>
              <w:rPr>
                <w:b/>
                <w:bCs/>
                <w:sz w:val="20"/>
                <w:szCs w:val="22"/>
              </w:rPr>
            </w:pPr>
          </w:p>
          <w:p w14:paraId="42C344FE" w14:textId="41082FE9" w:rsidR="009E3084" w:rsidRPr="001A00B8" w:rsidRDefault="009E3084" w:rsidP="0032784D">
            <w:pPr>
              <w:tabs>
                <w:tab w:val="left" w:pos="7920"/>
              </w:tabs>
              <w:spacing w:line="276" w:lineRule="auto"/>
              <w:jc w:val="center"/>
              <w:rPr>
                <w:b/>
                <w:bCs/>
                <w:sz w:val="20"/>
                <w:szCs w:val="22"/>
              </w:rPr>
            </w:pPr>
            <w:r w:rsidRPr="001A00B8">
              <w:rPr>
                <w:b/>
                <w:bCs/>
                <w:sz w:val="20"/>
                <w:szCs w:val="22"/>
              </w:rPr>
              <w:t>Agriculture</w:t>
            </w:r>
          </w:p>
        </w:tc>
        <w:tc>
          <w:tcPr>
            <w:tcW w:w="2024" w:type="dxa"/>
            <w:shd w:val="clear" w:color="auto" w:fill="auto"/>
          </w:tcPr>
          <w:p w14:paraId="032B6B4F" w14:textId="77777777" w:rsidR="009E3084" w:rsidRPr="001A00B8" w:rsidRDefault="009E3084" w:rsidP="0032784D">
            <w:pPr>
              <w:tabs>
                <w:tab w:val="left" w:pos="7920"/>
              </w:tabs>
              <w:spacing w:line="276" w:lineRule="auto"/>
              <w:jc w:val="center"/>
              <w:rPr>
                <w:b/>
                <w:bCs/>
                <w:sz w:val="20"/>
                <w:szCs w:val="22"/>
              </w:rPr>
            </w:pPr>
          </w:p>
          <w:p w14:paraId="583A9A71" w14:textId="0DEBE3C8" w:rsidR="009E3084" w:rsidRPr="001A00B8" w:rsidRDefault="009E3084" w:rsidP="0032784D">
            <w:pPr>
              <w:tabs>
                <w:tab w:val="left" w:pos="7920"/>
              </w:tabs>
              <w:spacing w:line="276" w:lineRule="auto"/>
              <w:jc w:val="center"/>
              <w:rPr>
                <w:b/>
                <w:bCs/>
                <w:sz w:val="20"/>
                <w:szCs w:val="22"/>
              </w:rPr>
            </w:pPr>
            <w:r w:rsidRPr="001A00B8">
              <w:rPr>
                <w:b/>
                <w:bCs/>
                <w:sz w:val="20"/>
                <w:szCs w:val="22"/>
              </w:rPr>
              <w:t>29.</w:t>
            </w:r>
            <w:r w:rsidR="00695537" w:rsidRPr="001A00B8">
              <w:rPr>
                <w:b/>
                <w:bCs/>
                <w:sz w:val="20"/>
                <w:szCs w:val="22"/>
              </w:rPr>
              <w:t>2</w:t>
            </w:r>
          </w:p>
        </w:tc>
        <w:tc>
          <w:tcPr>
            <w:tcW w:w="1786" w:type="dxa"/>
            <w:shd w:val="clear" w:color="auto" w:fill="auto"/>
          </w:tcPr>
          <w:p w14:paraId="3DA3B79C" w14:textId="77777777" w:rsidR="009E3084" w:rsidRPr="001A00B8" w:rsidRDefault="009E3084" w:rsidP="0032784D">
            <w:pPr>
              <w:tabs>
                <w:tab w:val="left" w:pos="7920"/>
              </w:tabs>
              <w:spacing w:line="276" w:lineRule="auto"/>
              <w:jc w:val="center"/>
              <w:rPr>
                <w:b/>
                <w:bCs/>
                <w:sz w:val="20"/>
                <w:szCs w:val="22"/>
              </w:rPr>
            </w:pPr>
          </w:p>
          <w:p w14:paraId="0CE8B5A3" w14:textId="321D4831" w:rsidR="009E3084" w:rsidRPr="001A00B8" w:rsidRDefault="009E3084" w:rsidP="0032784D">
            <w:pPr>
              <w:tabs>
                <w:tab w:val="left" w:pos="7920"/>
              </w:tabs>
              <w:spacing w:line="276" w:lineRule="auto"/>
              <w:jc w:val="center"/>
              <w:rPr>
                <w:b/>
                <w:bCs/>
                <w:sz w:val="20"/>
                <w:szCs w:val="22"/>
              </w:rPr>
            </w:pPr>
            <w:r w:rsidRPr="001A00B8">
              <w:rPr>
                <w:b/>
                <w:bCs/>
                <w:sz w:val="20"/>
                <w:szCs w:val="22"/>
              </w:rPr>
              <w:t>31.</w:t>
            </w:r>
            <w:r w:rsidR="00695537" w:rsidRPr="001A00B8">
              <w:rPr>
                <w:b/>
                <w:bCs/>
                <w:sz w:val="20"/>
                <w:szCs w:val="22"/>
              </w:rPr>
              <w:t>2</w:t>
            </w:r>
          </w:p>
        </w:tc>
      </w:tr>
      <w:tr w:rsidR="009E3084" w:rsidRPr="00DA3AE2" w14:paraId="1C1C4184" w14:textId="3F8BA045" w:rsidTr="001A00B8">
        <w:trPr>
          <w:jc w:val="center"/>
        </w:trPr>
        <w:tc>
          <w:tcPr>
            <w:tcW w:w="2739" w:type="dxa"/>
            <w:shd w:val="clear" w:color="auto" w:fill="auto"/>
          </w:tcPr>
          <w:p w14:paraId="22820AEF" w14:textId="77777777" w:rsidR="009E3084" w:rsidRPr="001A00B8" w:rsidRDefault="009E3084" w:rsidP="0032784D">
            <w:pPr>
              <w:tabs>
                <w:tab w:val="left" w:pos="7920"/>
              </w:tabs>
              <w:spacing w:line="276" w:lineRule="auto"/>
              <w:jc w:val="center"/>
              <w:rPr>
                <w:b/>
                <w:bCs/>
                <w:sz w:val="20"/>
                <w:szCs w:val="22"/>
              </w:rPr>
            </w:pPr>
          </w:p>
          <w:p w14:paraId="6724A03B" w14:textId="3B785B53" w:rsidR="009E3084" w:rsidRPr="001A00B8" w:rsidRDefault="009E3084" w:rsidP="0032784D">
            <w:pPr>
              <w:tabs>
                <w:tab w:val="left" w:pos="7920"/>
              </w:tabs>
              <w:spacing w:line="276" w:lineRule="auto"/>
              <w:jc w:val="center"/>
              <w:rPr>
                <w:b/>
                <w:bCs/>
                <w:sz w:val="20"/>
                <w:szCs w:val="22"/>
              </w:rPr>
            </w:pPr>
            <w:r w:rsidRPr="001A00B8">
              <w:rPr>
                <w:b/>
                <w:bCs/>
                <w:sz w:val="20"/>
                <w:szCs w:val="22"/>
              </w:rPr>
              <w:t>Other sources</w:t>
            </w:r>
          </w:p>
        </w:tc>
        <w:tc>
          <w:tcPr>
            <w:tcW w:w="2024" w:type="dxa"/>
            <w:shd w:val="clear" w:color="auto" w:fill="auto"/>
          </w:tcPr>
          <w:p w14:paraId="33C06997" w14:textId="77777777" w:rsidR="009E3084" w:rsidRPr="001A00B8" w:rsidRDefault="009E3084" w:rsidP="0032784D">
            <w:pPr>
              <w:tabs>
                <w:tab w:val="left" w:pos="7920"/>
              </w:tabs>
              <w:spacing w:line="276" w:lineRule="auto"/>
              <w:jc w:val="center"/>
              <w:rPr>
                <w:b/>
                <w:bCs/>
                <w:sz w:val="20"/>
                <w:szCs w:val="22"/>
              </w:rPr>
            </w:pPr>
          </w:p>
          <w:p w14:paraId="0323D64C" w14:textId="135462E3" w:rsidR="009E3084" w:rsidRPr="001A00B8" w:rsidRDefault="009E3084" w:rsidP="0032784D">
            <w:pPr>
              <w:tabs>
                <w:tab w:val="left" w:pos="7920"/>
              </w:tabs>
              <w:spacing w:line="276" w:lineRule="auto"/>
              <w:jc w:val="center"/>
              <w:rPr>
                <w:b/>
                <w:bCs/>
                <w:sz w:val="20"/>
                <w:szCs w:val="22"/>
              </w:rPr>
            </w:pPr>
            <w:r w:rsidRPr="001A00B8">
              <w:rPr>
                <w:b/>
                <w:bCs/>
                <w:sz w:val="20"/>
                <w:szCs w:val="22"/>
              </w:rPr>
              <w:t>1.3</w:t>
            </w:r>
          </w:p>
        </w:tc>
        <w:tc>
          <w:tcPr>
            <w:tcW w:w="1786" w:type="dxa"/>
            <w:shd w:val="clear" w:color="auto" w:fill="auto"/>
          </w:tcPr>
          <w:p w14:paraId="4CC7A2EE" w14:textId="77777777" w:rsidR="009E3084" w:rsidRPr="001A00B8" w:rsidRDefault="009E3084" w:rsidP="0032784D">
            <w:pPr>
              <w:tabs>
                <w:tab w:val="left" w:pos="7920"/>
              </w:tabs>
              <w:spacing w:line="276" w:lineRule="auto"/>
              <w:jc w:val="center"/>
              <w:rPr>
                <w:b/>
                <w:bCs/>
                <w:sz w:val="20"/>
                <w:szCs w:val="22"/>
              </w:rPr>
            </w:pPr>
          </w:p>
          <w:p w14:paraId="77F71B3C" w14:textId="7F6A7720" w:rsidR="009E3084" w:rsidRPr="001A00B8" w:rsidRDefault="00695537" w:rsidP="0032784D">
            <w:pPr>
              <w:tabs>
                <w:tab w:val="left" w:pos="7920"/>
              </w:tabs>
              <w:spacing w:line="276" w:lineRule="auto"/>
              <w:jc w:val="center"/>
              <w:rPr>
                <w:b/>
                <w:bCs/>
                <w:sz w:val="20"/>
                <w:szCs w:val="22"/>
              </w:rPr>
            </w:pPr>
            <w:r w:rsidRPr="001A00B8">
              <w:rPr>
                <w:b/>
                <w:bCs/>
                <w:sz w:val="20"/>
                <w:szCs w:val="22"/>
              </w:rPr>
              <w:t>0.97</w:t>
            </w:r>
          </w:p>
        </w:tc>
      </w:tr>
      <w:tr w:rsidR="009E3084" w:rsidRPr="00DA3AE2" w14:paraId="744C355F" w14:textId="3D6B66BB" w:rsidTr="001A00B8">
        <w:trPr>
          <w:jc w:val="center"/>
        </w:trPr>
        <w:tc>
          <w:tcPr>
            <w:tcW w:w="2739" w:type="dxa"/>
            <w:shd w:val="clear" w:color="auto" w:fill="auto"/>
          </w:tcPr>
          <w:p w14:paraId="71EA3535" w14:textId="77777777" w:rsidR="009E3084" w:rsidRPr="001A00B8" w:rsidRDefault="009E3084" w:rsidP="0032784D">
            <w:pPr>
              <w:tabs>
                <w:tab w:val="left" w:pos="7920"/>
              </w:tabs>
              <w:spacing w:line="276" w:lineRule="auto"/>
              <w:jc w:val="center"/>
              <w:rPr>
                <w:b/>
                <w:bCs/>
                <w:sz w:val="20"/>
                <w:szCs w:val="22"/>
              </w:rPr>
            </w:pPr>
          </w:p>
          <w:p w14:paraId="40ABE7AF" w14:textId="06DA2CC0" w:rsidR="009E3084" w:rsidRPr="001A00B8" w:rsidRDefault="009E3084" w:rsidP="0032784D">
            <w:pPr>
              <w:tabs>
                <w:tab w:val="left" w:pos="7920"/>
              </w:tabs>
              <w:spacing w:line="276" w:lineRule="auto"/>
              <w:jc w:val="center"/>
              <w:rPr>
                <w:b/>
                <w:bCs/>
                <w:sz w:val="20"/>
                <w:szCs w:val="22"/>
              </w:rPr>
            </w:pPr>
            <w:r w:rsidRPr="001A00B8">
              <w:rPr>
                <w:b/>
                <w:bCs/>
                <w:sz w:val="20"/>
                <w:szCs w:val="22"/>
              </w:rPr>
              <w:t>Total</w:t>
            </w:r>
          </w:p>
        </w:tc>
        <w:tc>
          <w:tcPr>
            <w:tcW w:w="2024" w:type="dxa"/>
            <w:shd w:val="clear" w:color="auto" w:fill="auto"/>
          </w:tcPr>
          <w:p w14:paraId="779F844F" w14:textId="77777777" w:rsidR="009E3084" w:rsidRPr="001A00B8" w:rsidRDefault="009E3084" w:rsidP="0032784D">
            <w:pPr>
              <w:tabs>
                <w:tab w:val="left" w:pos="7920"/>
              </w:tabs>
              <w:spacing w:line="276" w:lineRule="auto"/>
              <w:jc w:val="center"/>
              <w:rPr>
                <w:b/>
                <w:bCs/>
                <w:sz w:val="20"/>
                <w:szCs w:val="22"/>
              </w:rPr>
            </w:pPr>
          </w:p>
          <w:p w14:paraId="1DE3F294" w14:textId="41E395A5" w:rsidR="009E3084" w:rsidRPr="001A00B8" w:rsidRDefault="009E3084" w:rsidP="0032784D">
            <w:pPr>
              <w:tabs>
                <w:tab w:val="left" w:pos="7920"/>
              </w:tabs>
              <w:spacing w:line="276" w:lineRule="auto"/>
              <w:jc w:val="center"/>
              <w:rPr>
                <w:b/>
                <w:bCs/>
                <w:sz w:val="20"/>
                <w:szCs w:val="22"/>
              </w:rPr>
            </w:pPr>
            <w:r w:rsidRPr="001A00B8">
              <w:rPr>
                <w:b/>
                <w:bCs/>
                <w:sz w:val="20"/>
                <w:szCs w:val="22"/>
              </w:rPr>
              <w:t>30.</w:t>
            </w:r>
            <w:r w:rsidR="00695537" w:rsidRPr="001A00B8">
              <w:rPr>
                <w:b/>
                <w:bCs/>
                <w:sz w:val="20"/>
                <w:szCs w:val="22"/>
              </w:rPr>
              <w:t>5</w:t>
            </w:r>
          </w:p>
        </w:tc>
        <w:tc>
          <w:tcPr>
            <w:tcW w:w="1786" w:type="dxa"/>
            <w:shd w:val="clear" w:color="auto" w:fill="auto"/>
          </w:tcPr>
          <w:p w14:paraId="21C25456" w14:textId="77777777" w:rsidR="009E3084" w:rsidRPr="001A00B8" w:rsidRDefault="009E3084" w:rsidP="0032784D">
            <w:pPr>
              <w:tabs>
                <w:tab w:val="left" w:pos="7920"/>
              </w:tabs>
              <w:spacing w:line="276" w:lineRule="auto"/>
              <w:jc w:val="center"/>
              <w:rPr>
                <w:b/>
                <w:bCs/>
                <w:sz w:val="20"/>
                <w:szCs w:val="22"/>
              </w:rPr>
            </w:pPr>
          </w:p>
          <w:p w14:paraId="78754468" w14:textId="1CD31DB0" w:rsidR="009E3084" w:rsidRPr="001A00B8" w:rsidRDefault="009E3084" w:rsidP="0032784D">
            <w:pPr>
              <w:tabs>
                <w:tab w:val="left" w:pos="7920"/>
              </w:tabs>
              <w:spacing w:line="276" w:lineRule="auto"/>
              <w:jc w:val="center"/>
              <w:rPr>
                <w:b/>
                <w:bCs/>
                <w:sz w:val="20"/>
                <w:szCs w:val="22"/>
              </w:rPr>
            </w:pPr>
            <w:r w:rsidRPr="001A00B8">
              <w:rPr>
                <w:b/>
                <w:bCs/>
                <w:sz w:val="20"/>
                <w:szCs w:val="22"/>
              </w:rPr>
              <w:t>32.</w:t>
            </w:r>
            <w:r w:rsidR="00695537" w:rsidRPr="001A00B8">
              <w:rPr>
                <w:b/>
                <w:bCs/>
                <w:sz w:val="20"/>
                <w:szCs w:val="22"/>
              </w:rPr>
              <w:t>1</w:t>
            </w:r>
          </w:p>
        </w:tc>
      </w:tr>
    </w:tbl>
    <w:p w14:paraId="35931462" w14:textId="77777777" w:rsidR="00720F35" w:rsidRPr="00DA3AE2" w:rsidRDefault="00720F35" w:rsidP="0032784D">
      <w:pPr>
        <w:tabs>
          <w:tab w:val="left" w:pos="7920"/>
        </w:tabs>
        <w:spacing w:line="276" w:lineRule="auto"/>
        <w:ind w:left="360"/>
        <w:rPr>
          <w:sz w:val="22"/>
          <w:szCs w:val="22"/>
        </w:rPr>
      </w:pPr>
    </w:p>
    <w:p w14:paraId="1F2F874C" w14:textId="77777777" w:rsidR="00720F35" w:rsidRPr="00DA3AE2" w:rsidRDefault="00720F35" w:rsidP="0032784D">
      <w:pPr>
        <w:tabs>
          <w:tab w:val="left" w:pos="7920"/>
        </w:tabs>
        <w:spacing w:line="276" w:lineRule="auto"/>
        <w:ind w:left="360"/>
        <w:rPr>
          <w:sz w:val="22"/>
          <w:szCs w:val="22"/>
        </w:rPr>
      </w:pPr>
    </w:p>
    <w:p w14:paraId="7D6643B9" w14:textId="67A5997C" w:rsidR="00720F35" w:rsidRPr="00DA3AE2" w:rsidRDefault="00461B8E" w:rsidP="0032784D">
      <w:pPr>
        <w:tabs>
          <w:tab w:val="left" w:pos="7920"/>
        </w:tabs>
        <w:spacing w:line="276" w:lineRule="auto"/>
        <w:rPr>
          <w:sz w:val="22"/>
          <w:szCs w:val="22"/>
        </w:rPr>
      </w:pPr>
      <w:r w:rsidRPr="00DA3AE2">
        <w:rPr>
          <w:sz w:val="22"/>
          <w:szCs w:val="22"/>
        </w:rPr>
        <w:t xml:space="preserve">Excessive ammonia </w:t>
      </w:r>
      <w:r w:rsidR="005E7F55" w:rsidRPr="00DA3AE2">
        <w:rPr>
          <w:sz w:val="22"/>
          <w:szCs w:val="22"/>
        </w:rPr>
        <w:t xml:space="preserve">in the environment </w:t>
      </w:r>
      <w:r w:rsidR="00460594" w:rsidRPr="00DA3AE2">
        <w:rPr>
          <w:sz w:val="22"/>
          <w:szCs w:val="22"/>
        </w:rPr>
        <w:t xml:space="preserve">is currently </w:t>
      </w:r>
      <w:r w:rsidR="005E7F55" w:rsidRPr="00DA3AE2">
        <w:rPr>
          <w:sz w:val="22"/>
          <w:szCs w:val="22"/>
        </w:rPr>
        <w:t>negatively impact</w:t>
      </w:r>
      <w:r w:rsidR="00460594" w:rsidRPr="00DA3AE2">
        <w:rPr>
          <w:sz w:val="22"/>
          <w:szCs w:val="22"/>
        </w:rPr>
        <w:t xml:space="preserve">ing </w:t>
      </w:r>
      <w:proofErr w:type="gramStart"/>
      <w:r w:rsidR="00460594" w:rsidRPr="00DA3AE2">
        <w:rPr>
          <w:sz w:val="22"/>
          <w:szCs w:val="22"/>
        </w:rPr>
        <w:t>the majority of</w:t>
      </w:r>
      <w:proofErr w:type="gramEnd"/>
      <w:r w:rsidR="005E7F55" w:rsidRPr="00DA3AE2">
        <w:rPr>
          <w:sz w:val="22"/>
          <w:szCs w:val="22"/>
        </w:rPr>
        <w:t xml:space="preserve"> high nature value sites designated for protection</w:t>
      </w:r>
      <w:r w:rsidR="00383234" w:rsidRPr="00DA3AE2">
        <w:rPr>
          <w:sz w:val="22"/>
          <w:szCs w:val="22"/>
        </w:rPr>
        <w:t xml:space="preserve"> and impacting on DAERA’s ability to meet legislative </w:t>
      </w:r>
      <w:r w:rsidR="005E7F55" w:rsidRPr="00DA3AE2">
        <w:rPr>
          <w:sz w:val="22"/>
          <w:szCs w:val="22"/>
        </w:rPr>
        <w:t xml:space="preserve">obligations to protect designated sites and to enhance and promote biodiversity. </w:t>
      </w:r>
    </w:p>
    <w:p w14:paraId="13EDF17A" w14:textId="77777777" w:rsidR="00905011" w:rsidRPr="00DA3AE2" w:rsidRDefault="00905011" w:rsidP="0032784D">
      <w:pPr>
        <w:tabs>
          <w:tab w:val="left" w:pos="7920"/>
        </w:tabs>
        <w:spacing w:line="276" w:lineRule="auto"/>
        <w:ind w:left="360"/>
        <w:rPr>
          <w:sz w:val="22"/>
          <w:szCs w:val="22"/>
        </w:rPr>
      </w:pPr>
    </w:p>
    <w:p w14:paraId="58CADDF6" w14:textId="77777777" w:rsidR="00905011" w:rsidRPr="00DA3AE2" w:rsidRDefault="00905011" w:rsidP="0032784D">
      <w:pPr>
        <w:tabs>
          <w:tab w:val="left" w:pos="7920"/>
        </w:tabs>
        <w:spacing w:line="276" w:lineRule="auto"/>
        <w:rPr>
          <w:sz w:val="22"/>
          <w:szCs w:val="22"/>
        </w:rPr>
      </w:pPr>
      <w:r w:rsidRPr="00DA3AE2">
        <w:rPr>
          <w:sz w:val="22"/>
          <w:szCs w:val="22"/>
        </w:rPr>
        <w:t xml:space="preserve">Excess ammonia levels and associated nitrogen deposition damage sensitive species and habitats. </w:t>
      </w:r>
    </w:p>
    <w:p w14:paraId="79B217CE" w14:textId="77777777" w:rsidR="00905011" w:rsidRPr="00DA3AE2" w:rsidRDefault="00905011" w:rsidP="0032784D">
      <w:pPr>
        <w:tabs>
          <w:tab w:val="left" w:pos="7920"/>
        </w:tabs>
        <w:spacing w:line="276" w:lineRule="auto"/>
        <w:rPr>
          <w:sz w:val="22"/>
          <w:szCs w:val="22"/>
        </w:rPr>
      </w:pPr>
      <w:r w:rsidRPr="00DA3AE2">
        <w:rPr>
          <w:sz w:val="22"/>
          <w:szCs w:val="22"/>
        </w:rPr>
        <w:t xml:space="preserve">Sensitive </w:t>
      </w:r>
      <w:proofErr w:type="gramStart"/>
      <w:r w:rsidRPr="00DA3AE2">
        <w:rPr>
          <w:sz w:val="22"/>
          <w:szCs w:val="22"/>
        </w:rPr>
        <w:t>habitats</w:t>
      </w:r>
      <w:proofErr w:type="gramEnd"/>
      <w:r w:rsidRPr="00DA3AE2">
        <w:rPr>
          <w:sz w:val="22"/>
          <w:szCs w:val="22"/>
        </w:rPr>
        <w:t xml:space="preserve"> types such as peat bogs have specific critical levels for atmospheric ammonia and critical loads for nitrogen deposition to protect them from significant harmful effects.  </w:t>
      </w:r>
    </w:p>
    <w:p w14:paraId="40483A30" w14:textId="77777777" w:rsidR="00905011" w:rsidRPr="00DA3AE2" w:rsidRDefault="00905011" w:rsidP="0032784D">
      <w:pPr>
        <w:tabs>
          <w:tab w:val="left" w:pos="7920"/>
        </w:tabs>
        <w:spacing w:line="276" w:lineRule="auto"/>
        <w:rPr>
          <w:sz w:val="22"/>
          <w:szCs w:val="22"/>
        </w:rPr>
      </w:pPr>
    </w:p>
    <w:p w14:paraId="2DED231F" w14:textId="77777777" w:rsidR="00905011" w:rsidRPr="00DA3AE2" w:rsidRDefault="00905011" w:rsidP="0032784D">
      <w:pPr>
        <w:spacing w:line="276" w:lineRule="auto"/>
        <w:contextualSpacing/>
        <w:rPr>
          <w:rFonts w:eastAsia="Calibri"/>
          <w:sz w:val="22"/>
          <w:szCs w:val="22"/>
          <w:lang w:eastAsia="en-US"/>
        </w:rPr>
      </w:pPr>
      <w:r w:rsidRPr="00DA3AE2">
        <w:rPr>
          <w:rFonts w:eastAsia="Calibri"/>
          <w:sz w:val="22"/>
          <w:szCs w:val="22"/>
          <w:lang w:eastAsia="en-US"/>
        </w:rPr>
        <w:t xml:space="preserve">Legislative protection of habitats and species in Northern Ireland is provided through successor legislation to the Habitats Directive in Northern Ireland following EU Exit and The Environment Order 2002. DAERA is responsible for compliance with this legislation and ensuring that steps are taken to avoid deterioration of habitats and species of community importance. DAERA has further responsibility for habitat protection in its roles as the Statutory Nature Conservation Body under the Planning (General Development Procedure) Order 2015, and as competent authority in the </w:t>
      </w:r>
      <w:proofErr w:type="gramStart"/>
      <w:r w:rsidRPr="00DA3AE2">
        <w:rPr>
          <w:rFonts w:eastAsia="Calibri"/>
          <w:sz w:val="22"/>
          <w:szCs w:val="22"/>
          <w:lang w:eastAsia="en-US"/>
        </w:rPr>
        <w:t>decision making</w:t>
      </w:r>
      <w:proofErr w:type="gramEnd"/>
      <w:r w:rsidRPr="00DA3AE2">
        <w:rPr>
          <w:rFonts w:eastAsia="Calibri"/>
          <w:sz w:val="22"/>
          <w:szCs w:val="22"/>
          <w:lang w:eastAsia="en-US"/>
        </w:rPr>
        <w:t xml:space="preserve"> process in granting permits, licences or consents. And in ensuring compliance with air quality legislation including the National Emissions Ceiling Regulations and the Air Quality Standards Regulations.</w:t>
      </w:r>
    </w:p>
    <w:p w14:paraId="7D693460" w14:textId="77777777" w:rsidR="00905011" w:rsidRPr="00DA3AE2" w:rsidRDefault="00905011" w:rsidP="0032784D">
      <w:pPr>
        <w:spacing w:line="276" w:lineRule="auto"/>
        <w:contextualSpacing/>
        <w:rPr>
          <w:rFonts w:eastAsia="Calibri"/>
          <w:sz w:val="22"/>
          <w:szCs w:val="22"/>
          <w:lang w:eastAsia="en-US"/>
        </w:rPr>
      </w:pPr>
    </w:p>
    <w:p w14:paraId="480B3817" w14:textId="77777777" w:rsidR="00905011" w:rsidRPr="00DA3AE2" w:rsidRDefault="00905011" w:rsidP="0032784D">
      <w:pPr>
        <w:spacing w:line="276" w:lineRule="auto"/>
        <w:contextualSpacing/>
        <w:rPr>
          <w:rFonts w:eastAsia="Calibri"/>
          <w:sz w:val="22"/>
          <w:szCs w:val="22"/>
          <w:lang w:eastAsia="en-US"/>
        </w:rPr>
      </w:pPr>
      <w:r w:rsidRPr="00DA3AE2">
        <w:rPr>
          <w:rFonts w:eastAsia="Calibri"/>
          <w:sz w:val="22"/>
          <w:szCs w:val="22"/>
          <w:lang w:eastAsia="en-US"/>
        </w:rPr>
        <w:t>Current levels of exceedance of these key thresholds at designated habitats shown in Table 2 are extremely high and challenging to DAERA’s delivery of the existing legislative requirements listed as well as future cross cutting DAERA key policy proposals including the Green Growth Strategy.</w:t>
      </w:r>
    </w:p>
    <w:p w14:paraId="1A69A9F4" w14:textId="77777777" w:rsidR="00475C21" w:rsidRPr="00DA3AE2" w:rsidRDefault="00475C21" w:rsidP="0032784D">
      <w:pPr>
        <w:spacing w:line="276" w:lineRule="auto"/>
        <w:contextualSpacing/>
        <w:rPr>
          <w:rFonts w:eastAsia="Calibri"/>
          <w:sz w:val="22"/>
          <w:szCs w:val="22"/>
          <w:lang w:eastAsia="en-US"/>
        </w:rPr>
      </w:pPr>
    </w:p>
    <w:p w14:paraId="3BD62BA9" w14:textId="77777777" w:rsidR="0082614F" w:rsidRDefault="0082614F" w:rsidP="0032784D">
      <w:pPr>
        <w:spacing w:line="276" w:lineRule="auto"/>
        <w:contextualSpacing/>
        <w:rPr>
          <w:rFonts w:eastAsia="Calibri"/>
          <w:sz w:val="22"/>
          <w:szCs w:val="22"/>
          <w:lang w:eastAsia="en-US"/>
        </w:rPr>
      </w:pPr>
    </w:p>
    <w:p w14:paraId="50A5AA2D" w14:textId="77777777" w:rsidR="0082614F" w:rsidRDefault="0082614F" w:rsidP="0032784D">
      <w:pPr>
        <w:spacing w:line="276" w:lineRule="auto"/>
        <w:contextualSpacing/>
        <w:rPr>
          <w:rFonts w:eastAsia="Calibri"/>
          <w:sz w:val="22"/>
          <w:szCs w:val="22"/>
          <w:lang w:eastAsia="en-US"/>
        </w:rPr>
      </w:pPr>
    </w:p>
    <w:p w14:paraId="1F3EA7B8" w14:textId="2255CCFC" w:rsidR="00475C21" w:rsidRPr="00DA3AE2" w:rsidRDefault="00475C21" w:rsidP="0032784D">
      <w:pPr>
        <w:spacing w:line="276" w:lineRule="auto"/>
        <w:contextualSpacing/>
        <w:rPr>
          <w:rFonts w:eastAsia="Calibri"/>
          <w:sz w:val="22"/>
          <w:szCs w:val="22"/>
          <w:lang w:eastAsia="en-US"/>
        </w:rPr>
      </w:pPr>
      <w:r w:rsidRPr="00DA3AE2">
        <w:rPr>
          <w:rFonts w:eastAsia="Calibri"/>
          <w:sz w:val="22"/>
          <w:szCs w:val="22"/>
          <w:lang w:eastAsia="en-US"/>
        </w:rPr>
        <w:lastRenderedPageBreak/>
        <w:t>Table 2. The extent of exceedance of critical loads and critical levels at Northern Ireland’s designated sites.</w:t>
      </w:r>
      <w:r w:rsidRPr="00DA3AE2">
        <w:rPr>
          <w:rStyle w:val="FootnoteReference"/>
          <w:rFonts w:eastAsia="Calibri"/>
          <w:sz w:val="22"/>
          <w:szCs w:val="22"/>
          <w:lang w:eastAsia="en-US"/>
        </w:rPr>
        <w:footnoteReference w:id="4"/>
      </w:r>
    </w:p>
    <w:p w14:paraId="41B5131D" w14:textId="77777777" w:rsidR="00475C21" w:rsidRPr="00DA3AE2" w:rsidRDefault="00475C21" w:rsidP="0032784D">
      <w:pPr>
        <w:spacing w:line="276" w:lineRule="auto"/>
        <w:contextualSpacing/>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2780"/>
        <w:gridCol w:w="2898"/>
      </w:tblGrid>
      <w:tr w:rsidR="00475C21" w:rsidRPr="00DA3AE2" w14:paraId="7C436412" w14:textId="77777777" w:rsidTr="005A3639">
        <w:tc>
          <w:tcPr>
            <w:tcW w:w="4503" w:type="dxa"/>
            <w:shd w:val="clear" w:color="auto" w:fill="auto"/>
          </w:tcPr>
          <w:p w14:paraId="5AAB1BF5" w14:textId="77777777" w:rsidR="00475C21" w:rsidRPr="00DA3AE2" w:rsidRDefault="00475C21" w:rsidP="0032784D">
            <w:pPr>
              <w:spacing w:line="276" w:lineRule="auto"/>
              <w:contextualSpacing/>
              <w:jc w:val="center"/>
              <w:rPr>
                <w:rFonts w:eastAsia="Calibri"/>
                <w:sz w:val="20"/>
                <w:szCs w:val="22"/>
                <w:lang w:eastAsia="en-US"/>
              </w:rPr>
            </w:pPr>
          </w:p>
          <w:p w14:paraId="715C750C" w14:textId="77777777"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Site designation</w:t>
            </w:r>
          </w:p>
        </w:tc>
        <w:tc>
          <w:tcPr>
            <w:tcW w:w="2835" w:type="dxa"/>
            <w:shd w:val="clear" w:color="auto" w:fill="auto"/>
          </w:tcPr>
          <w:p w14:paraId="03032E8C" w14:textId="4CB98636"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 xml:space="preserve">% </w:t>
            </w:r>
            <w:proofErr w:type="gramStart"/>
            <w:r w:rsidRPr="00DA3AE2">
              <w:rPr>
                <w:rFonts w:eastAsia="Calibri"/>
                <w:sz w:val="20"/>
                <w:szCs w:val="22"/>
                <w:lang w:eastAsia="en-US"/>
              </w:rPr>
              <w:t>sites</w:t>
            </w:r>
            <w:proofErr w:type="gramEnd"/>
            <w:r w:rsidRPr="00DA3AE2">
              <w:rPr>
                <w:rFonts w:eastAsia="Calibri"/>
                <w:sz w:val="20"/>
                <w:szCs w:val="22"/>
                <w:lang w:eastAsia="en-US"/>
              </w:rPr>
              <w:t xml:space="preserve"> with exceedance of critical level of </w:t>
            </w:r>
            <w:r w:rsidR="0082614F">
              <w:rPr>
                <w:rFonts w:eastAsia="Calibri"/>
                <w:sz w:val="20"/>
                <w:szCs w:val="22"/>
                <w:lang w:eastAsia="en-US"/>
              </w:rPr>
              <w:t xml:space="preserve">1 µg </w:t>
            </w:r>
            <w:r w:rsidRPr="00DA3AE2">
              <w:rPr>
                <w:rFonts w:eastAsia="Calibri"/>
                <w:sz w:val="20"/>
                <w:szCs w:val="22"/>
                <w:lang w:eastAsia="en-US"/>
              </w:rPr>
              <w:t>ammonia</w:t>
            </w:r>
          </w:p>
        </w:tc>
        <w:tc>
          <w:tcPr>
            <w:tcW w:w="2958" w:type="dxa"/>
            <w:shd w:val="clear" w:color="auto" w:fill="auto"/>
          </w:tcPr>
          <w:p w14:paraId="2C1D549A" w14:textId="77777777"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 xml:space="preserve">% </w:t>
            </w:r>
            <w:proofErr w:type="gramStart"/>
            <w:r w:rsidRPr="00DA3AE2">
              <w:rPr>
                <w:rFonts w:eastAsia="Calibri"/>
                <w:sz w:val="20"/>
                <w:szCs w:val="22"/>
                <w:lang w:eastAsia="en-US"/>
              </w:rPr>
              <w:t>sites</w:t>
            </w:r>
            <w:proofErr w:type="gramEnd"/>
            <w:r w:rsidRPr="00DA3AE2">
              <w:rPr>
                <w:rFonts w:eastAsia="Calibri"/>
                <w:sz w:val="20"/>
                <w:szCs w:val="22"/>
                <w:lang w:eastAsia="en-US"/>
              </w:rPr>
              <w:t xml:space="preserve"> with exceedance of critical load of nitrogen</w:t>
            </w:r>
          </w:p>
        </w:tc>
      </w:tr>
      <w:tr w:rsidR="00475C21" w:rsidRPr="00DA3AE2" w14:paraId="3FE3204D" w14:textId="77777777" w:rsidTr="005A3639">
        <w:tc>
          <w:tcPr>
            <w:tcW w:w="4503" w:type="dxa"/>
            <w:shd w:val="clear" w:color="auto" w:fill="auto"/>
          </w:tcPr>
          <w:p w14:paraId="40630C5C" w14:textId="77777777" w:rsidR="00475C21" w:rsidRPr="00DA3AE2" w:rsidRDefault="00475C21" w:rsidP="0032784D">
            <w:pPr>
              <w:spacing w:line="276" w:lineRule="auto"/>
              <w:contextualSpacing/>
              <w:rPr>
                <w:rFonts w:eastAsia="Calibri"/>
                <w:sz w:val="20"/>
                <w:szCs w:val="22"/>
                <w:lang w:eastAsia="en-US"/>
              </w:rPr>
            </w:pPr>
            <w:r w:rsidRPr="00DA3AE2">
              <w:rPr>
                <w:rFonts w:eastAsia="Calibri"/>
                <w:sz w:val="20"/>
                <w:szCs w:val="22"/>
                <w:lang w:eastAsia="en-US"/>
              </w:rPr>
              <w:t>Special Areas of Conservation (SACs)</w:t>
            </w:r>
          </w:p>
        </w:tc>
        <w:tc>
          <w:tcPr>
            <w:tcW w:w="2835" w:type="dxa"/>
            <w:shd w:val="clear" w:color="auto" w:fill="auto"/>
          </w:tcPr>
          <w:p w14:paraId="32DE0F26" w14:textId="67338573" w:rsidR="00475C21" w:rsidRPr="00DA3AE2" w:rsidRDefault="00B62EB2" w:rsidP="0032784D">
            <w:pPr>
              <w:spacing w:line="276" w:lineRule="auto"/>
              <w:contextualSpacing/>
              <w:jc w:val="center"/>
              <w:rPr>
                <w:rFonts w:eastAsia="Calibri"/>
                <w:sz w:val="20"/>
                <w:szCs w:val="22"/>
                <w:lang w:eastAsia="en-US"/>
              </w:rPr>
            </w:pPr>
            <w:r>
              <w:rPr>
                <w:rFonts w:eastAsia="Calibri"/>
                <w:sz w:val="20"/>
                <w:szCs w:val="22"/>
                <w:lang w:eastAsia="en-US"/>
              </w:rPr>
              <w:t>100</w:t>
            </w:r>
          </w:p>
        </w:tc>
        <w:tc>
          <w:tcPr>
            <w:tcW w:w="2958" w:type="dxa"/>
            <w:shd w:val="clear" w:color="auto" w:fill="auto"/>
          </w:tcPr>
          <w:p w14:paraId="0BF7E399" w14:textId="77777777"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98</w:t>
            </w:r>
          </w:p>
        </w:tc>
      </w:tr>
      <w:tr w:rsidR="00475C21" w:rsidRPr="00DA3AE2" w14:paraId="71E58688" w14:textId="77777777" w:rsidTr="005A3639">
        <w:tc>
          <w:tcPr>
            <w:tcW w:w="4503" w:type="dxa"/>
            <w:shd w:val="clear" w:color="auto" w:fill="auto"/>
          </w:tcPr>
          <w:p w14:paraId="075AFAE6" w14:textId="77777777" w:rsidR="00475C21" w:rsidRPr="00DA3AE2" w:rsidRDefault="00475C21" w:rsidP="0032784D">
            <w:pPr>
              <w:spacing w:line="276" w:lineRule="auto"/>
              <w:contextualSpacing/>
              <w:rPr>
                <w:rFonts w:eastAsia="Calibri"/>
                <w:sz w:val="20"/>
                <w:szCs w:val="22"/>
                <w:lang w:eastAsia="en-US"/>
              </w:rPr>
            </w:pPr>
            <w:r w:rsidRPr="00DA3AE2">
              <w:rPr>
                <w:rFonts w:eastAsia="Calibri"/>
                <w:sz w:val="20"/>
                <w:szCs w:val="22"/>
                <w:lang w:eastAsia="en-US"/>
              </w:rPr>
              <w:t>Special Protection Areas (SPAs)</w:t>
            </w:r>
          </w:p>
        </w:tc>
        <w:tc>
          <w:tcPr>
            <w:tcW w:w="2835" w:type="dxa"/>
            <w:shd w:val="clear" w:color="auto" w:fill="auto"/>
          </w:tcPr>
          <w:p w14:paraId="485803A0" w14:textId="30A68664" w:rsidR="00475C21" w:rsidRPr="00DA3AE2" w:rsidRDefault="00B62EB2" w:rsidP="0032784D">
            <w:pPr>
              <w:spacing w:line="276" w:lineRule="auto"/>
              <w:contextualSpacing/>
              <w:jc w:val="center"/>
              <w:rPr>
                <w:rFonts w:eastAsia="Calibri"/>
                <w:sz w:val="20"/>
                <w:szCs w:val="22"/>
                <w:lang w:eastAsia="en-US"/>
              </w:rPr>
            </w:pPr>
            <w:r>
              <w:rPr>
                <w:rFonts w:eastAsia="Calibri"/>
                <w:sz w:val="20"/>
                <w:szCs w:val="22"/>
                <w:lang w:eastAsia="en-US"/>
              </w:rPr>
              <w:t>100</w:t>
            </w:r>
          </w:p>
        </w:tc>
        <w:tc>
          <w:tcPr>
            <w:tcW w:w="2958" w:type="dxa"/>
            <w:shd w:val="clear" w:color="auto" w:fill="auto"/>
          </w:tcPr>
          <w:p w14:paraId="738FE232" w14:textId="77777777"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83.3</w:t>
            </w:r>
          </w:p>
        </w:tc>
      </w:tr>
      <w:tr w:rsidR="00475C21" w:rsidRPr="00DA3AE2" w14:paraId="4FDE05B6" w14:textId="77777777" w:rsidTr="005A3639">
        <w:tc>
          <w:tcPr>
            <w:tcW w:w="4503" w:type="dxa"/>
            <w:shd w:val="clear" w:color="auto" w:fill="auto"/>
          </w:tcPr>
          <w:p w14:paraId="0D66FEAE" w14:textId="77777777" w:rsidR="00475C21" w:rsidRPr="00DA3AE2" w:rsidRDefault="00475C21" w:rsidP="0032784D">
            <w:pPr>
              <w:spacing w:line="276" w:lineRule="auto"/>
              <w:contextualSpacing/>
              <w:rPr>
                <w:rFonts w:eastAsia="Calibri"/>
                <w:sz w:val="20"/>
                <w:szCs w:val="22"/>
                <w:lang w:eastAsia="en-US"/>
              </w:rPr>
            </w:pPr>
            <w:r w:rsidRPr="00DA3AE2">
              <w:rPr>
                <w:rFonts w:eastAsia="Calibri"/>
                <w:sz w:val="20"/>
                <w:szCs w:val="22"/>
                <w:lang w:eastAsia="en-US"/>
              </w:rPr>
              <w:t>Areas of Special Scientific Interest (ASSIs)</w:t>
            </w:r>
          </w:p>
        </w:tc>
        <w:tc>
          <w:tcPr>
            <w:tcW w:w="2835" w:type="dxa"/>
            <w:shd w:val="clear" w:color="auto" w:fill="auto"/>
          </w:tcPr>
          <w:p w14:paraId="434502A5" w14:textId="243B1B9E"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9</w:t>
            </w:r>
            <w:r w:rsidR="00B62EB2">
              <w:rPr>
                <w:rFonts w:eastAsia="Calibri"/>
                <w:sz w:val="20"/>
                <w:szCs w:val="22"/>
                <w:lang w:eastAsia="en-US"/>
              </w:rPr>
              <w:t>9.7</w:t>
            </w:r>
          </w:p>
        </w:tc>
        <w:tc>
          <w:tcPr>
            <w:tcW w:w="2958" w:type="dxa"/>
            <w:shd w:val="clear" w:color="auto" w:fill="auto"/>
          </w:tcPr>
          <w:p w14:paraId="49835EF0" w14:textId="57C7E418" w:rsidR="00475C21" w:rsidRPr="00DA3AE2" w:rsidRDefault="00475C21" w:rsidP="0032784D">
            <w:pPr>
              <w:spacing w:line="276" w:lineRule="auto"/>
              <w:contextualSpacing/>
              <w:jc w:val="center"/>
              <w:rPr>
                <w:rFonts w:eastAsia="Calibri"/>
                <w:sz w:val="20"/>
                <w:szCs w:val="22"/>
                <w:lang w:eastAsia="en-US"/>
              </w:rPr>
            </w:pPr>
            <w:r w:rsidRPr="00DA3AE2">
              <w:rPr>
                <w:rFonts w:eastAsia="Calibri"/>
                <w:sz w:val="20"/>
                <w:szCs w:val="22"/>
                <w:lang w:eastAsia="en-US"/>
              </w:rPr>
              <w:t>9</w:t>
            </w:r>
            <w:r w:rsidR="00B62EB2">
              <w:rPr>
                <w:rFonts w:eastAsia="Calibri"/>
                <w:sz w:val="20"/>
                <w:szCs w:val="22"/>
                <w:lang w:eastAsia="en-US"/>
              </w:rPr>
              <w:t>5.7</w:t>
            </w:r>
          </w:p>
        </w:tc>
      </w:tr>
    </w:tbl>
    <w:p w14:paraId="62A9B4BA" w14:textId="77777777" w:rsidR="00475C21" w:rsidRPr="00DA3AE2" w:rsidRDefault="00475C21" w:rsidP="0032784D">
      <w:pPr>
        <w:spacing w:line="276" w:lineRule="auto"/>
        <w:contextualSpacing/>
        <w:rPr>
          <w:rFonts w:eastAsia="Calibri"/>
          <w:sz w:val="22"/>
          <w:szCs w:val="22"/>
          <w:lang w:eastAsia="en-US"/>
        </w:rPr>
      </w:pPr>
    </w:p>
    <w:p w14:paraId="0EEAB1C4" w14:textId="77777777" w:rsidR="0082614F" w:rsidRPr="00DA3AE2" w:rsidRDefault="0082614F" w:rsidP="0032784D">
      <w:pPr>
        <w:spacing w:line="276" w:lineRule="auto"/>
        <w:contextualSpacing/>
        <w:rPr>
          <w:rFonts w:eastAsia="Calibri"/>
          <w:sz w:val="22"/>
          <w:szCs w:val="22"/>
          <w:lang w:eastAsia="en-US"/>
        </w:rPr>
      </w:pPr>
    </w:p>
    <w:p w14:paraId="7F154550" w14:textId="77777777" w:rsidR="00905011" w:rsidRPr="00DA3AE2" w:rsidRDefault="00905011" w:rsidP="0032784D">
      <w:pPr>
        <w:tabs>
          <w:tab w:val="left" w:pos="7920"/>
        </w:tabs>
        <w:spacing w:line="276" w:lineRule="auto"/>
        <w:rPr>
          <w:sz w:val="22"/>
          <w:szCs w:val="22"/>
        </w:rPr>
      </w:pPr>
      <w:r w:rsidRPr="00DA3AE2">
        <w:rPr>
          <w:sz w:val="22"/>
          <w:szCs w:val="22"/>
        </w:rPr>
        <w:t>Atmospheric ammonia is also a precursor for fine particulate matter, PM2.5, which has adverse effects on human health. PM2.5) is cited in the Clean Air Strategy for NI – Public Discussion Document as one of the air pollutants of concern in NI.  The Discussion Document highlighted that a report published by Public Health England in 2014 estimated that in 2010, 553 deaths in over-25s in Northern Ireland were attributable to exposure to anthropogenic air pollution (PM2.5).</w:t>
      </w:r>
    </w:p>
    <w:p w14:paraId="6E11007A" w14:textId="77777777" w:rsidR="00905011" w:rsidRPr="00DA3AE2" w:rsidRDefault="00905011" w:rsidP="0032784D">
      <w:pPr>
        <w:tabs>
          <w:tab w:val="left" w:pos="7920"/>
        </w:tabs>
        <w:spacing w:line="276" w:lineRule="auto"/>
        <w:rPr>
          <w:sz w:val="22"/>
          <w:szCs w:val="22"/>
        </w:rPr>
      </w:pPr>
    </w:p>
    <w:p w14:paraId="5CB3F467" w14:textId="77777777" w:rsidR="00454A20" w:rsidRPr="00DA3AE2" w:rsidRDefault="00454A20" w:rsidP="0032784D">
      <w:pPr>
        <w:spacing w:line="276" w:lineRule="auto"/>
        <w:contextualSpacing/>
        <w:rPr>
          <w:rFonts w:eastAsia="Calibri"/>
          <w:sz w:val="22"/>
          <w:szCs w:val="22"/>
          <w:lang w:eastAsia="en-US"/>
        </w:rPr>
      </w:pPr>
    </w:p>
    <w:p w14:paraId="5F1FAFAF" w14:textId="77777777" w:rsidR="005E7F55" w:rsidRPr="00DA3AE2" w:rsidRDefault="005E7F55" w:rsidP="0032784D">
      <w:pPr>
        <w:tabs>
          <w:tab w:val="left" w:pos="7920"/>
        </w:tabs>
        <w:spacing w:line="276" w:lineRule="auto"/>
        <w:rPr>
          <w:sz w:val="22"/>
          <w:szCs w:val="22"/>
        </w:rPr>
      </w:pPr>
    </w:p>
    <w:p w14:paraId="5D73EAE0" w14:textId="1F76E8C5" w:rsidR="0037544D" w:rsidRPr="00DA3AE2" w:rsidRDefault="00720F35" w:rsidP="0032784D">
      <w:pPr>
        <w:numPr>
          <w:ilvl w:val="0"/>
          <w:numId w:val="1"/>
        </w:numPr>
        <w:tabs>
          <w:tab w:val="left" w:pos="7920"/>
        </w:tabs>
        <w:spacing w:line="276" w:lineRule="auto"/>
        <w:rPr>
          <w:b/>
          <w:sz w:val="22"/>
          <w:szCs w:val="22"/>
        </w:rPr>
      </w:pPr>
      <w:r w:rsidRPr="00DA3AE2">
        <w:rPr>
          <w:b/>
          <w:sz w:val="22"/>
          <w:szCs w:val="22"/>
        </w:rPr>
        <w:t xml:space="preserve">Rationale for </w:t>
      </w:r>
      <w:r w:rsidR="0037544D" w:rsidRPr="00DA3AE2">
        <w:rPr>
          <w:b/>
          <w:sz w:val="22"/>
          <w:szCs w:val="22"/>
        </w:rPr>
        <w:t>intervention</w:t>
      </w:r>
    </w:p>
    <w:p w14:paraId="7BE35EAC" w14:textId="77777777" w:rsidR="00454A20" w:rsidRPr="00DA3AE2" w:rsidRDefault="00454A20" w:rsidP="0032784D">
      <w:pPr>
        <w:tabs>
          <w:tab w:val="left" w:pos="7920"/>
        </w:tabs>
        <w:spacing w:line="276" w:lineRule="auto"/>
        <w:ind w:left="360"/>
        <w:rPr>
          <w:b/>
          <w:sz w:val="22"/>
          <w:szCs w:val="22"/>
        </w:rPr>
      </w:pPr>
    </w:p>
    <w:p w14:paraId="4273B0BC" w14:textId="77777777" w:rsidR="00475C21" w:rsidRPr="00DA3AE2" w:rsidRDefault="0053090F" w:rsidP="0032784D">
      <w:pPr>
        <w:tabs>
          <w:tab w:val="left" w:pos="7920"/>
        </w:tabs>
        <w:spacing w:line="276" w:lineRule="auto"/>
        <w:rPr>
          <w:sz w:val="22"/>
          <w:szCs w:val="22"/>
        </w:rPr>
      </w:pPr>
      <w:r w:rsidRPr="00DA3AE2">
        <w:rPr>
          <w:sz w:val="22"/>
          <w:szCs w:val="22"/>
        </w:rPr>
        <w:t xml:space="preserve">Sustained and tangible reductions in ammonia emissions are required to meet Northern Ireland’s legal obligations, to protect nature, and to ensure a sustainable agri-food sector. </w:t>
      </w:r>
    </w:p>
    <w:p w14:paraId="77BBF633" w14:textId="77777777" w:rsidR="00475C21" w:rsidRPr="00DA3AE2" w:rsidRDefault="00475C21" w:rsidP="0032784D">
      <w:pPr>
        <w:tabs>
          <w:tab w:val="left" w:pos="7920"/>
        </w:tabs>
        <w:spacing w:line="276" w:lineRule="auto"/>
        <w:rPr>
          <w:sz w:val="22"/>
          <w:szCs w:val="22"/>
        </w:rPr>
      </w:pPr>
    </w:p>
    <w:p w14:paraId="1A1EA5E3" w14:textId="36A9058A" w:rsidR="006C603F" w:rsidRPr="00DA3AE2" w:rsidRDefault="0053090F" w:rsidP="0032784D">
      <w:pPr>
        <w:tabs>
          <w:tab w:val="left" w:pos="7920"/>
        </w:tabs>
        <w:spacing w:line="276" w:lineRule="auto"/>
        <w:rPr>
          <w:sz w:val="22"/>
          <w:szCs w:val="22"/>
        </w:rPr>
      </w:pPr>
      <w:r w:rsidRPr="00DA3AE2">
        <w:rPr>
          <w:sz w:val="22"/>
          <w:szCs w:val="22"/>
        </w:rPr>
        <w:t>A</w:t>
      </w:r>
      <w:r w:rsidR="00B769D3" w:rsidRPr="00DA3AE2">
        <w:rPr>
          <w:sz w:val="22"/>
          <w:szCs w:val="22"/>
        </w:rPr>
        <w:t xml:space="preserve">ction is needed to tackle increases in agricultural ammonia emissions in Northern Ireland </w:t>
      </w:r>
      <w:r w:rsidR="006C603F" w:rsidRPr="00DA3AE2">
        <w:rPr>
          <w:sz w:val="22"/>
          <w:szCs w:val="22"/>
        </w:rPr>
        <w:t>of 1</w:t>
      </w:r>
      <w:r w:rsidR="007E1743">
        <w:rPr>
          <w:sz w:val="22"/>
          <w:szCs w:val="22"/>
        </w:rPr>
        <w:t>5</w:t>
      </w:r>
      <w:r w:rsidR="006C603F" w:rsidRPr="00DA3AE2">
        <w:rPr>
          <w:sz w:val="22"/>
          <w:szCs w:val="22"/>
        </w:rPr>
        <w:t>% from 20</w:t>
      </w:r>
      <w:r w:rsidR="007E1743">
        <w:rPr>
          <w:sz w:val="22"/>
          <w:szCs w:val="22"/>
        </w:rPr>
        <w:t>10 (27.9 kt)</w:t>
      </w:r>
      <w:r w:rsidR="006C603F" w:rsidRPr="00DA3AE2">
        <w:rPr>
          <w:sz w:val="22"/>
          <w:szCs w:val="22"/>
        </w:rPr>
        <w:t xml:space="preserve"> to the most recent</w:t>
      </w:r>
      <w:r w:rsidR="00B769D3" w:rsidRPr="00DA3AE2">
        <w:rPr>
          <w:sz w:val="22"/>
          <w:szCs w:val="22"/>
        </w:rPr>
        <w:t xml:space="preserve"> 20</w:t>
      </w:r>
      <w:r w:rsidR="007E1743">
        <w:rPr>
          <w:sz w:val="22"/>
          <w:szCs w:val="22"/>
        </w:rPr>
        <w:t>20</w:t>
      </w:r>
      <w:r w:rsidR="006C603F" w:rsidRPr="00DA3AE2">
        <w:rPr>
          <w:sz w:val="22"/>
          <w:szCs w:val="22"/>
        </w:rPr>
        <w:t xml:space="preserve"> </w:t>
      </w:r>
      <w:r w:rsidR="007E1743">
        <w:rPr>
          <w:sz w:val="22"/>
          <w:szCs w:val="22"/>
        </w:rPr>
        <w:t xml:space="preserve">(32.1 kt) </w:t>
      </w:r>
      <w:r w:rsidR="006C603F" w:rsidRPr="00DA3AE2">
        <w:rPr>
          <w:sz w:val="22"/>
          <w:szCs w:val="22"/>
        </w:rPr>
        <w:t xml:space="preserve">Air Pollutant Inventory. </w:t>
      </w:r>
      <w:r w:rsidR="00B769D3" w:rsidRPr="00DA3AE2">
        <w:rPr>
          <w:sz w:val="22"/>
          <w:szCs w:val="22"/>
        </w:rPr>
        <w:t xml:space="preserve">This </w:t>
      </w:r>
      <w:r w:rsidR="006C603F" w:rsidRPr="00DA3AE2">
        <w:rPr>
          <w:sz w:val="22"/>
          <w:szCs w:val="22"/>
        </w:rPr>
        <w:t>marked</w:t>
      </w:r>
      <w:r w:rsidR="00B769D3" w:rsidRPr="00DA3AE2">
        <w:rPr>
          <w:sz w:val="22"/>
          <w:szCs w:val="22"/>
        </w:rPr>
        <w:t xml:space="preserve"> rise in emissions was due to a trend </w:t>
      </w:r>
      <w:r w:rsidRPr="00DA3AE2">
        <w:rPr>
          <w:sz w:val="22"/>
          <w:szCs w:val="22"/>
        </w:rPr>
        <w:t>of increasing livestock numbers and greater use of indoor housing systems without a corresponding widespread uptake of ammonia reduction measures</w:t>
      </w:r>
      <w:r w:rsidR="00601744" w:rsidRPr="00DA3AE2">
        <w:rPr>
          <w:sz w:val="22"/>
          <w:szCs w:val="22"/>
        </w:rPr>
        <w:t>.</w:t>
      </w:r>
    </w:p>
    <w:p w14:paraId="651AAC4D" w14:textId="77777777" w:rsidR="00905011" w:rsidRPr="00DA3AE2" w:rsidRDefault="00905011" w:rsidP="0032784D">
      <w:pPr>
        <w:tabs>
          <w:tab w:val="left" w:pos="7920"/>
        </w:tabs>
        <w:spacing w:line="276" w:lineRule="auto"/>
        <w:ind w:left="360"/>
        <w:rPr>
          <w:sz w:val="22"/>
          <w:szCs w:val="22"/>
        </w:rPr>
      </w:pPr>
    </w:p>
    <w:p w14:paraId="4B5103B4" w14:textId="77777777" w:rsidR="00905011" w:rsidRPr="00DA3AE2" w:rsidRDefault="00905011" w:rsidP="0032784D">
      <w:pPr>
        <w:tabs>
          <w:tab w:val="left" w:pos="7920"/>
        </w:tabs>
        <w:spacing w:line="276" w:lineRule="auto"/>
        <w:ind w:left="360"/>
        <w:rPr>
          <w:sz w:val="22"/>
          <w:szCs w:val="22"/>
        </w:rPr>
      </w:pPr>
    </w:p>
    <w:p w14:paraId="07C5A840" w14:textId="77777777" w:rsidR="00460594" w:rsidRPr="00DA3AE2" w:rsidRDefault="00460594" w:rsidP="0032784D">
      <w:pPr>
        <w:tabs>
          <w:tab w:val="left" w:pos="7920"/>
        </w:tabs>
        <w:spacing w:line="276" w:lineRule="auto"/>
        <w:rPr>
          <w:sz w:val="22"/>
          <w:szCs w:val="22"/>
        </w:rPr>
      </w:pPr>
    </w:p>
    <w:p w14:paraId="50EA8CFE" w14:textId="3FAB3D8B" w:rsidR="00720F35" w:rsidRPr="00DA3AE2" w:rsidRDefault="00720F35" w:rsidP="0032784D">
      <w:pPr>
        <w:numPr>
          <w:ilvl w:val="0"/>
          <w:numId w:val="1"/>
        </w:numPr>
        <w:tabs>
          <w:tab w:val="left" w:pos="7920"/>
        </w:tabs>
        <w:spacing w:line="276" w:lineRule="auto"/>
        <w:rPr>
          <w:b/>
          <w:sz w:val="22"/>
          <w:szCs w:val="22"/>
        </w:rPr>
      </w:pPr>
      <w:r w:rsidRPr="00DA3AE2">
        <w:rPr>
          <w:b/>
          <w:sz w:val="22"/>
          <w:szCs w:val="22"/>
        </w:rPr>
        <w:t>Policy objective</w:t>
      </w:r>
      <w:r w:rsidR="006C603F" w:rsidRPr="00DA3AE2">
        <w:rPr>
          <w:b/>
          <w:sz w:val="22"/>
          <w:szCs w:val="22"/>
        </w:rPr>
        <w:t>s</w:t>
      </w:r>
    </w:p>
    <w:p w14:paraId="1EB7FB2A" w14:textId="77777777" w:rsidR="006C603F" w:rsidRPr="00DA3AE2" w:rsidRDefault="006C603F" w:rsidP="0032784D">
      <w:pPr>
        <w:tabs>
          <w:tab w:val="left" w:pos="7920"/>
        </w:tabs>
        <w:spacing w:line="276" w:lineRule="auto"/>
        <w:rPr>
          <w:sz w:val="22"/>
          <w:szCs w:val="22"/>
        </w:rPr>
      </w:pPr>
    </w:p>
    <w:p w14:paraId="2F08B379" w14:textId="77777777" w:rsidR="006C603F" w:rsidRPr="00DA3AE2" w:rsidRDefault="006C603F" w:rsidP="0032784D">
      <w:pPr>
        <w:tabs>
          <w:tab w:val="left" w:pos="7920"/>
        </w:tabs>
        <w:spacing w:line="276" w:lineRule="auto"/>
        <w:rPr>
          <w:sz w:val="22"/>
          <w:szCs w:val="22"/>
        </w:rPr>
      </w:pPr>
      <w:r w:rsidRPr="00DA3AE2">
        <w:rPr>
          <w:sz w:val="22"/>
          <w:szCs w:val="22"/>
        </w:rPr>
        <w:t>The policy objectives are to meet the following targets by 2030:</w:t>
      </w:r>
    </w:p>
    <w:p w14:paraId="1F18A49A" w14:textId="77777777" w:rsidR="006C603F" w:rsidRPr="00DA3AE2" w:rsidRDefault="006C603F" w:rsidP="0032784D">
      <w:pPr>
        <w:tabs>
          <w:tab w:val="left" w:pos="7920"/>
        </w:tabs>
        <w:spacing w:line="276" w:lineRule="auto"/>
        <w:rPr>
          <w:sz w:val="22"/>
          <w:szCs w:val="22"/>
        </w:rPr>
      </w:pPr>
    </w:p>
    <w:p w14:paraId="7BDA05F1" w14:textId="0EA0B1BB" w:rsidR="006C603F" w:rsidRPr="00DA3AE2" w:rsidRDefault="006C603F" w:rsidP="0032784D">
      <w:pPr>
        <w:tabs>
          <w:tab w:val="left" w:pos="7920"/>
        </w:tabs>
        <w:spacing w:line="276" w:lineRule="auto"/>
        <w:rPr>
          <w:sz w:val="22"/>
          <w:szCs w:val="22"/>
        </w:rPr>
      </w:pPr>
      <w:r w:rsidRPr="00DA3AE2">
        <w:rPr>
          <w:sz w:val="22"/>
          <w:szCs w:val="22"/>
        </w:rPr>
        <w:t>1. To reduce NI agricultural ammonia emissions by at least 30%</w:t>
      </w:r>
      <w:r w:rsidR="007D67F6">
        <w:rPr>
          <w:sz w:val="22"/>
          <w:szCs w:val="22"/>
        </w:rPr>
        <w:t>.</w:t>
      </w:r>
    </w:p>
    <w:p w14:paraId="07C1BC41" w14:textId="77777777" w:rsidR="0053090F" w:rsidRPr="00DA3AE2" w:rsidRDefault="0053090F" w:rsidP="0032784D">
      <w:pPr>
        <w:tabs>
          <w:tab w:val="left" w:pos="7920"/>
        </w:tabs>
        <w:spacing w:line="276" w:lineRule="auto"/>
        <w:rPr>
          <w:sz w:val="22"/>
          <w:szCs w:val="22"/>
        </w:rPr>
      </w:pPr>
    </w:p>
    <w:p w14:paraId="7622D859" w14:textId="0DDA572C" w:rsidR="006C603F" w:rsidRPr="00DA3AE2" w:rsidRDefault="006C603F" w:rsidP="0032784D">
      <w:pPr>
        <w:tabs>
          <w:tab w:val="left" w:pos="7920"/>
        </w:tabs>
        <w:spacing w:line="276" w:lineRule="auto"/>
        <w:ind w:left="284" w:hanging="284"/>
        <w:rPr>
          <w:sz w:val="22"/>
          <w:szCs w:val="22"/>
        </w:rPr>
      </w:pPr>
      <w:r w:rsidRPr="00DA3AE2">
        <w:rPr>
          <w:sz w:val="22"/>
          <w:szCs w:val="22"/>
        </w:rPr>
        <w:t xml:space="preserve">2. To reduce ammonia levels at internationally designated sites by 40% or to below the site’s Critical </w:t>
      </w:r>
      <w:r w:rsidR="007D67F6">
        <w:rPr>
          <w:sz w:val="22"/>
          <w:szCs w:val="22"/>
        </w:rPr>
        <w:t xml:space="preserve">     </w:t>
      </w:r>
      <w:r w:rsidRPr="00DA3AE2">
        <w:rPr>
          <w:sz w:val="22"/>
          <w:szCs w:val="22"/>
        </w:rPr>
        <w:t>Load.</w:t>
      </w:r>
    </w:p>
    <w:p w14:paraId="132B3022" w14:textId="77777777" w:rsidR="006C603F" w:rsidRPr="00DA3AE2" w:rsidRDefault="006C603F" w:rsidP="0032784D">
      <w:pPr>
        <w:tabs>
          <w:tab w:val="left" w:pos="7920"/>
        </w:tabs>
        <w:spacing w:line="276" w:lineRule="auto"/>
        <w:rPr>
          <w:sz w:val="22"/>
          <w:szCs w:val="22"/>
        </w:rPr>
      </w:pPr>
    </w:p>
    <w:p w14:paraId="1C028E5E" w14:textId="77777777" w:rsidR="00905011" w:rsidRPr="00DA3AE2" w:rsidRDefault="00905011" w:rsidP="0032784D">
      <w:pPr>
        <w:tabs>
          <w:tab w:val="left" w:pos="7920"/>
        </w:tabs>
        <w:spacing w:line="276" w:lineRule="auto"/>
        <w:rPr>
          <w:sz w:val="22"/>
          <w:szCs w:val="22"/>
        </w:rPr>
      </w:pPr>
    </w:p>
    <w:p w14:paraId="291C7355" w14:textId="77777777" w:rsidR="00905011" w:rsidRPr="00DA3AE2" w:rsidRDefault="00905011" w:rsidP="0032784D">
      <w:pPr>
        <w:tabs>
          <w:tab w:val="left" w:pos="7920"/>
        </w:tabs>
        <w:spacing w:line="276" w:lineRule="auto"/>
        <w:rPr>
          <w:sz w:val="22"/>
          <w:szCs w:val="22"/>
        </w:rPr>
      </w:pPr>
    </w:p>
    <w:p w14:paraId="512FDB51" w14:textId="199A099B" w:rsidR="00720F35" w:rsidRPr="00DA3AE2" w:rsidRDefault="00720F35" w:rsidP="0032784D">
      <w:pPr>
        <w:numPr>
          <w:ilvl w:val="0"/>
          <w:numId w:val="1"/>
        </w:numPr>
        <w:tabs>
          <w:tab w:val="left" w:pos="7920"/>
        </w:tabs>
        <w:spacing w:line="276" w:lineRule="auto"/>
        <w:rPr>
          <w:b/>
          <w:sz w:val="22"/>
          <w:szCs w:val="22"/>
        </w:rPr>
      </w:pPr>
      <w:r w:rsidRPr="00DA3AE2">
        <w:rPr>
          <w:b/>
          <w:sz w:val="22"/>
          <w:szCs w:val="22"/>
        </w:rPr>
        <w:t xml:space="preserve">Description of options considered (including do nothing), with reference to the evidence base </w:t>
      </w:r>
      <w:r w:rsidR="000840B1" w:rsidRPr="00DA3AE2">
        <w:rPr>
          <w:b/>
          <w:sz w:val="22"/>
          <w:szCs w:val="22"/>
        </w:rPr>
        <w:t>to support the option selection</w:t>
      </w:r>
    </w:p>
    <w:p w14:paraId="469D697E" w14:textId="77777777" w:rsidR="000840B1" w:rsidRPr="00DA3AE2" w:rsidRDefault="000840B1" w:rsidP="0032784D">
      <w:pPr>
        <w:tabs>
          <w:tab w:val="left" w:pos="7920"/>
        </w:tabs>
        <w:spacing w:line="276" w:lineRule="auto"/>
        <w:rPr>
          <w:b/>
          <w:sz w:val="22"/>
          <w:szCs w:val="22"/>
        </w:rPr>
      </w:pPr>
    </w:p>
    <w:p w14:paraId="10336616" w14:textId="3437DD4C" w:rsidR="000840B1" w:rsidRPr="00DA3AE2" w:rsidRDefault="000840B1" w:rsidP="0032784D">
      <w:pPr>
        <w:spacing w:line="276" w:lineRule="auto"/>
        <w:rPr>
          <w:sz w:val="22"/>
          <w:szCs w:val="22"/>
        </w:rPr>
      </w:pPr>
      <w:r w:rsidRPr="00DA3AE2">
        <w:rPr>
          <w:sz w:val="22"/>
          <w:szCs w:val="22"/>
        </w:rPr>
        <w:t>Option 1: Do nothing, do not develop or implement an Ammonia Strategy. This is the baseline option.</w:t>
      </w:r>
    </w:p>
    <w:p w14:paraId="44E51572" w14:textId="77777777" w:rsidR="007C79DE" w:rsidRPr="00DA3AE2" w:rsidRDefault="007C79DE" w:rsidP="0032784D">
      <w:pPr>
        <w:spacing w:line="276" w:lineRule="auto"/>
        <w:rPr>
          <w:sz w:val="22"/>
          <w:szCs w:val="22"/>
        </w:rPr>
      </w:pPr>
    </w:p>
    <w:p w14:paraId="1EE00C59" w14:textId="5A068927" w:rsidR="000840B1" w:rsidRPr="00DA3AE2" w:rsidRDefault="000840B1" w:rsidP="0032784D">
      <w:pPr>
        <w:spacing w:line="276" w:lineRule="auto"/>
        <w:rPr>
          <w:sz w:val="22"/>
          <w:szCs w:val="22"/>
        </w:rPr>
      </w:pPr>
      <w:r w:rsidRPr="00DA3AE2">
        <w:rPr>
          <w:sz w:val="22"/>
          <w:szCs w:val="22"/>
        </w:rPr>
        <w:t xml:space="preserve">Option 2: </w:t>
      </w:r>
      <w:r w:rsidR="001E4F88" w:rsidRPr="00DA3AE2">
        <w:rPr>
          <w:sz w:val="22"/>
          <w:szCs w:val="22"/>
        </w:rPr>
        <w:t>Develop and implement an Ammonia Strategy with lower cost measures only (21% ammonia reduction)</w:t>
      </w:r>
    </w:p>
    <w:p w14:paraId="23749F04" w14:textId="77777777" w:rsidR="007C79DE" w:rsidRPr="00DA3AE2" w:rsidRDefault="007C79DE" w:rsidP="0032784D">
      <w:pPr>
        <w:spacing w:line="276" w:lineRule="auto"/>
        <w:rPr>
          <w:sz w:val="22"/>
          <w:szCs w:val="22"/>
        </w:rPr>
      </w:pPr>
    </w:p>
    <w:p w14:paraId="14466835" w14:textId="7A80D6EA" w:rsidR="000840B1" w:rsidRPr="00DA3AE2" w:rsidRDefault="000840B1" w:rsidP="0032784D">
      <w:pPr>
        <w:spacing w:line="276" w:lineRule="auto"/>
        <w:rPr>
          <w:sz w:val="22"/>
          <w:szCs w:val="22"/>
        </w:rPr>
      </w:pPr>
      <w:r w:rsidRPr="00DA3AE2">
        <w:rPr>
          <w:sz w:val="22"/>
          <w:szCs w:val="22"/>
        </w:rPr>
        <w:lastRenderedPageBreak/>
        <w:t xml:space="preserve">Option 3: </w:t>
      </w:r>
      <w:r w:rsidR="001E4F88" w:rsidRPr="00DA3AE2">
        <w:rPr>
          <w:sz w:val="22"/>
          <w:szCs w:val="22"/>
        </w:rPr>
        <w:t>Develop and implement an Ammonia Strategy including the full range of feasible ammonia reduction measures (25 to 28% ammonia reduction)</w:t>
      </w:r>
    </w:p>
    <w:p w14:paraId="2ADA3516" w14:textId="77777777" w:rsidR="000840B1" w:rsidRPr="00DA3AE2" w:rsidRDefault="000840B1" w:rsidP="0032784D">
      <w:pPr>
        <w:tabs>
          <w:tab w:val="left" w:pos="7920"/>
        </w:tabs>
        <w:spacing w:line="276" w:lineRule="auto"/>
        <w:rPr>
          <w:b/>
          <w:sz w:val="22"/>
          <w:szCs w:val="22"/>
        </w:rPr>
      </w:pPr>
    </w:p>
    <w:p w14:paraId="11D152E4" w14:textId="77777777" w:rsidR="000840B1" w:rsidRPr="00DA3AE2" w:rsidRDefault="000840B1" w:rsidP="0032784D">
      <w:pPr>
        <w:tabs>
          <w:tab w:val="left" w:pos="7920"/>
        </w:tabs>
        <w:spacing w:line="276" w:lineRule="auto"/>
        <w:rPr>
          <w:sz w:val="22"/>
          <w:szCs w:val="22"/>
        </w:rPr>
      </w:pPr>
    </w:p>
    <w:p w14:paraId="45542DB2" w14:textId="1D8956DC" w:rsidR="000840B1" w:rsidRPr="00DA3AE2" w:rsidRDefault="000840B1" w:rsidP="0032784D">
      <w:pPr>
        <w:tabs>
          <w:tab w:val="left" w:pos="7920"/>
        </w:tabs>
        <w:spacing w:line="276" w:lineRule="auto"/>
        <w:rPr>
          <w:b/>
          <w:i/>
          <w:sz w:val="22"/>
          <w:szCs w:val="22"/>
        </w:rPr>
      </w:pPr>
      <w:r w:rsidRPr="00DA3AE2">
        <w:rPr>
          <w:b/>
          <w:i/>
          <w:sz w:val="22"/>
          <w:szCs w:val="22"/>
        </w:rPr>
        <w:t>Option 1: Do nothing, do not develop or implement an ammonia strategy. This is the baseline option</w:t>
      </w:r>
    </w:p>
    <w:p w14:paraId="4969CDBF" w14:textId="77777777" w:rsidR="000840B1" w:rsidRPr="00DA3AE2" w:rsidRDefault="000840B1" w:rsidP="0032784D">
      <w:pPr>
        <w:tabs>
          <w:tab w:val="left" w:pos="7920"/>
        </w:tabs>
        <w:spacing w:line="276" w:lineRule="auto"/>
        <w:rPr>
          <w:sz w:val="22"/>
          <w:szCs w:val="22"/>
        </w:rPr>
      </w:pPr>
    </w:p>
    <w:p w14:paraId="7B06E82F" w14:textId="01EFEED7" w:rsidR="000840B1" w:rsidRPr="00DA3AE2" w:rsidRDefault="00B5238E" w:rsidP="0032784D">
      <w:pPr>
        <w:tabs>
          <w:tab w:val="left" w:pos="7920"/>
        </w:tabs>
        <w:spacing w:line="276" w:lineRule="auto"/>
        <w:rPr>
          <w:sz w:val="22"/>
          <w:szCs w:val="22"/>
        </w:rPr>
      </w:pPr>
      <w:r w:rsidRPr="00DA3AE2">
        <w:rPr>
          <w:sz w:val="22"/>
          <w:szCs w:val="22"/>
        </w:rPr>
        <w:t>N</w:t>
      </w:r>
      <w:r w:rsidR="000840B1" w:rsidRPr="00DA3AE2">
        <w:rPr>
          <w:sz w:val="22"/>
          <w:szCs w:val="22"/>
        </w:rPr>
        <w:t>o specific action</w:t>
      </w:r>
      <w:r w:rsidRPr="00DA3AE2">
        <w:rPr>
          <w:sz w:val="22"/>
          <w:szCs w:val="22"/>
        </w:rPr>
        <w:t xml:space="preserve"> is taken</w:t>
      </w:r>
      <w:r w:rsidR="000840B1" w:rsidRPr="00DA3AE2">
        <w:rPr>
          <w:sz w:val="22"/>
          <w:szCs w:val="22"/>
        </w:rPr>
        <w:t xml:space="preserve"> to reduce ammonia emissions. </w:t>
      </w:r>
      <w:r w:rsidRPr="00DA3AE2">
        <w:rPr>
          <w:sz w:val="22"/>
          <w:szCs w:val="22"/>
        </w:rPr>
        <w:t>Livestock numbers will determine changes in ammonia emissions. S</w:t>
      </w:r>
      <w:r w:rsidR="000840B1" w:rsidRPr="00DA3AE2">
        <w:rPr>
          <w:sz w:val="22"/>
          <w:szCs w:val="22"/>
        </w:rPr>
        <w:t xml:space="preserve">ome additional ammonia reduction </w:t>
      </w:r>
      <w:r w:rsidRPr="00DA3AE2">
        <w:rPr>
          <w:sz w:val="22"/>
          <w:szCs w:val="22"/>
        </w:rPr>
        <w:t xml:space="preserve">will be </w:t>
      </w:r>
      <w:r w:rsidR="000840B1" w:rsidRPr="00DA3AE2">
        <w:rPr>
          <w:sz w:val="22"/>
          <w:szCs w:val="22"/>
        </w:rPr>
        <w:t>achieved through phasing in of a requirement for use of low emission slurry spreading on some, but not all, farms under the Nutrients Action Programme. Northern Ireland will likely fail to meet its legal obligations to protect habitats and improve air quality and will not derive any of the benefits of ammonia reduction.</w:t>
      </w:r>
    </w:p>
    <w:p w14:paraId="51D08B12" w14:textId="77777777" w:rsidR="00454A20" w:rsidRPr="00DA3AE2" w:rsidRDefault="00454A20" w:rsidP="0032784D">
      <w:pPr>
        <w:tabs>
          <w:tab w:val="left" w:pos="7920"/>
        </w:tabs>
        <w:spacing w:line="276" w:lineRule="auto"/>
        <w:rPr>
          <w:sz w:val="22"/>
          <w:szCs w:val="22"/>
        </w:rPr>
      </w:pPr>
    </w:p>
    <w:p w14:paraId="4874126C" w14:textId="271CF210" w:rsidR="00454A20" w:rsidRPr="00DA3AE2" w:rsidRDefault="00454A20" w:rsidP="0032784D">
      <w:pPr>
        <w:tabs>
          <w:tab w:val="left" w:pos="7920"/>
        </w:tabs>
        <w:spacing w:line="276" w:lineRule="auto"/>
        <w:rPr>
          <w:sz w:val="22"/>
          <w:szCs w:val="22"/>
        </w:rPr>
      </w:pPr>
      <w:r w:rsidRPr="00DA3AE2">
        <w:rPr>
          <w:sz w:val="22"/>
          <w:szCs w:val="22"/>
        </w:rPr>
        <w:t>Current levels of exceedance of these key thresholds at designated habitats shown in Table 2 are extremely high and challenging to DAERA’s delivery of the existing legislative requirements listed as well as future cross cutting DAERA key policy proposals including the Green Growth Strategy.</w:t>
      </w:r>
    </w:p>
    <w:p w14:paraId="6CAA6BFE" w14:textId="77777777" w:rsidR="00B5238E" w:rsidRPr="00DA3AE2" w:rsidRDefault="00B5238E" w:rsidP="0032784D">
      <w:pPr>
        <w:tabs>
          <w:tab w:val="left" w:pos="7920"/>
        </w:tabs>
        <w:spacing w:line="276" w:lineRule="auto"/>
        <w:rPr>
          <w:sz w:val="22"/>
          <w:szCs w:val="22"/>
        </w:rPr>
      </w:pPr>
    </w:p>
    <w:p w14:paraId="53063E12" w14:textId="77777777" w:rsidR="000840B1" w:rsidRPr="00DA3AE2" w:rsidRDefault="000840B1" w:rsidP="0032784D">
      <w:pPr>
        <w:tabs>
          <w:tab w:val="left" w:pos="7920"/>
        </w:tabs>
        <w:spacing w:line="276" w:lineRule="auto"/>
        <w:rPr>
          <w:sz w:val="22"/>
          <w:szCs w:val="22"/>
        </w:rPr>
      </w:pPr>
    </w:p>
    <w:p w14:paraId="00E0FEFD" w14:textId="77777777" w:rsidR="00475C21" w:rsidRPr="00DA3AE2" w:rsidRDefault="00475C21" w:rsidP="0032784D">
      <w:pPr>
        <w:tabs>
          <w:tab w:val="left" w:pos="7920"/>
        </w:tabs>
        <w:spacing w:line="276" w:lineRule="auto"/>
        <w:rPr>
          <w:sz w:val="22"/>
          <w:szCs w:val="22"/>
        </w:rPr>
      </w:pPr>
    </w:p>
    <w:p w14:paraId="52A2D825" w14:textId="77777777" w:rsidR="00475C21" w:rsidRPr="00DA3AE2" w:rsidRDefault="00475C21" w:rsidP="0032784D">
      <w:pPr>
        <w:tabs>
          <w:tab w:val="left" w:pos="7920"/>
        </w:tabs>
        <w:spacing w:line="276" w:lineRule="auto"/>
        <w:rPr>
          <w:sz w:val="22"/>
          <w:szCs w:val="22"/>
        </w:rPr>
      </w:pPr>
    </w:p>
    <w:p w14:paraId="4C4AF209" w14:textId="77777777" w:rsidR="00475C21" w:rsidRPr="00DA3AE2" w:rsidRDefault="00475C21" w:rsidP="0032784D">
      <w:pPr>
        <w:tabs>
          <w:tab w:val="left" w:pos="7920"/>
        </w:tabs>
        <w:spacing w:line="276" w:lineRule="auto"/>
        <w:rPr>
          <w:sz w:val="22"/>
          <w:szCs w:val="22"/>
        </w:rPr>
      </w:pPr>
    </w:p>
    <w:p w14:paraId="05DFCC42" w14:textId="4A10D1E8" w:rsidR="000840B1" w:rsidRPr="00DA3AE2" w:rsidRDefault="000840B1" w:rsidP="0032784D">
      <w:pPr>
        <w:spacing w:line="276" w:lineRule="auto"/>
        <w:rPr>
          <w:b/>
          <w:i/>
          <w:sz w:val="22"/>
          <w:szCs w:val="22"/>
        </w:rPr>
      </w:pPr>
      <w:r w:rsidRPr="00DA3AE2">
        <w:rPr>
          <w:b/>
          <w:i/>
          <w:sz w:val="22"/>
          <w:szCs w:val="22"/>
        </w:rPr>
        <w:t>Option 2: Develop and implement an Ammonia Strategy</w:t>
      </w:r>
      <w:r w:rsidR="001E4F88" w:rsidRPr="00DA3AE2">
        <w:t xml:space="preserve"> </w:t>
      </w:r>
      <w:r w:rsidR="001E4F88" w:rsidRPr="00DA3AE2">
        <w:rPr>
          <w:b/>
          <w:i/>
          <w:sz w:val="22"/>
          <w:szCs w:val="22"/>
        </w:rPr>
        <w:t>with lower cost measures only (21% ammonia reduction)</w:t>
      </w:r>
      <w:r w:rsidRPr="00DA3AE2">
        <w:rPr>
          <w:b/>
          <w:i/>
          <w:sz w:val="22"/>
          <w:szCs w:val="22"/>
        </w:rPr>
        <w:t xml:space="preserve"> </w:t>
      </w:r>
    </w:p>
    <w:p w14:paraId="4E694B90" w14:textId="77777777" w:rsidR="000840B1" w:rsidRPr="00DA3AE2" w:rsidRDefault="000840B1" w:rsidP="0032784D">
      <w:pPr>
        <w:tabs>
          <w:tab w:val="left" w:pos="7920"/>
        </w:tabs>
        <w:spacing w:line="276" w:lineRule="auto"/>
        <w:rPr>
          <w:sz w:val="22"/>
          <w:szCs w:val="22"/>
        </w:rPr>
      </w:pPr>
    </w:p>
    <w:p w14:paraId="0BCFFA86" w14:textId="6746CE7E" w:rsidR="00C9633B" w:rsidRPr="00DA3AE2" w:rsidRDefault="000840B1" w:rsidP="0032784D">
      <w:pPr>
        <w:tabs>
          <w:tab w:val="left" w:pos="7920"/>
        </w:tabs>
        <w:spacing w:line="276" w:lineRule="auto"/>
        <w:rPr>
          <w:sz w:val="22"/>
          <w:szCs w:val="22"/>
        </w:rPr>
      </w:pPr>
      <w:r w:rsidRPr="00DA3AE2">
        <w:rPr>
          <w:sz w:val="22"/>
          <w:szCs w:val="22"/>
        </w:rPr>
        <w:t xml:space="preserve">This </w:t>
      </w:r>
      <w:r w:rsidR="001E4F88" w:rsidRPr="00DA3AE2">
        <w:rPr>
          <w:sz w:val="22"/>
          <w:szCs w:val="22"/>
        </w:rPr>
        <w:t>option would see</w:t>
      </w:r>
      <w:r w:rsidRPr="00DA3AE2">
        <w:rPr>
          <w:sz w:val="22"/>
          <w:szCs w:val="22"/>
        </w:rPr>
        <w:t xml:space="preserve"> Northern Ireland </w:t>
      </w:r>
      <w:r w:rsidR="001E4F88" w:rsidRPr="00DA3AE2">
        <w:rPr>
          <w:sz w:val="22"/>
          <w:szCs w:val="22"/>
        </w:rPr>
        <w:t xml:space="preserve">take some steps to </w:t>
      </w:r>
      <w:r w:rsidRPr="00DA3AE2">
        <w:rPr>
          <w:sz w:val="22"/>
          <w:szCs w:val="22"/>
        </w:rPr>
        <w:t xml:space="preserve">meet its legal obligations to protect habitats and air quality. There </w:t>
      </w:r>
      <w:r w:rsidR="00824B0C" w:rsidRPr="00DA3AE2">
        <w:rPr>
          <w:sz w:val="22"/>
          <w:szCs w:val="22"/>
        </w:rPr>
        <w:t>will be</w:t>
      </w:r>
      <w:r w:rsidRPr="00DA3AE2">
        <w:rPr>
          <w:sz w:val="22"/>
          <w:szCs w:val="22"/>
        </w:rPr>
        <w:t xml:space="preserve"> significant environmental and health benefits to</w:t>
      </w:r>
      <w:r w:rsidR="00824B0C" w:rsidRPr="00DA3AE2">
        <w:rPr>
          <w:sz w:val="22"/>
          <w:szCs w:val="22"/>
        </w:rPr>
        <w:t xml:space="preserve"> achieving a 21%</w:t>
      </w:r>
      <w:r w:rsidRPr="00DA3AE2">
        <w:rPr>
          <w:sz w:val="22"/>
          <w:szCs w:val="22"/>
        </w:rPr>
        <w:t xml:space="preserve"> reduction</w:t>
      </w:r>
      <w:r w:rsidR="00824B0C" w:rsidRPr="00DA3AE2">
        <w:rPr>
          <w:sz w:val="22"/>
          <w:szCs w:val="22"/>
        </w:rPr>
        <w:t xml:space="preserve"> in ammonia emissions</w:t>
      </w:r>
      <w:r w:rsidRPr="00DA3AE2">
        <w:rPr>
          <w:sz w:val="22"/>
          <w:szCs w:val="22"/>
        </w:rPr>
        <w:t xml:space="preserve">, the monetary value of which </w:t>
      </w:r>
      <w:r w:rsidR="00824B0C" w:rsidRPr="00DA3AE2">
        <w:rPr>
          <w:sz w:val="22"/>
          <w:szCs w:val="22"/>
        </w:rPr>
        <w:t>can be estimated using figures</w:t>
      </w:r>
      <w:r w:rsidRPr="00DA3AE2">
        <w:rPr>
          <w:sz w:val="22"/>
          <w:szCs w:val="22"/>
        </w:rPr>
        <w:t xml:space="preserve"> in the Defra Air Quality damage cost update 2020</w:t>
      </w:r>
      <w:r w:rsidRPr="00DA3AE2">
        <w:rPr>
          <w:rStyle w:val="FootnoteReference"/>
          <w:sz w:val="22"/>
          <w:szCs w:val="22"/>
        </w:rPr>
        <w:footnoteReference w:id="5"/>
      </w:r>
      <w:r w:rsidRPr="00DA3AE2">
        <w:rPr>
          <w:sz w:val="22"/>
          <w:szCs w:val="22"/>
        </w:rPr>
        <w:t xml:space="preserve">. </w:t>
      </w:r>
    </w:p>
    <w:p w14:paraId="35BCA0B8" w14:textId="77777777" w:rsidR="00824B0C" w:rsidRPr="00DA3AE2" w:rsidRDefault="00824B0C" w:rsidP="0032784D">
      <w:pPr>
        <w:tabs>
          <w:tab w:val="left" w:pos="7920"/>
        </w:tabs>
        <w:spacing w:line="276" w:lineRule="auto"/>
        <w:rPr>
          <w:sz w:val="22"/>
          <w:szCs w:val="22"/>
        </w:rPr>
      </w:pPr>
    </w:p>
    <w:p w14:paraId="206E8DE2" w14:textId="01F98709" w:rsidR="00824B0C" w:rsidRPr="00DA3AE2" w:rsidRDefault="00824B0C" w:rsidP="0032784D">
      <w:pPr>
        <w:tabs>
          <w:tab w:val="left" w:pos="7920"/>
        </w:tabs>
        <w:spacing w:line="276" w:lineRule="auto"/>
        <w:rPr>
          <w:sz w:val="22"/>
          <w:szCs w:val="22"/>
        </w:rPr>
      </w:pPr>
      <w:r w:rsidRPr="00DA3AE2">
        <w:rPr>
          <w:sz w:val="22"/>
          <w:szCs w:val="22"/>
        </w:rPr>
        <w:t>The lower cost measures modelled by AFBI as achieving a 21% reduction in ammonia emissions were</w:t>
      </w:r>
      <w:r w:rsidR="005B7E1D">
        <w:rPr>
          <w:sz w:val="22"/>
          <w:szCs w:val="22"/>
        </w:rPr>
        <w:t>:</w:t>
      </w:r>
    </w:p>
    <w:p w14:paraId="6E7A83B8" w14:textId="77777777" w:rsidR="00824B0C" w:rsidRPr="00DA3AE2" w:rsidRDefault="00824B0C" w:rsidP="0032784D">
      <w:pPr>
        <w:tabs>
          <w:tab w:val="left" w:pos="7920"/>
        </w:tabs>
        <w:spacing w:line="276" w:lineRule="auto"/>
        <w:rPr>
          <w:sz w:val="22"/>
          <w:szCs w:val="22"/>
        </w:rPr>
      </w:pPr>
    </w:p>
    <w:p w14:paraId="2671621A" w14:textId="77777777" w:rsidR="00824B0C" w:rsidRPr="00DA3AE2" w:rsidRDefault="00824B0C" w:rsidP="0032784D">
      <w:pPr>
        <w:numPr>
          <w:ilvl w:val="0"/>
          <w:numId w:val="26"/>
        </w:numPr>
        <w:spacing w:line="276" w:lineRule="auto"/>
        <w:contextualSpacing/>
        <w:rPr>
          <w:rFonts w:eastAsia="Calibri"/>
          <w:sz w:val="22"/>
          <w:szCs w:val="22"/>
          <w:lang w:eastAsia="en-US"/>
        </w:rPr>
      </w:pPr>
      <w:r w:rsidRPr="00DA3AE2">
        <w:rPr>
          <w:rFonts w:eastAsia="Calibri"/>
          <w:sz w:val="22"/>
          <w:szCs w:val="22"/>
          <w:lang w:eastAsia="en-US"/>
        </w:rPr>
        <w:t>Require all slurry to be spread using low emission slurry spreading equipment</w:t>
      </w:r>
    </w:p>
    <w:p w14:paraId="133BEFB3" w14:textId="77777777" w:rsidR="00824B0C" w:rsidRPr="00DA3AE2" w:rsidRDefault="00824B0C" w:rsidP="0032784D">
      <w:pPr>
        <w:numPr>
          <w:ilvl w:val="0"/>
          <w:numId w:val="26"/>
        </w:numPr>
        <w:spacing w:line="276" w:lineRule="auto"/>
        <w:contextualSpacing/>
        <w:rPr>
          <w:rFonts w:eastAsia="Calibri"/>
          <w:sz w:val="22"/>
          <w:szCs w:val="22"/>
          <w:lang w:eastAsia="en-US"/>
        </w:rPr>
      </w:pPr>
      <w:r w:rsidRPr="00DA3AE2">
        <w:rPr>
          <w:rFonts w:eastAsia="Calibri"/>
          <w:sz w:val="22"/>
          <w:szCs w:val="22"/>
          <w:lang w:eastAsia="en-US"/>
        </w:rPr>
        <w:t xml:space="preserve">Introduce legislation to reduce ammonia emissions from fertiliser </w:t>
      </w:r>
    </w:p>
    <w:p w14:paraId="40FA9639" w14:textId="5CBE20A9" w:rsidR="00824B0C" w:rsidRPr="00DA3AE2" w:rsidRDefault="00824B0C" w:rsidP="0032784D">
      <w:pPr>
        <w:pStyle w:val="ListParagraph"/>
        <w:numPr>
          <w:ilvl w:val="0"/>
          <w:numId w:val="26"/>
        </w:numPr>
        <w:spacing w:after="0" w:line="276" w:lineRule="auto"/>
        <w:rPr>
          <w:rFonts w:ascii="Arial" w:hAnsi="Arial" w:cs="Arial"/>
        </w:rPr>
      </w:pPr>
      <w:r w:rsidRPr="00DA3AE2">
        <w:rPr>
          <w:rFonts w:ascii="Arial" w:hAnsi="Arial" w:cs="Arial"/>
        </w:rPr>
        <w:t>Longer Grazing Seasons</w:t>
      </w:r>
    </w:p>
    <w:p w14:paraId="6861EE75" w14:textId="04F7DCAD" w:rsidR="00824B0C" w:rsidRPr="00DA3AE2" w:rsidRDefault="00824B0C" w:rsidP="0032784D">
      <w:pPr>
        <w:pStyle w:val="ListParagraph"/>
        <w:numPr>
          <w:ilvl w:val="0"/>
          <w:numId w:val="26"/>
        </w:numPr>
        <w:spacing w:after="0" w:line="276" w:lineRule="auto"/>
        <w:rPr>
          <w:rFonts w:ascii="Arial" w:hAnsi="Arial" w:cs="Arial"/>
        </w:rPr>
      </w:pPr>
      <w:r w:rsidRPr="00DA3AE2">
        <w:rPr>
          <w:rFonts w:ascii="Arial" w:hAnsi="Arial" w:cs="Arial"/>
        </w:rPr>
        <w:t>Reducing Crude Protein in Livestock Diets</w:t>
      </w:r>
    </w:p>
    <w:p w14:paraId="1005F1F9" w14:textId="33D984D5" w:rsidR="00824B0C" w:rsidRPr="00DA3AE2" w:rsidRDefault="00824B0C" w:rsidP="0032784D">
      <w:pPr>
        <w:pStyle w:val="ListParagraph"/>
        <w:numPr>
          <w:ilvl w:val="0"/>
          <w:numId w:val="26"/>
        </w:numPr>
        <w:spacing w:after="0" w:line="276" w:lineRule="auto"/>
        <w:rPr>
          <w:rFonts w:ascii="Arial" w:hAnsi="Arial" w:cs="Arial"/>
        </w:rPr>
      </w:pPr>
      <w:r w:rsidRPr="00DA3AE2">
        <w:rPr>
          <w:rFonts w:ascii="Arial" w:hAnsi="Arial" w:cs="Arial"/>
        </w:rPr>
        <w:t>Improving Feed Efficiency Through Genetic Improvement</w:t>
      </w:r>
    </w:p>
    <w:p w14:paraId="0E885F18" w14:textId="77777777" w:rsidR="00454A20" w:rsidRPr="00DA3AE2" w:rsidRDefault="00454A20" w:rsidP="0032784D">
      <w:pPr>
        <w:spacing w:line="276" w:lineRule="auto"/>
        <w:contextualSpacing/>
        <w:rPr>
          <w:rFonts w:eastAsia="Calibri"/>
          <w:sz w:val="22"/>
          <w:szCs w:val="22"/>
          <w:lang w:eastAsia="en-US"/>
        </w:rPr>
      </w:pPr>
    </w:p>
    <w:p w14:paraId="20B4C322" w14:textId="2B660599" w:rsidR="00454A20" w:rsidRPr="00DA3AE2" w:rsidRDefault="00454A20" w:rsidP="0032784D">
      <w:pPr>
        <w:spacing w:line="276" w:lineRule="auto"/>
        <w:contextualSpacing/>
        <w:rPr>
          <w:rFonts w:eastAsia="Calibri"/>
          <w:sz w:val="22"/>
          <w:szCs w:val="22"/>
          <w:lang w:eastAsia="en-US"/>
        </w:rPr>
      </w:pPr>
      <w:r w:rsidRPr="00DA3AE2">
        <w:rPr>
          <w:rFonts w:eastAsia="Calibri"/>
          <w:sz w:val="22"/>
          <w:szCs w:val="22"/>
          <w:lang w:eastAsia="en-US"/>
        </w:rPr>
        <w:t>Table 3 shows the results of modelling work on the extent of ammonia reductions feasible through implementation of comparatively equivalent mitigation measures at specified uptake rates. The marginal abatement method used in the modelling means that reductions are not additive and must be considered in sequence but results clearly illustrate the difference in both costs and potential ammonia reduction resulting from the ‘All Measures’ option and the ‘</w:t>
      </w:r>
      <w:proofErr w:type="gramStart"/>
      <w:r w:rsidRPr="00DA3AE2">
        <w:rPr>
          <w:rFonts w:eastAsia="Calibri"/>
          <w:sz w:val="22"/>
          <w:szCs w:val="22"/>
          <w:lang w:eastAsia="en-US"/>
        </w:rPr>
        <w:t>Low Cost</w:t>
      </w:r>
      <w:proofErr w:type="gramEnd"/>
      <w:r w:rsidRPr="00DA3AE2">
        <w:rPr>
          <w:rFonts w:eastAsia="Calibri"/>
          <w:sz w:val="22"/>
          <w:szCs w:val="22"/>
          <w:lang w:eastAsia="en-US"/>
        </w:rPr>
        <w:t xml:space="preserve"> measures Only’ approaches. </w:t>
      </w:r>
      <w:r w:rsidR="00824B0C" w:rsidRPr="00DA3AE2">
        <w:rPr>
          <w:rFonts w:eastAsia="Calibri"/>
          <w:sz w:val="22"/>
          <w:szCs w:val="22"/>
          <w:lang w:eastAsia="en-US"/>
        </w:rPr>
        <w:t xml:space="preserve">While this option </w:t>
      </w:r>
      <w:r w:rsidR="00FB55E8" w:rsidRPr="00DA3AE2">
        <w:rPr>
          <w:rFonts w:eastAsia="Calibri"/>
          <w:sz w:val="22"/>
          <w:szCs w:val="22"/>
          <w:lang w:eastAsia="en-US"/>
        </w:rPr>
        <w:t>has significantly reduced costs to farm businesses compared to Option 3 (£6.63m per annum compared to at least £31.24m per annum), it does not maximum the current technical potential for ammonia reduction and therefore fails to maximise the potential for economic benefits to the environmental and public health through the implementation of ammonia reduction measures.</w:t>
      </w:r>
    </w:p>
    <w:p w14:paraId="328F830A" w14:textId="77777777" w:rsidR="009558E3" w:rsidRPr="00DA3AE2" w:rsidRDefault="009558E3" w:rsidP="0032784D">
      <w:pPr>
        <w:spacing w:line="276" w:lineRule="auto"/>
        <w:contextualSpacing/>
        <w:rPr>
          <w:rFonts w:eastAsia="Calibri"/>
          <w:sz w:val="22"/>
          <w:szCs w:val="22"/>
          <w:lang w:eastAsia="en-US"/>
        </w:rPr>
      </w:pPr>
    </w:p>
    <w:p w14:paraId="2CEE7820" w14:textId="51D6211E" w:rsidR="000840B1" w:rsidRPr="00DA3AE2" w:rsidRDefault="000840B1" w:rsidP="0032784D">
      <w:pPr>
        <w:tabs>
          <w:tab w:val="left" w:pos="7920"/>
        </w:tabs>
        <w:spacing w:line="276" w:lineRule="auto"/>
        <w:rPr>
          <w:sz w:val="22"/>
          <w:szCs w:val="22"/>
        </w:rPr>
      </w:pPr>
    </w:p>
    <w:p w14:paraId="590DC9FF" w14:textId="77777777" w:rsidR="004E6017" w:rsidRPr="00DA3AE2" w:rsidRDefault="004E6017" w:rsidP="0032784D">
      <w:pPr>
        <w:tabs>
          <w:tab w:val="left" w:pos="7920"/>
        </w:tabs>
        <w:spacing w:line="276" w:lineRule="auto"/>
        <w:rPr>
          <w:sz w:val="22"/>
          <w:szCs w:val="22"/>
        </w:rPr>
      </w:pPr>
    </w:p>
    <w:p w14:paraId="53832689" w14:textId="1B0B1662" w:rsidR="000840B1" w:rsidRPr="00DA3AE2" w:rsidRDefault="000840B1" w:rsidP="0032784D">
      <w:pPr>
        <w:tabs>
          <w:tab w:val="left" w:pos="7920"/>
        </w:tabs>
        <w:spacing w:line="276" w:lineRule="auto"/>
        <w:rPr>
          <w:b/>
          <w:i/>
          <w:sz w:val="22"/>
          <w:szCs w:val="22"/>
        </w:rPr>
      </w:pPr>
      <w:r w:rsidRPr="00DA3AE2">
        <w:rPr>
          <w:b/>
          <w:i/>
          <w:sz w:val="22"/>
          <w:szCs w:val="22"/>
        </w:rPr>
        <w:t xml:space="preserve">Option 3: Develop and implement an Ammonia Strategy </w:t>
      </w:r>
      <w:r w:rsidR="001D5AC9" w:rsidRPr="00DA3AE2">
        <w:rPr>
          <w:b/>
          <w:i/>
          <w:sz w:val="22"/>
          <w:szCs w:val="22"/>
        </w:rPr>
        <w:t>including the full range of feasible ammonia reduction measures (25 to 28% ammonia reduction)</w:t>
      </w:r>
    </w:p>
    <w:p w14:paraId="696A3779" w14:textId="77777777" w:rsidR="000840B1" w:rsidRPr="00DA3AE2" w:rsidRDefault="000840B1" w:rsidP="0032784D">
      <w:pPr>
        <w:tabs>
          <w:tab w:val="left" w:pos="7920"/>
        </w:tabs>
        <w:spacing w:line="276" w:lineRule="auto"/>
        <w:rPr>
          <w:sz w:val="22"/>
          <w:szCs w:val="22"/>
        </w:rPr>
      </w:pPr>
    </w:p>
    <w:p w14:paraId="72F77E31" w14:textId="28D1E1AB" w:rsidR="00FB55E8" w:rsidRPr="00DA3AE2" w:rsidRDefault="000840B1" w:rsidP="0032784D">
      <w:pPr>
        <w:tabs>
          <w:tab w:val="left" w:pos="7920"/>
        </w:tabs>
        <w:spacing w:line="276" w:lineRule="auto"/>
        <w:rPr>
          <w:sz w:val="22"/>
          <w:szCs w:val="22"/>
        </w:rPr>
      </w:pPr>
      <w:r w:rsidRPr="00DA3AE2">
        <w:rPr>
          <w:sz w:val="22"/>
          <w:szCs w:val="22"/>
        </w:rPr>
        <w:t>The option would</w:t>
      </w:r>
      <w:r w:rsidR="004E6017" w:rsidRPr="00DA3AE2">
        <w:rPr>
          <w:sz w:val="22"/>
          <w:szCs w:val="22"/>
        </w:rPr>
        <w:t xml:space="preserve"> involve implementation of the Option 2</w:t>
      </w:r>
      <w:r w:rsidRPr="00DA3AE2">
        <w:rPr>
          <w:sz w:val="22"/>
          <w:szCs w:val="22"/>
        </w:rPr>
        <w:t xml:space="preserve"> ammonia reduction measures</w:t>
      </w:r>
      <w:r w:rsidR="00FB55E8" w:rsidRPr="00DA3AE2">
        <w:rPr>
          <w:sz w:val="22"/>
          <w:szCs w:val="22"/>
        </w:rPr>
        <w:t>, as well as a series of additional measures to increase the ammonia of the ammonia strategy. The measure to be implemented are as follows</w:t>
      </w:r>
      <w:r w:rsidR="005B7E1D">
        <w:rPr>
          <w:sz w:val="22"/>
          <w:szCs w:val="22"/>
        </w:rPr>
        <w:t>:</w:t>
      </w:r>
    </w:p>
    <w:p w14:paraId="7122400B" w14:textId="77777777" w:rsidR="00FB55E8" w:rsidRPr="00DA3AE2" w:rsidRDefault="00FB55E8" w:rsidP="0032784D">
      <w:pPr>
        <w:tabs>
          <w:tab w:val="left" w:pos="7920"/>
        </w:tabs>
        <w:spacing w:line="276" w:lineRule="auto"/>
        <w:rPr>
          <w:sz w:val="22"/>
          <w:szCs w:val="22"/>
        </w:rPr>
      </w:pPr>
    </w:p>
    <w:p w14:paraId="1C46C8AA" w14:textId="3AC9AAC2" w:rsidR="00FB55E8" w:rsidRPr="00DA3AE2" w:rsidRDefault="00FB55E8" w:rsidP="0032784D">
      <w:pPr>
        <w:numPr>
          <w:ilvl w:val="0"/>
          <w:numId w:val="26"/>
        </w:numPr>
        <w:spacing w:line="276" w:lineRule="auto"/>
        <w:contextualSpacing/>
        <w:rPr>
          <w:rFonts w:eastAsia="Calibri"/>
          <w:sz w:val="22"/>
          <w:szCs w:val="22"/>
          <w:lang w:eastAsia="en-US"/>
        </w:rPr>
      </w:pPr>
      <w:r w:rsidRPr="00DA3AE2">
        <w:rPr>
          <w:rFonts w:eastAsia="Calibri"/>
          <w:sz w:val="22"/>
          <w:szCs w:val="22"/>
          <w:lang w:eastAsia="en-US"/>
        </w:rPr>
        <w:t>Require all slurry to be spread using low emission slurry spreading equipment</w:t>
      </w:r>
    </w:p>
    <w:p w14:paraId="628CF0CE" w14:textId="65A8A3F9" w:rsidR="00FB55E8" w:rsidRPr="00DA3AE2" w:rsidRDefault="00FB55E8" w:rsidP="0032784D">
      <w:pPr>
        <w:numPr>
          <w:ilvl w:val="0"/>
          <w:numId w:val="26"/>
        </w:numPr>
        <w:spacing w:line="276" w:lineRule="auto"/>
        <w:contextualSpacing/>
        <w:rPr>
          <w:rFonts w:eastAsia="Calibri"/>
          <w:sz w:val="22"/>
          <w:szCs w:val="22"/>
          <w:lang w:eastAsia="en-US"/>
        </w:rPr>
      </w:pPr>
      <w:r w:rsidRPr="00DA3AE2">
        <w:rPr>
          <w:rFonts w:eastAsia="Calibri"/>
          <w:sz w:val="22"/>
          <w:szCs w:val="22"/>
          <w:lang w:eastAsia="en-US"/>
        </w:rPr>
        <w:t>Introduce legislation to reduce ammonia emissions from fertiliser</w:t>
      </w:r>
    </w:p>
    <w:p w14:paraId="53FF00E0" w14:textId="11A77CF3" w:rsidR="00FB55E8" w:rsidRPr="00DA3AE2" w:rsidRDefault="00FB55E8" w:rsidP="0032784D">
      <w:pPr>
        <w:pStyle w:val="ListParagraph"/>
        <w:numPr>
          <w:ilvl w:val="0"/>
          <w:numId w:val="26"/>
        </w:numPr>
        <w:spacing w:after="0" w:line="276" w:lineRule="auto"/>
        <w:rPr>
          <w:rFonts w:ascii="Arial" w:hAnsi="Arial" w:cs="Arial"/>
        </w:rPr>
      </w:pPr>
      <w:r w:rsidRPr="00DA3AE2">
        <w:rPr>
          <w:rFonts w:ascii="Arial" w:hAnsi="Arial" w:cs="Arial"/>
        </w:rPr>
        <w:t xml:space="preserve">Longer </w:t>
      </w:r>
      <w:r w:rsidR="005B7E1D">
        <w:rPr>
          <w:rFonts w:ascii="Arial" w:hAnsi="Arial" w:cs="Arial"/>
        </w:rPr>
        <w:t>gr</w:t>
      </w:r>
      <w:r w:rsidRPr="00DA3AE2">
        <w:rPr>
          <w:rFonts w:ascii="Arial" w:hAnsi="Arial" w:cs="Arial"/>
        </w:rPr>
        <w:t xml:space="preserve">azing </w:t>
      </w:r>
      <w:r w:rsidR="005B7E1D">
        <w:rPr>
          <w:rFonts w:ascii="Arial" w:hAnsi="Arial" w:cs="Arial"/>
        </w:rPr>
        <w:t>se</w:t>
      </w:r>
      <w:r w:rsidRPr="00DA3AE2">
        <w:rPr>
          <w:rFonts w:ascii="Arial" w:hAnsi="Arial" w:cs="Arial"/>
        </w:rPr>
        <w:t>asons</w:t>
      </w:r>
    </w:p>
    <w:p w14:paraId="78D17CBE" w14:textId="6171228F" w:rsidR="00FB55E8" w:rsidRPr="00DA3AE2" w:rsidRDefault="00FB55E8" w:rsidP="0032784D">
      <w:pPr>
        <w:pStyle w:val="ListParagraph"/>
        <w:numPr>
          <w:ilvl w:val="0"/>
          <w:numId w:val="26"/>
        </w:numPr>
        <w:spacing w:after="0" w:line="276" w:lineRule="auto"/>
        <w:rPr>
          <w:rFonts w:ascii="Arial" w:hAnsi="Arial" w:cs="Arial"/>
        </w:rPr>
      </w:pPr>
      <w:r w:rsidRPr="00DA3AE2">
        <w:rPr>
          <w:rFonts w:ascii="Arial" w:hAnsi="Arial" w:cs="Arial"/>
        </w:rPr>
        <w:t xml:space="preserve">Reducing </w:t>
      </w:r>
      <w:r w:rsidR="005B7E1D">
        <w:rPr>
          <w:rFonts w:ascii="Arial" w:hAnsi="Arial" w:cs="Arial"/>
        </w:rPr>
        <w:t>c</w:t>
      </w:r>
      <w:r w:rsidRPr="00DA3AE2">
        <w:rPr>
          <w:rFonts w:ascii="Arial" w:hAnsi="Arial" w:cs="Arial"/>
        </w:rPr>
        <w:t xml:space="preserve">rude </w:t>
      </w:r>
      <w:r w:rsidR="005B7E1D">
        <w:rPr>
          <w:rFonts w:ascii="Arial" w:hAnsi="Arial" w:cs="Arial"/>
        </w:rPr>
        <w:t>p</w:t>
      </w:r>
      <w:r w:rsidRPr="00DA3AE2">
        <w:rPr>
          <w:rFonts w:ascii="Arial" w:hAnsi="Arial" w:cs="Arial"/>
        </w:rPr>
        <w:t xml:space="preserve">rotein in </w:t>
      </w:r>
      <w:r w:rsidR="005B7E1D">
        <w:rPr>
          <w:rFonts w:ascii="Arial" w:hAnsi="Arial" w:cs="Arial"/>
        </w:rPr>
        <w:t>l</w:t>
      </w:r>
      <w:r w:rsidRPr="00DA3AE2">
        <w:rPr>
          <w:rFonts w:ascii="Arial" w:hAnsi="Arial" w:cs="Arial"/>
        </w:rPr>
        <w:t xml:space="preserve">ivestock </w:t>
      </w:r>
      <w:r w:rsidR="005B7E1D">
        <w:rPr>
          <w:rFonts w:ascii="Arial" w:hAnsi="Arial" w:cs="Arial"/>
        </w:rPr>
        <w:t>d</w:t>
      </w:r>
      <w:r w:rsidRPr="00DA3AE2">
        <w:rPr>
          <w:rFonts w:ascii="Arial" w:hAnsi="Arial" w:cs="Arial"/>
        </w:rPr>
        <w:t>iets</w:t>
      </w:r>
    </w:p>
    <w:p w14:paraId="17AB9065" w14:textId="4C47AF33" w:rsidR="00FB55E8" w:rsidRPr="005B7E1D" w:rsidRDefault="00FB55E8" w:rsidP="0032784D">
      <w:pPr>
        <w:pStyle w:val="ListParagraph"/>
        <w:numPr>
          <w:ilvl w:val="0"/>
          <w:numId w:val="26"/>
        </w:numPr>
        <w:spacing w:after="0" w:line="276" w:lineRule="auto"/>
        <w:rPr>
          <w:rFonts w:ascii="Arial" w:hAnsi="Arial" w:cs="Arial"/>
        </w:rPr>
      </w:pPr>
      <w:r w:rsidRPr="00DA3AE2">
        <w:rPr>
          <w:rFonts w:ascii="Arial" w:hAnsi="Arial" w:cs="Arial"/>
        </w:rPr>
        <w:t xml:space="preserve">Improving </w:t>
      </w:r>
      <w:r w:rsidR="005B7E1D">
        <w:rPr>
          <w:rFonts w:ascii="Arial" w:hAnsi="Arial" w:cs="Arial"/>
        </w:rPr>
        <w:t>f</w:t>
      </w:r>
      <w:r w:rsidRPr="00DA3AE2">
        <w:rPr>
          <w:rFonts w:ascii="Arial" w:hAnsi="Arial" w:cs="Arial"/>
        </w:rPr>
        <w:t xml:space="preserve">eed </w:t>
      </w:r>
      <w:r w:rsidR="005B7E1D">
        <w:rPr>
          <w:rFonts w:ascii="Arial" w:hAnsi="Arial" w:cs="Arial"/>
        </w:rPr>
        <w:t>e</w:t>
      </w:r>
      <w:r w:rsidRPr="00DA3AE2">
        <w:rPr>
          <w:rFonts w:ascii="Arial" w:hAnsi="Arial" w:cs="Arial"/>
        </w:rPr>
        <w:t xml:space="preserve">fficiency </w:t>
      </w:r>
      <w:r w:rsidR="005B7E1D">
        <w:rPr>
          <w:rFonts w:ascii="Arial" w:hAnsi="Arial" w:cs="Arial"/>
        </w:rPr>
        <w:t>t</w:t>
      </w:r>
      <w:r w:rsidRPr="00DA3AE2">
        <w:rPr>
          <w:rFonts w:ascii="Arial" w:hAnsi="Arial" w:cs="Arial"/>
        </w:rPr>
        <w:t xml:space="preserve">hrough </w:t>
      </w:r>
      <w:r w:rsidR="005B7E1D" w:rsidRPr="005B7E1D">
        <w:rPr>
          <w:rFonts w:ascii="Arial" w:hAnsi="Arial" w:cs="Arial"/>
        </w:rPr>
        <w:t>g</w:t>
      </w:r>
      <w:r w:rsidRPr="005B7E1D">
        <w:rPr>
          <w:rFonts w:ascii="Arial" w:hAnsi="Arial" w:cs="Arial"/>
        </w:rPr>
        <w:t xml:space="preserve">enetic </w:t>
      </w:r>
      <w:r w:rsidR="005B7E1D">
        <w:rPr>
          <w:rFonts w:ascii="Arial" w:hAnsi="Arial" w:cs="Arial"/>
        </w:rPr>
        <w:t>i</w:t>
      </w:r>
      <w:r w:rsidRPr="005B7E1D">
        <w:rPr>
          <w:rFonts w:ascii="Arial" w:hAnsi="Arial" w:cs="Arial"/>
        </w:rPr>
        <w:t>mprovement</w:t>
      </w:r>
    </w:p>
    <w:p w14:paraId="49FFEC31" w14:textId="77777777" w:rsidR="00FB55E8" w:rsidRPr="00DA3AE2" w:rsidRDefault="00FB55E8" w:rsidP="0032784D">
      <w:pPr>
        <w:tabs>
          <w:tab w:val="left" w:pos="7920"/>
        </w:tabs>
        <w:spacing w:line="276" w:lineRule="auto"/>
        <w:rPr>
          <w:sz w:val="22"/>
          <w:szCs w:val="22"/>
        </w:rPr>
      </w:pPr>
    </w:p>
    <w:p w14:paraId="7329B182" w14:textId="77777777" w:rsidR="00FB55E8" w:rsidRPr="00DA3AE2" w:rsidRDefault="00FB55E8" w:rsidP="0032784D">
      <w:pPr>
        <w:tabs>
          <w:tab w:val="left" w:pos="7920"/>
        </w:tabs>
        <w:spacing w:line="276" w:lineRule="auto"/>
        <w:rPr>
          <w:sz w:val="22"/>
          <w:szCs w:val="22"/>
        </w:rPr>
      </w:pPr>
    </w:p>
    <w:p w14:paraId="7387C879" w14:textId="097697B0" w:rsidR="00454A20" w:rsidRPr="00DA3AE2" w:rsidRDefault="001D5AC9" w:rsidP="0032784D">
      <w:pPr>
        <w:tabs>
          <w:tab w:val="left" w:pos="7920"/>
        </w:tabs>
        <w:spacing w:line="276" w:lineRule="auto"/>
        <w:rPr>
          <w:sz w:val="22"/>
          <w:szCs w:val="22"/>
        </w:rPr>
      </w:pPr>
      <w:r w:rsidRPr="00DA3AE2">
        <w:rPr>
          <w:sz w:val="22"/>
          <w:szCs w:val="22"/>
        </w:rPr>
        <w:t>This is the preferred option as it provides the greatest amount of ammonia reduction of the options examined and therefore the greatest improvements to sensitive species and habitats and to public health. The benefits of the reduction in emissions are greater than the costs given the economic level of emission reduction.</w:t>
      </w:r>
    </w:p>
    <w:p w14:paraId="2665A156" w14:textId="77777777" w:rsidR="000840B1" w:rsidRPr="00DA3AE2" w:rsidRDefault="000840B1" w:rsidP="0032784D">
      <w:pPr>
        <w:tabs>
          <w:tab w:val="left" w:pos="7920"/>
        </w:tabs>
        <w:spacing w:line="276" w:lineRule="auto"/>
        <w:rPr>
          <w:sz w:val="22"/>
          <w:szCs w:val="22"/>
        </w:rPr>
      </w:pPr>
    </w:p>
    <w:p w14:paraId="3B1E882A" w14:textId="1D5A9617" w:rsidR="005B7E1D" w:rsidRDefault="005B7E1D" w:rsidP="0032784D">
      <w:pPr>
        <w:tabs>
          <w:tab w:val="left" w:pos="7920"/>
        </w:tabs>
        <w:spacing w:line="276" w:lineRule="auto"/>
        <w:rPr>
          <w:sz w:val="22"/>
          <w:szCs w:val="22"/>
        </w:rPr>
      </w:pPr>
    </w:p>
    <w:p w14:paraId="373CBA3C" w14:textId="2FC16D62" w:rsidR="005B7E1D" w:rsidRDefault="005B7E1D" w:rsidP="0032784D">
      <w:pPr>
        <w:tabs>
          <w:tab w:val="left" w:pos="7920"/>
        </w:tabs>
        <w:spacing w:line="276" w:lineRule="auto"/>
        <w:rPr>
          <w:sz w:val="22"/>
          <w:szCs w:val="22"/>
        </w:rPr>
      </w:pPr>
    </w:p>
    <w:p w14:paraId="2A8E1D6C" w14:textId="290B8364" w:rsidR="005B7E1D" w:rsidRDefault="005B7E1D" w:rsidP="0032784D">
      <w:pPr>
        <w:tabs>
          <w:tab w:val="left" w:pos="7920"/>
        </w:tabs>
        <w:spacing w:line="276" w:lineRule="auto"/>
        <w:rPr>
          <w:sz w:val="22"/>
          <w:szCs w:val="22"/>
        </w:rPr>
      </w:pPr>
    </w:p>
    <w:p w14:paraId="39BC4DEC" w14:textId="77777777" w:rsidR="005B7E1D" w:rsidRPr="00DA3AE2" w:rsidRDefault="005B7E1D" w:rsidP="0032784D">
      <w:pPr>
        <w:tabs>
          <w:tab w:val="left" w:pos="7920"/>
        </w:tabs>
        <w:spacing w:line="276" w:lineRule="auto"/>
        <w:rPr>
          <w:sz w:val="22"/>
          <w:szCs w:val="22"/>
        </w:rPr>
      </w:pPr>
    </w:p>
    <w:p w14:paraId="33FD939C" w14:textId="60B958CE" w:rsidR="00720F35" w:rsidRPr="00DA3AE2" w:rsidRDefault="00720F35" w:rsidP="0032784D">
      <w:pPr>
        <w:numPr>
          <w:ilvl w:val="0"/>
          <w:numId w:val="1"/>
        </w:numPr>
        <w:tabs>
          <w:tab w:val="left" w:pos="7920"/>
        </w:tabs>
        <w:spacing w:line="276" w:lineRule="auto"/>
        <w:rPr>
          <w:b/>
          <w:sz w:val="22"/>
          <w:szCs w:val="22"/>
        </w:rPr>
      </w:pPr>
      <w:r w:rsidRPr="00DA3AE2">
        <w:rPr>
          <w:b/>
          <w:sz w:val="22"/>
          <w:szCs w:val="22"/>
        </w:rPr>
        <w:t>Monetised and non-monetised costs and benefits of each option (i</w:t>
      </w:r>
      <w:r w:rsidR="00601744" w:rsidRPr="00DA3AE2">
        <w:rPr>
          <w:b/>
          <w:sz w:val="22"/>
          <w:szCs w:val="22"/>
        </w:rPr>
        <w:t>ncluding administrative burden)</w:t>
      </w:r>
    </w:p>
    <w:p w14:paraId="764DD43F" w14:textId="77777777" w:rsidR="00D351B5" w:rsidRPr="00DA3AE2" w:rsidRDefault="00D351B5" w:rsidP="0032784D">
      <w:pPr>
        <w:tabs>
          <w:tab w:val="left" w:pos="7920"/>
        </w:tabs>
        <w:spacing w:line="276" w:lineRule="auto"/>
        <w:rPr>
          <w:sz w:val="22"/>
          <w:szCs w:val="22"/>
        </w:rPr>
      </w:pPr>
    </w:p>
    <w:p w14:paraId="3B1B1A2A" w14:textId="25BB4D30" w:rsidR="00EB3CCE" w:rsidRPr="00DA3AE2" w:rsidRDefault="00EB3CCE" w:rsidP="0032784D">
      <w:pPr>
        <w:tabs>
          <w:tab w:val="left" w:pos="7920"/>
        </w:tabs>
        <w:spacing w:line="276" w:lineRule="auto"/>
        <w:rPr>
          <w:i/>
          <w:sz w:val="22"/>
          <w:szCs w:val="22"/>
        </w:rPr>
      </w:pPr>
      <w:r w:rsidRPr="00DA3AE2">
        <w:rPr>
          <w:i/>
          <w:sz w:val="22"/>
          <w:szCs w:val="22"/>
        </w:rPr>
        <w:t>Option 1: Do nothing, do not develop or implement an Ammonia Strategy. This is the baseline option.</w:t>
      </w:r>
    </w:p>
    <w:p w14:paraId="3BF449AD" w14:textId="77777777" w:rsidR="00EB3CCE" w:rsidRPr="00DA3AE2" w:rsidRDefault="00EB3CCE" w:rsidP="0032784D">
      <w:pPr>
        <w:tabs>
          <w:tab w:val="left" w:pos="7920"/>
        </w:tabs>
        <w:spacing w:line="276" w:lineRule="auto"/>
        <w:rPr>
          <w:sz w:val="22"/>
          <w:szCs w:val="22"/>
        </w:rPr>
      </w:pPr>
    </w:p>
    <w:p w14:paraId="1D8CEE06" w14:textId="77777777" w:rsidR="00EB3CCE" w:rsidRPr="00DA3AE2" w:rsidRDefault="00EB3CCE" w:rsidP="0032784D">
      <w:pPr>
        <w:tabs>
          <w:tab w:val="left" w:pos="7920"/>
        </w:tabs>
        <w:spacing w:line="276" w:lineRule="auto"/>
        <w:rPr>
          <w:sz w:val="22"/>
          <w:szCs w:val="22"/>
        </w:rPr>
      </w:pPr>
    </w:p>
    <w:p w14:paraId="0958CB8F" w14:textId="47FE9490" w:rsidR="00EB3CCE" w:rsidRPr="00DA3AE2" w:rsidRDefault="00EB3CCE" w:rsidP="0032784D">
      <w:pPr>
        <w:tabs>
          <w:tab w:val="left" w:pos="7920"/>
        </w:tabs>
        <w:spacing w:line="276" w:lineRule="auto"/>
        <w:rPr>
          <w:sz w:val="22"/>
          <w:szCs w:val="22"/>
        </w:rPr>
      </w:pPr>
      <w:r w:rsidRPr="00DA3AE2">
        <w:rPr>
          <w:sz w:val="22"/>
          <w:szCs w:val="22"/>
        </w:rPr>
        <w:t>Option 1 would have no additional costs</w:t>
      </w:r>
      <w:r w:rsidR="00146211" w:rsidRPr="00DA3AE2">
        <w:rPr>
          <w:sz w:val="22"/>
          <w:szCs w:val="22"/>
        </w:rPr>
        <w:t xml:space="preserve"> to the farming sector</w:t>
      </w:r>
      <w:r w:rsidRPr="00DA3AE2">
        <w:rPr>
          <w:sz w:val="22"/>
          <w:szCs w:val="22"/>
        </w:rPr>
        <w:t xml:space="preserve"> as it maintains the status quo and takes no additional action to reduce ammonia. It does however mean that the key objectives of the Ammonia Strategy would not be met.  Northern Ireland would not achieve its fair share of the UK’s international ammonia reduction target under the Gothenburg Protocol, and there would be no benefits via improvement in outcomes for nitrogen sensitive species and habitats, public health, and air quality in NI.</w:t>
      </w:r>
    </w:p>
    <w:p w14:paraId="1A8C2AA6" w14:textId="77777777" w:rsidR="00454A20" w:rsidRPr="00DA3AE2" w:rsidRDefault="00454A20" w:rsidP="0032784D">
      <w:pPr>
        <w:tabs>
          <w:tab w:val="left" w:pos="7920"/>
        </w:tabs>
        <w:spacing w:line="276" w:lineRule="auto"/>
        <w:rPr>
          <w:sz w:val="22"/>
          <w:szCs w:val="22"/>
        </w:rPr>
      </w:pPr>
    </w:p>
    <w:p w14:paraId="0E4CE212" w14:textId="6986D7C6" w:rsidR="00454A20" w:rsidRPr="00DA3AE2" w:rsidRDefault="00454A20" w:rsidP="0032784D">
      <w:pPr>
        <w:tabs>
          <w:tab w:val="left" w:pos="7920"/>
        </w:tabs>
        <w:spacing w:line="276" w:lineRule="auto"/>
        <w:rPr>
          <w:sz w:val="22"/>
          <w:szCs w:val="22"/>
        </w:rPr>
      </w:pPr>
      <w:r w:rsidRPr="00DA3AE2">
        <w:rPr>
          <w:sz w:val="22"/>
          <w:szCs w:val="22"/>
        </w:rPr>
        <w:t>Option 1 would prove challenging to DAERA’s delivery of the existing legislative requirements listed as well as future cross cutting DAERA key policy proposals including the Green Growth Strategy.</w:t>
      </w:r>
    </w:p>
    <w:p w14:paraId="7510C628" w14:textId="77777777" w:rsidR="00454A20" w:rsidRPr="00DA3AE2" w:rsidRDefault="00454A20" w:rsidP="0032784D">
      <w:pPr>
        <w:tabs>
          <w:tab w:val="left" w:pos="7920"/>
        </w:tabs>
        <w:spacing w:line="276" w:lineRule="auto"/>
        <w:rPr>
          <w:sz w:val="22"/>
          <w:szCs w:val="22"/>
        </w:rPr>
      </w:pPr>
    </w:p>
    <w:p w14:paraId="5B57E72C" w14:textId="1097DEE2" w:rsidR="00EB3CCE" w:rsidRPr="00DA3AE2" w:rsidRDefault="00EB3CCE" w:rsidP="0032784D">
      <w:pPr>
        <w:tabs>
          <w:tab w:val="left" w:pos="7920"/>
        </w:tabs>
        <w:spacing w:line="276" w:lineRule="auto"/>
        <w:rPr>
          <w:sz w:val="22"/>
          <w:szCs w:val="22"/>
        </w:rPr>
      </w:pPr>
      <w:r w:rsidRPr="00DA3AE2">
        <w:rPr>
          <w:sz w:val="22"/>
          <w:szCs w:val="22"/>
        </w:rPr>
        <w:t xml:space="preserve">A Ricardo PLC report for Defra on the damage costs of air quality at UK level estimated costs occurring due to the impact of ammonia emissions on public health and the environment, including Particulate Matter exposure. The central damage cost estimate for ammonia was £7,923 per tonne of ammonia, with a low – high damage cost sensitivity range of £1,521 per tonne to £24,467.  </w:t>
      </w:r>
      <w:r w:rsidR="009558E3" w:rsidRPr="00DA3AE2">
        <w:rPr>
          <w:sz w:val="22"/>
          <w:szCs w:val="22"/>
        </w:rPr>
        <w:t xml:space="preserve">Adopting option </w:t>
      </w:r>
      <w:r w:rsidR="00695537">
        <w:rPr>
          <w:sz w:val="22"/>
          <w:szCs w:val="22"/>
        </w:rPr>
        <w:t xml:space="preserve">1 </w:t>
      </w:r>
      <w:r w:rsidR="009558E3" w:rsidRPr="00DA3AE2">
        <w:rPr>
          <w:sz w:val="22"/>
          <w:szCs w:val="22"/>
        </w:rPr>
        <w:t>rather than</w:t>
      </w:r>
      <w:r w:rsidR="00146211" w:rsidRPr="00DA3AE2">
        <w:rPr>
          <w:sz w:val="22"/>
          <w:szCs w:val="22"/>
        </w:rPr>
        <w:t xml:space="preserve"> options 2 or 3 will mean that a reduction in ammonia emissions of between </w:t>
      </w:r>
      <w:r w:rsidR="009558E3" w:rsidRPr="00DA3AE2">
        <w:rPr>
          <w:sz w:val="22"/>
          <w:szCs w:val="22"/>
        </w:rPr>
        <w:t xml:space="preserve">21 and 28% will not occur and the economic benefits of ammonia reduction will not occur. </w:t>
      </w:r>
    </w:p>
    <w:p w14:paraId="36C5E7A4" w14:textId="77777777" w:rsidR="00EB3CCE" w:rsidRPr="00DA3AE2" w:rsidRDefault="00EB3CCE" w:rsidP="0032784D">
      <w:pPr>
        <w:tabs>
          <w:tab w:val="left" w:pos="7920"/>
        </w:tabs>
        <w:spacing w:line="276" w:lineRule="auto"/>
        <w:rPr>
          <w:sz w:val="22"/>
          <w:szCs w:val="22"/>
        </w:rPr>
      </w:pPr>
    </w:p>
    <w:p w14:paraId="61546095" w14:textId="77777777" w:rsidR="00EB3CCE" w:rsidRPr="00DA3AE2" w:rsidRDefault="00EB3CCE" w:rsidP="0032784D">
      <w:pPr>
        <w:tabs>
          <w:tab w:val="left" w:pos="7920"/>
        </w:tabs>
        <w:spacing w:line="276" w:lineRule="auto"/>
        <w:rPr>
          <w:sz w:val="22"/>
          <w:szCs w:val="22"/>
        </w:rPr>
      </w:pPr>
    </w:p>
    <w:p w14:paraId="2E85EDC3" w14:textId="77777777" w:rsidR="00EB3CCE" w:rsidRPr="00DA3AE2" w:rsidRDefault="00EB3CCE" w:rsidP="0032784D">
      <w:pPr>
        <w:tabs>
          <w:tab w:val="left" w:pos="7920"/>
        </w:tabs>
        <w:spacing w:line="276" w:lineRule="auto"/>
        <w:rPr>
          <w:sz w:val="22"/>
          <w:szCs w:val="22"/>
        </w:rPr>
      </w:pPr>
    </w:p>
    <w:p w14:paraId="19C77FDF" w14:textId="39869BB3" w:rsidR="00EB3CCE" w:rsidRPr="00DA3AE2" w:rsidRDefault="00EB3CCE" w:rsidP="0032784D">
      <w:pPr>
        <w:tabs>
          <w:tab w:val="left" w:pos="7920"/>
        </w:tabs>
        <w:spacing w:line="276" w:lineRule="auto"/>
        <w:rPr>
          <w:i/>
          <w:sz w:val="22"/>
          <w:szCs w:val="22"/>
        </w:rPr>
      </w:pPr>
      <w:r w:rsidRPr="00DA3AE2">
        <w:rPr>
          <w:i/>
          <w:sz w:val="22"/>
          <w:szCs w:val="22"/>
        </w:rPr>
        <w:t xml:space="preserve">Option 2: Develop and implement an Ammonia Strategy with </w:t>
      </w:r>
      <w:r w:rsidR="00A858FA" w:rsidRPr="00DA3AE2">
        <w:rPr>
          <w:i/>
          <w:sz w:val="22"/>
          <w:szCs w:val="22"/>
        </w:rPr>
        <w:t>lower cost measures only (21% ammonia reduction)</w:t>
      </w:r>
    </w:p>
    <w:p w14:paraId="7B33EC20" w14:textId="77777777" w:rsidR="00EB3CCE" w:rsidRPr="00DA3AE2" w:rsidRDefault="00EB3CCE" w:rsidP="0032784D">
      <w:pPr>
        <w:tabs>
          <w:tab w:val="left" w:pos="7920"/>
        </w:tabs>
        <w:spacing w:line="276" w:lineRule="auto"/>
        <w:rPr>
          <w:sz w:val="22"/>
          <w:szCs w:val="22"/>
        </w:rPr>
      </w:pPr>
    </w:p>
    <w:p w14:paraId="1ECB64B6" w14:textId="29038DEE" w:rsidR="00454A20" w:rsidRPr="00DA3AE2" w:rsidRDefault="00A858FA" w:rsidP="0032784D">
      <w:pPr>
        <w:tabs>
          <w:tab w:val="left" w:pos="7920"/>
        </w:tabs>
        <w:spacing w:line="276" w:lineRule="auto"/>
        <w:rPr>
          <w:sz w:val="22"/>
          <w:szCs w:val="22"/>
        </w:rPr>
      </w:pPr>
      <w:r w:rsidRPr="00DA3AE2">
        <w:rPr>
          <w:sz w:val="22"/>
          <w:szCs w:val="22"/>
        </w:rPr>
        <w:t>Option 2 will have costs</w:t>
      </w:r>
      <w:r w:rsidR="000209F4" w:rsidRPr="00DA3AE2">
        <w:rPr>
          <w:sz w:val="22"/>
          <w:szCs w:val="22"/>
        </w:rPr>
        <w:t xml:space="preserve"> to farmers</w:t>
      </w:r>
      <w:r w:rsidRPr="00DA3AE2">
        <w:rPr>
          <w:sz w:val="22"/>
          <w:szCs w:val="22"/>
        </w:rPr>
        <w:t xml:space="preserve"> equivalent to those set out in Table 3 under the ‘</w:t>
      </w:r>
      <w:proofErr w:type="gramStart"/>
      <w:r w:rsidRPr="00DA3AE2">
        <w:rPr>
          <w:sz w:val="22"/>
          <w:szCs w:val="22"/>
        </w:rPr>
        <w:t>Low Cost</w:t>
      </w:r>
      <w:proofErr w:type="gramEnd"/>
      <w:r w:rsidRPr="00DA3AE2">
        <w:rPr>
          <w:sz w:val="22"/>
          <w:szCs w:val="22"/>
        </w:rPr>
        <w:t xml:space="preserve"> Measures Only’ column, in relation to the specific measures implemented and the rate of </w:t>
      </w:r>
      <w:r w:rsidR="000209F4" w:rsidRPr="00DA3AE2">
        <w:rPr>
          <w:sz w:val="22"/>
          <w:szCs w:val="22"/>
        </w:rPr>
        <w:t>uptake and would achieve a significant benefit to Northern Ireland in terms of ammonia reduction.</w:t>
      </w:r>
      <w:r w:rsidRPr="00DA3AE2">
        <w:rPr>
          <w:sz w:val="22"/>
          <w:szCs w:val="22"/>
        </w:rPr>
        <w:t xml:space="preserve"> </w:t>
      </w:r>
      <w:r w:rsidR="000209F4" w:rsidRPr="00DA3AE2">
        <w:rPr>
          <w:sz w:val="22"/>
          <w:szCs w:val="22"/>
        </w:rPr>
        <w:t>However, since it does not include a range of feasible ammonia reduction measures, o</w:t>
      </w:r>
      <w:r w:rsidR="001D5AC9" w:rsidRPr="00DA3AE2">
        <w:rPr>
          <w:sz w:val="22"/>
          <w:szCs w:val="22"/>
        </w:rPr>
        <w:t>ption 2 will not</w:t>
      </w:r>
      <w:r w:rsidR="000209F4" w:rsidRPr="00DA3AE2">
        <w:rPr>
          <w:sz w:val="22"/>
          <w:szCs w:val="22"/>
        </w:rPr>
        <w:t xml:space="preserve"> fully</w:t>
      </w:r>
      <w:r w:rsidR="001D5AC9" w:rsidRPr="00DA3AE2">
        <w:rPr>
          <w:sz w:val="22"/>
          <w:szCs w:val="22"/>
        </w:rPr>
        <w:t xml:space="preserve"> deliver either of the </w:t>
      </w:r>
      <w:r w:rsidR="001D5AC9" w:rsidRPr="00DA3AE2">
        <w:rPr>
          <w:sz w:val="22"/>
          <w:szCs w:val="22"/>
        </w:rPr>
        <w:lastRenderedPageBreak/>
        <w:t xml:space="preserve">objectives of the Ammonia Strategy and therefore Northern Ireland </w:t>
      </w:r>
      <w:r w:rsidRPr="00DA3AE2">
        <w:rPr>
          <w:sz w:val="22"/>
          <w:szCs w:val="22"/>
        </w:rPr>
        <w:t>is at significant risk of not achieving</w:t>
      </w:r>
      <w:r w:rsidR="001D5AC9" w:rsidRPr="00DA3AE2">
        <w:rPr>
          <w:sz w:val="22"/>
          <w:szCs w:val="22"/>
        </w:rPr>
        <w:t xml:space="preserve"> its fair share of the UK’s international ammonia reduction target under the Gothenburg Protocol. There would also be significantly reduced benefits in outcomes for nitrogen sensitive species and habitats, public health, and air quality in NI.</w:t>
      </w:r>
      <w:r w:rsidR="009558E3" w:rsidRPr="00DA3AE2">
        <w:rPr>
          <w:sz w:val="22"/>
          <w:szCs w:val="22"/>
        </w:rPr>
        <w:t xml:space="preserve"> </w:t>
      </w:r>
    </w:p>
    <w:p w14:paraId="426EAAA8" w14:textId="77777777" w:rsidR="009558E3" w:rsidRPr="00DA3AE2" w:rsidRDefault="009558E3" w:rsidP="0032784D">
      <w:pPr>
        <w:tabs>
          <w:tab w:val="left" w:pos="7920"/>
        </w:tabs>
        <w:spacing w:line="276" w:lineRule="auto"/>
        <w:rPr>
          <w:sz w:val="22"/>
          <w:szCs w:val="22"/>
        </w:rPr>
      </w:pPr>
    </w:p>
    <w:p w14:paraId="2A95BEFB" w14:textId="0806323A" w:rsidR="009558E3" w:rsidRDefault="009558E3" w:rsidP="0032784D">
      <w:pPr>
        <w:tabs>
          <w:tab w:val="left" w:pos="7920"/>
        </w:tabs>
        <w:spacing w:line="276" w:lineRule="auto"/>
        <w:rPr>
          <w:sz w:val="22"/>
          <w:szCs w:val="22"/>
        </w:rPr>
      </w:pPr>
      <w:r w:rsidRPr="00DA3AE2">
        <w:rPr>
          <w:sz w:val="22"/>
          <w:szCs w:val="22"/>
        </w:rPr>
        <w:t>The economic benefits of Option 2 have been assessed by multiplying the assumed ammonia reduction of 21% (6.53kT) by the damage costs of ammonia, as per the Ricardo report described above.</w:t>
      </w:r>
    </w:p>
    <w:p w14:paraId="70C1863A" w14:textId="77777777" w:rsidR="005B7E1D" w:rsidRPr="00DA3AE2" w:rsidRDefault="005B7E1D" w:rsidP="0032784D">
      <w:pPr>
        <w:tabs>
          <w:tab w:val="left" w:pos="7920"/>
        </w:tabs>
        <w:spacing w:line="276" w:lineRule="auto"/>
        <w:rPr>
          <w:sz w:val="22"/>
          <w:szCs w:val="22"/>
        </w:rPr>
      </w:pPr>
    </w:p>
    <w:p w14:paraId="43814CC9" w14:textId="77777777" w:rsidR="00905011" w:rsidRPr="00DA3AE2" w:rsidRDefault="00905011" w:rsidP="0032784D">
      <w:pPr>
        <w:tabs>
          <w:tab w:val="left" w:pos="7920"/>
        </w:tabs>
        <w:spacing w:line="276" w:lineRule="auto"/>
        <w:rPr>
          <w:sz w:val="22"/>
          <w:szCs w:val="22"/>
        </w:rPr>
      </w:pPr>
    </w:p>
    <w:p w14:paraId="512B471F" w14:textId="5795F253" w:rsidR="00EB3CCE" w:rsidRPr="00DA3AE2" w:rsidRDefault="00EB3CCE" w:rsidP="0032784D">
      <w:pPr>
        <w:tabs>
          <w:tab w:val="left" w:pos="7920"/>
        </w:tabs>
        <w:spacing w:line="276" w:lineRule="auto"/>
        <w:rPr>
          <w:i/>
          <w:sz w:val="22"/>
          <w:szCs w:val="22"/>
        </w:rPr>
      </w:pPr>
      <w:r w:rsidRPr="00DA3AE2">
        <w:rPr>
          <w:i/>
          <w:sz w:val="22"/>
          <w:szCs w:val="22"/>
        </w:rPr>
        <w:t xml:space="preserve">Option 3: Develop and implement an Ammonia Strategy </w:t>
      </w:r>
      <w:r w:rsidR="00A858FA" w:rsidRPr="00DA3AE2">
        <w:rPr>
          <w:i/>
          <w:sz w:val="22"/>
          <w:szCs w:val="22"/>
        </w:rPr>
        <w:t>including the full range of feasible ammonia reduction measures (25 to 28% ammonia reduction)</w:t>
      </w:r>
    </w:p>
    <w:p w14:paraId="01771726" w14:textId="77777777" w:rsidR="00845D78" w:rsidRPr="00DA3AE2" w:rsidRDefault="00845D78" w:rsidP="0032784D">
      <w:pPr>
        <w:tabs>
          <w:tab w:val="left" w:pos="7920"/>
        </w:tabs>
        <w:spacing w:line="276" w:lineRule="auto"/>
        <w:rPr>
          <w:sz w:val="22"/>
          <w:szCs w:val="22"/>
        </w:rPr>
      </w:pPr>
    </w:p>
    <w:p w14:paraId="64FA88CA" w14:textId="2FF2A08E" w:rsidR="001D5AC9" w:rsidRPr="00DA3AE2" w:rsidRDefault="001D5AC9" w:rsidP="0032784D">
      <w:pPr>
        <w:tabs>
          <w:tab w:val="left" w:pos="7920"/>
        </w:tabs>
        <w:spacing w:line="276" w:lineRule="auto"/>
        <w:rPr>
          <w:sz w:val="22"/>
          <w:szCs w:val="22"/>
        </w:rPr>
      </w:pPr>
      <w:r w:rsidRPr="00DA3AE2">
        <w:rPr>
          <w:sz w:val="22"/>
          <w:szCs w:val="22"/>
        </w:rPr>
        <w:t>Option 3 will have costs equivalent to those set out in Table 3 under</w:t>
      </w:r>
      <w:r w:rsidR="00435131" w:rsidRPr="00DA3AE2">
        <w:rPr>
          <w:sz w:val="22"/>
          <w:szCs w:val="22"/>
        </w:rPr>
        <w:t xml:space="preserve"> MACC 1 or MACC 3</w:t>
      </w:r>
      <w:r w:rsidRPr="00DA3AE2">
        <w:rPr>
          <w:sz w:val="22"/>
          <w:szCs w:val="22"/>
        </w:rPr>
        <w:t xml:space="preserve">, in relation to the specific measures implemented and the rate of uptake. The </w:t>
      </w:r>
      <w:r w:rsidR="00A858FA" w:rsidRPr="00DA3AE2">
        <w:rPr>
          <w:sz w:val="22"/>
          <w:szCs w:val="22"/>
        </w:rPr>
        <w:t xml:space="preserve">combination of available technical measures will provide an ambition </w:t>
      </w:r>
      <w:r w:rsidRPr="00DA3AE2">
        <w:rPr>
          <w:sz w:val="22"/>
          <w:szCs w:val="22"/>
        </w:rPr>
        <w:t>in</w:t>
      </w:r>
      <w:r w:rsidR="00A858FA" w:rsidRPr="00DA3AE2">
        <w:rPr>
          <w:sz w:val="22"/>
          <w:szCs w:val="22"/>
        </w:rPr>
        <w:t xml:space="preserve"> the level of</w:t>
      </w:r>
      <w:r w:rsidRPr="00DA3AE2">
        <w:rPr>
          <w:sz w:val="22"/>
          <w:szCs w:val="22"/>
        </w:rPr>
        <w:t xml:space="preserve"> ammonia reduction not provided by the other options. </w:t>
      </w:r>
    </w:p>
    <w:p w14:paraId="7A5E9814" w14:textId="77777777" w:rsidR="001D5AC9" w:rsidRPr="00DA3AE2" w:rsidRDefault="001D5AC9" w:rsidP="0032784D">
      <w:pPr>
        <w:tabs>
          <w:tab w:val="left" w:pos="7920"/>
        </w:tabs>
        <w:spacing w:line="276" w:lineRule="auto"/>
        <w:rPr>
          <w:sz w:val="22"/>
          <w:szCs w:val="22"/>
        </w:rPr>
      </w:pPr>
    </w:p>
    <w:p w14:paraId="19FD2A49" w14:textId="6B8A9485" w:rsidR="001D5AC9" w:rsidRPr="00DA3AE2" w:rsidRDefault="001D5AC9" w:rsidP="0032784D">
      <w:pPr>
        <w:tabs>
          <w:tab w:val="left" w:pos="7920"/>
        </w:tabs>
        <w:spacing w:line="276" w:lineRule="auto"/>
        <w:rPr>
          <w:sz w:val="22"/>
          <w:szCs w:val="22"/>
        </w:rPr>
      </w:pPr>
      <w:r w:rsidRPr="00DA3AE2">
        <w:rPr>
          <w:sz w:val="22"/>
          <w:szCs w:val="22"/>
        </w:rPr>
        <w:t xml:space="preserve">Option 3 </w:t>
      </w:r>
      <w:r w:rsidR="00A858FA" w:rsidRPr="00DA3AE2">
        <w:rPr>
          <w:sz w:val="22"/>
          <w:szCs w:val="22"/>
        </w:rPr>
        <w:t>has</w:t>
      </w:r>
      <w:r w:rsidRPr="00DA3AE2">
        <w:rPr>
          <w:sz w:val="22"/>
          <w:szCs w:val="22"/>
        </w:rPr>
        <w:t xml:space="preserve"> the highest cost</w:t>
      </w:r>
      <w:r w:rsidR="00A858FA" w:rsidRPr="00DA3AE2">
        <w:rPr>
          <w:sz w:val="22"/>
          <w:szCs w:val="22"/>
        </w:rPr>
        <w:t xml:space="preserve"> to the farming sector</w:t>
      </w:r>
      <w:r w:rsidRPr="00DA3AE2">
        <w:rPr>
          <w:sz w:val="22"/>
          <w:szCs w:val="22"/>
        </w:rPr>
        <w:t xml:space="preserve"> but is the only option capable of delivering the scale of ammonia reduction required to enable Northern Ireland to achieve its fair share of the UK’s international ammonia reduction target under the Gothenburg </w:t>
      </w:r>
      <w:r w:rsidR="005B7E1D" w:rsidRPr="00DA3AE2">
        <w:rPr>
          <w:sz w:val="22"/>
          <w:szCs w:val="22"/>
        </w:rPr>
        <w:t>Protocol and</w:t>
      </w:r>
      <w:r w:rsidRPr="00DA3AE2">
        <w:rPr>
          <w:sz w:val="22"/>
          <w:szCs w:val="22"/>
        </w:rPr>
        <w:t xml:space="preserve"> deliver the benefits of improvement in outcomes for nitrogen sensitive species and habitats, public health, and air quality in NI.</w:t>
      </w:r>
      <w:r w:rsidR="00A858FA" w:rsidRPr="00DA3AE2">
        <w:rPr>
          <w:sz w:val="22"/>
          <w:szCs w:val="22"/>
        </w:rPr>
        <w:t xml:space="preserve"> Its economic benefits to the environment and to public health are greater than its costs.</w:t>
      </w:r>
    </w:p>
    <w:p w14:paraId="204BDF1B" w14:textId="77777777" w:rsidR="001D5AC9" w:rsidRPr="00DA3AE2" w:rsidRDefault="001D5AC9" w:rsidP="0032784D">
      <w:pPr>
        <w:tabs>
          <w:tab w:val="left" w:pos="7920"/>
        </w:tabs>
        <w:spacing w:line="276" w:lineRule="auto"/>
        <w:rPr>
          <w:sz w:val="22"/>
          <w:szCs w:val="22"/>
        </w:rPr>
      </w:pPr>
    </w:p>
    <w:p w14:paraId="19BAC536" w14:textId="6909B0DC" w:rsidR="001D5AC9" w:rsidRPr="00DA3AE2" w:rsidRDefault="001D5AC9" w:rsidP="0032784D">
      <w:pPr>
        <w:tabs>
          <w:tab w:val="left" w:pos="7920"/>
        </w:tabs>
        <w:spacing w:line="276" w:lineRule="auto"/>
        <w:rPr>
          <w:sz w:val="22"/>
          <w:szCs w:val="22"/>
        </w:rPr>
      </w:pPr>
      <w:r w:rsidRPr="00DA3AE2">
        <w:rPr>
          <w:sz w:val="22"/>
          <w:szCs w:val="22"/>
        </w:rPr>
        <w:t>Option 3 will support DAERA’s delivery of the existing legislative requirements listed as well as future cross cutting DAERA key policy proposals including the Green Growth Strategy.</w:t>
      </w:r>
    </w:p>
    <w:p w14:paraId="28227640" w14:textId="77777777" w:rsidR="00A858FA" w:rsidRPr="00DA3AE2" w:rsidRDefault="00A858FA" w:rsidP="0032784D">
      <w:pPr>
        <w:tabs>
          <w:tab w:val="left" w:pos="7920"/>
        </w:tabs>
        <w:spacing w:line="276" w:lineRule="auto"/>
        <w:rPr>
          <w:sz w:val="22"/>
          <w:szCs w:val="22"/>
        </w:rPr>
      </w:pPr>
    </w:p>
    <w:p w14:paraId="61AF4F2B" w14:textId="4B4750E3" w:rsidR="00654AD4" w:rsidRDefault="00B055E2" w:rsidP="0032784D">
      <w:pPr>
        <w:tabs>
          <w:tab w:val="left" w:pos="7920"/>
        </w:tabs>
        <w:spacing w:line="276" w:lineRule="auto"/>
        <w:ind w:left="360"/>
        <w:rPr>
          <w:sz w:val="22"/>
          <w:szCs w:val="22"/>
        </w:rPr>
      </w:pPr>
      <w:r w:rsidRPr="00DA3AE2">
        <w:rPr>
          <w:sz w:val="22"/>
          <w:szCs w:val="22"/>
        </w:rPr>
        <w:t xml:space="preserve">The economic benefits of Option 3 have been assessed by </w:t>
      </w:r>
      <w:r w:rsidR="00435131" w:rsidRPr="00DA3AE2">
        <w:rPr>
          <w:sz w:val="22"/>
          <w:szCs w:val="22"/>
        </w:rPr>
        <w:t>multiplying the ammonia reduction achieved by MACC 3 (7.88kt) by the low ammonia damage cost (£1,521 cost per tonne of ammonia. The highest economic benefit is assessed £217m per annum using MACC 1 and the high ammonia damage cost (8.88kT reduction at £24,1467 cost per tonne of ammonia). The best estimate of an economic benefit of £66.4m is derived using a midpoint between the ammonia reduction achieved by MACC 1 and MACC 3 (8.38kT) and multiplying by the central ammonia damage cost of £7,923 cost per tonne of ammonia.</w:t>
      </w:r>
    </w:p>
    <w:p w14:paraId="09F6EB03" w14:textId="151F1075" w:rsidR="005B7E1D" w:rsidRDefault="005B7E1D" w:rsidP="0032784D">
      <w:pPr>
        <w:tabs>
          <w:tab w:val="left" w:pos="7920"/>
        </w:tabs>
        <w:spacing w:line="276" w:lineRule="auto"/>
        <w:ind w:left="360"/>
        <w:rPr>
          <w:b/>
          <w:sz w:val="22"/>
          <w:szCs w:val="22"/>
        </w:rPr>
      </w:pPr>
    </w:p>
    <w:p w14:paraId="63C707DB" w14:textId="77777777" w:rsidR="004C1FFC" w:rsidRPr="00DA3AE2" w:rsidRDefault="004C1FFC" w:rsidP="0032784D">
      <w:pPr>
        <w:tabs>
          <w:tab w:val="left" w:pos="7920"/>
        </w:tabs>
        <w:spacing w:line="276" w:lineRule="auto"/>
        <w:ind w:left="360"/>
        <w:rPr>
          <w:b/>
          <w:sz w:val="22"/>
          <w:szCs w:val="22"/>
        </w:rPr>
      </w:pPr>
    </w:p>
    <w:p w14:paraId="221491B4" w14:textId="69C6D521" w:rsidR="00720F35" w:rsidRPr="00DA3AE2" w:rsidRDefault="00720F35" w:rsidP="0032784D">
      <w:pPr>
        <w:numPr>
          <w:ilvl w:val="0"/>
          <w:numId w:val="1"/>
        </w:numPr>
        <w:tabs>
          <w:tab w:val="left" w:pos="7920"/>
        </w:tabs>
        <w:spacing w:line="276" w:lineRule="auto"/>
        <w:rPr>
          <w:b/>
          <w:sz w:val="22"/>
          <w:szCs w:val="22"/>
        </w:rPr>
      </w:pPr>
      <w:r w:rsidRPr="00DA3AE2">
        <w:rPr>
          <w:b/>
          <w:sz w:val="22"/>
          <w:szCs w:val="22"/>
        </w:rPr>
        <w:t>Rationale and evidence that justify the level of analysis used in the</w:t>
      </w:r>
      <w:r w:rsidR="008A4EF6" w:rsidRPr="00DA3AE2">
        <w:rPr>
          <w:b/>
          <w:sz w:val="22"/>
          <w:szCs w:val="22"/>
        </w:rPr>
        <w:t xml:space="preserve"> RIA (proportionality approach)</w:t>
      </w:r>
    </w:p>
    <w:p w14:paraId="7FC9D17C" w14:textId="77777777" w:rsidR="00C71DE8" w:rsidRPr="00DA3AE2" w:rsidRDefault="00C71DE8" w:rsidP="0032784D">
      <w:pPr>
        <w:tabs>
          <w:tab w:val="left" w:pos="7920"/>
        </w:tabs>
        <w:spacing w:line="276" w:lineRule="auto"/>
        <w:rPr>
          <w:sz w:val="22"/>
          <w:szCs w:val="22"/>
        </w:rPr>
      </w:pPr>
    </w:p>
    <w:p w14:paraId="7BE240C2" w14:textId="77777777" w:rsidR="00CE5701" w:rsidRPr="00DA3AE2" w:rsidRDefault="00CE5701" w:rsidP="0032784D">
      <w:pPr>
        <w:tabs>
          <w:tab w:val="left" w:pos="7920"/>
        </w:tabs>
        <w:spacing w:line="276" w:lineRule="auto"/>
        <w:rPr>
          <w:sz w:val="22"/>
          <w:szCs w:val="22"/>
        </w:rPr>
      </w:pPr>
    </w:p>
    <w:p w14:paraId="456D157A" w14:textId="57701CDA" w:rsidR="00CE5701" w:rsidRPr="00DA3AE2" w:rsidRDefault="00CE5701" w:rsidP="0032784D">
      <w:pPr>
        <w:tabs>
          <w:tab w:val="left" w:pos="7920"/>
        </w:tabs>
        <w:spacing w:line="276" w:lineRule="auto"/>
        <w:rPr>
          <w:sz w:val="22"/>
          <w:szCs w:val="22"/>
        </w:rPr>
      </w:pPr>
      <w:r w:rsidRPr="00DA3AE2">
        <w:rPr>
          <w:sz w:val="22"/>
          <w:szCs w:val="22"/>
        </w:rPr>
        <w:t xml:space="preserve">To inform policy on ammonia emissions, DAERA commissioned a </w:t>
      </w:r>
      <w:r w:rsidR="008A4EF6" w:rsidRPr="00DA3AE2">
        <w:rPr>
          <w:sz w:val="22"/>
          <w:szCs w:val="22"/>
        </w:rPr>
        <w:t xml:space="preserve">multi-year </w:t>
      </w:r>
      <w:r w:rsidRPr="00DA3AE2">
        <w:rPr>
          <w:sz w:val="22"/>
          <w:szCs w:val="22"/>
        </w:rPr>
        <w:t>research programme on</w:t>
      </w:r>
      <w:r w:rsidR="000B5188" w:rsidRPr="00DA3AE2">
        <w:rPr>
          <w:sz w:val="22"/>
          <w:szCs w:val="22"/>
        </w:rPr>
        <w:t xml:space="preserve"> </w:t>
      </w:r>
      <w:r w:rsidRPr="00DA3AE2">
        <w:rPr>
          <w:sz w:val="22"/>
          <w:szCs w:val="22"/>
        </w:rPr>
        <w:t>ammonia, led by the Agri Food and Biosciences Institute and incorporating the UK Centre for</w:t>
      </w:r>
      <w:r w:rsidR="000B5188" w:rsidRPr="00DA3AE2">
        <w:rPr>
          <w:sz w:val="22"/>
          <w:szCs w:val="22"/>
        </w:rPr>
        <w:t xml:space="preserve"> </w:t>
      </w:r>
      <w:r w:rsidRPr="00DA3AE2">
        <w:rPr>
          <w:sz w:val="22"/>
          <w:szCs w:val="22"/>
        </w:rPr>
        <w:t xml:space="preserve">Ecology and Hydrology (UKCEH) and </w:t>
      </w:r>
      <w:proofErr w:type="spellStart"/>
      <w:r w:rsidRPr="00DA3AE2">
        <w:rPr>
          <w:sz w:val="22"/>
          <w:szCs w:val="22"/>
        </w:rPr>
        <w:t>Rothamsted</w:t>
      </w:r>
      <w:proofErr w:type="spellEnd"/>
      <w:r w:rsidRPr="00DA3AE2">
        <w:rPr>
          <w:sz w:val="22"/>
          <w:szCs w:val="22"/>
        </w:rPr>
        <w:t xml:space="preserve"> Research as partners, and informed by the</w:t>
      </w:r>
      <w:r w:rsidR="000B5188" w:rsidRPr="00DA3AE2">
        <w:rPr>
          <w:sz w:val="22"/>
          <w:szCs w:val="22"/>
        </w:rPr>
        <w:t xml:space="preserve"> </w:t>
      </w:r>
      <w:r w:rsidRPr="00DA3AE2">
        <w:rPr>
          <w:sz w:val="22"/>
          <w:szCs w:val="22"/>
        </w:rPr>
        <w:t>recommendations of the Expert Working Group in ‘Making Ammonia Visible’</w:t>
      </w:r>
      <w:r w:rsidR="000B5188" w:rsidRPr="00DA3AE2">
        <w:rPr>
          <w:sz w:val="22"/>
          <w:szCs w:val="22"/>
        </w:rPr>
        <w:t xml:space="preserve"> report</w:t>
      </w:r>
      <w:r w:rsidR="000B5188" w:rsidRPr="00DA3AE2">
        <w:rPr>
          <w:rStyle w:val="FootnoteReference"/>
          <w:sz w:val="22"/>
          <w:szCs w:val="22"/>
        </w:rPr>
        <w:footnoteReference w:id="6"/>
      </w:r>
      <w:r w:rsidRPr="00DA3AE2">
        <w:rPr>
          <w:sz w:val="22"/>
          <w:szCs w:val="22"/>
        </w:rPr>
        <w:t xml:space="preserve">. </w:t>
      </w:r>
    </w:p>
    <w:p w14:paraId="108A1C7F" w14:textId="77777777" w:rsidR="000B5188" w:rsidRPr="00DA3AE2" w:rsidRDefault="000B5188" w:rsidP="0032784D">
      <w:pPr>
        <w:tabs>
          <w:tab w:val="left" w:pos="7920"/>
        </w:tabs>
        <w:spacing w:line="276" w:lineRule="auto"/>
        <w:rPr>
          <w:sz w:val="22"/>
          <w:szCs w:val="22"/>
        </w:rPr>
      </w:pPr>
    </w:p>
    <w:p w14:paraId="3DE29B90" w14:textId="77777777" w:rsidR="00454A20" w:rsidRPr="00DA3AE2" w:rsidRDefault="00454A20" w:rsidP="0032784D">
      <w:pPr>
        <w:tabs>
          <w:tab w:val="left" w:pos="7920"/>
        </w:tabs>
        <w:spacing w:line="276" w:lineRule="auto"/>
        <w:rPr>
          <w:b/>
          <w:i/>
          <w:sz w:val="22"/>
          <w:szCs w:val="22"/>
        </w:rPr>
      </w:pPr>
    </w:p>
    <w:p w14:paraId="32E55567" w14:textId="6C4CA0E2" w:rsidR="000B5188" w:rsidRPr="00DA3AE2" w:rsidRDefault="000B5188" w:rsidP="0032784D">
      <w:pPr>
        <w:tabs>
          <w:tab w:val="left" w:pos="7920"/>
        </w:tabs>
        <w:spacing w:line="276" w:lineRule="auto"/>
        <w:rPr>
          <w:b/>
          <w:i/>
          <w:sz w:val="22"/>
          <w:szCs w:val="22"/>
        </w:rPr>
      </w:pPr>
      <w:r w:rsidRPr="00DA3AE2">
        <w:rPr>
          <w:b/>
          <w:i/>
          <w:sz w:val="22"/>
          <w:szCs w:val="22"/>
        </w:rPr>
        <w:t xml:space="preserve">Ammonia research programme </w:t>
      </w:r>
      <w:r w:rsidR="002C52D2" w:rsidRPr="00DA3AE2">
        <w:rPr>
          <w:b/>
          <w:i/>
          <w:sz w:val="22"/>
          <w:szCs w:val="22"/>
        </w:rPr>
        <w:t xml:space="preserve">evidence </w:t>
      </w:r>
      <w:r w:rsidRPr="00DA3AE2">
        <w:rPr>
          <w:b/>
          <w:i/>
          <w:sz w:val="22"/>
          <w:szCs w:val="22"/>
        </w:rPr>
        <w:t>outputs to date:</w:t>
      </w:r>
    </w:p>
    <w:p w14:paraId="765F8D0E" w14:textId="77777777" w:rsidR="000B5188" w:rsidRPr="00DA3AE2" w:rsidRDefault="000B5188" w:rsidP="0032784D">
      <w:pPr>
        <w:tabs>
          <w:tab w:val="left" w:pos="7920"/>
        </w:tabs>
        <w:spacing w:line="276" w:lineRule="auto"/>
        <w:rPr>
          <w:sz w:val="22"/>
          <w:szCs w:val="22"/>
        </w:rPr>
      </w:pPr>
    </w:p>
    <w:p w14:paraId="31CFBA52" w14:textId="1DAFCD95" w:rsidR="008A4EF6" w:rsidRPr="00DA3AE2" w:rsidRDefault="008A4EF6" w:rsidP="0032784D">
      <w:pPr>
        <w:numPr>
          <w:ilvl w:val="0"/>
          <w:numId w:val="22"/>
        </w:numPr>
        <w:tabs>
          <w:tab w:val="left" w:pos="360"/>
        </w:tabs>
        <w:spacing w:line="276" w:lineRule="auto"/>
        <w:rPr>
          <w:sz w:val="22"/>
          <w:szCs w:val="22"/>
        </w:rPr>
      </w:pPr>
      <w:r w:rsidRPr="00DA3AE2">
        <w:rPr>
          <w:sz w:val="22"/>
          <w:szCs w:val="22"/>
        </w:rPr>
        <w:t>Clear evidence of direct damage to sensitive species and habitats due to excess ammonia levels and associated nitrogen deposition.</w:t>
      </w:r>
    </w:p>
    <w:p w14:paraId="0430D0B6" w14:textId="37B9F721" w:rsidR="000B5188" w:rsidRPr="00DA3AE2" w:rsidRDefault="000B5188" w:rsidP="0032784D">
      <w:pPr>
        <w:numPr>
          <w:ilvl w:val="0"/>
          <w:numId w:val="22"/>
        </w:numPr>
        <w:tabs>
          <w:tab w:val="left" w:pos="360"/>
        </w:tabs>
        <w:spacing w:line="276" w:lineRule="auto"/>
        <w:rPr>
          <w:sz w:val="22"/>
          <w:szCs w:val="22"/>
        </w:rPr>
      </w:pPr>
      <w:r w:rsidRPr="00DA3AE2">
        <w:rPr>
          <w:sz w:val="22"/>
          <w:szCs w:val="22"/>
        </w:rPr>
        <w:t xml:space="preserve">Provision of increased granularity in the NI Ammonia Inventory </w:t>
      </w:r>
      <w:r w:rsidR="005B7E1D" w:rsidRPr="00DA3AE2">
        <w:rPr>
          <w:sz w:val="22"/>
          <w:szCs w:val="22"/>
        </w:rPr>
        <w:t>on</w:t>
      </w:r>
      <w:r w:rsidRPr="00DA3AE2">
        <w:rPr>
          <w:sz w:val="22"/>
          <w:szCs w:val="22"/>
        </w:rPr>
        <w:t xml:space="preserve"> cattle housing periods; pig housing systems; free range poultry systems; broiler heating systems; and slurry application. </w:t>
      </w:r>
    </w:p>
    <w:p w14:paraId="3B57C93B" w14:textId="09BC28C4" w:rsidR="008A4EF6" w:rsidRPr="00DA3AE2" w:rsidRDefault="002C52D2" w:rsidP="0032784D">
      <w:pPr>
        <w:numPr>
          <w:ilvl w:val="0"/>
          <w:numId w:val="22"/>
        </w:numPr>
        <w:tabs>
          <w:tab w:val="left" w:pos="360"/>
        </w:tabs>
        <w:spacing w:line="276" w:lineRule="auto"/>
        <w:rPr>
          <w:sz w:val="22"/>
          <w:szCs w:val="22"/>
        </w:rPr>
      </w:pPr>
      <w:r w:rsidRPr="00DA3AE2">
        <w:rPr>
          <w:sz w:val="22"/>
          <w:szCs w:val="22"/>
        </w:rPr>
        <w:lastRenderedPageBreak/>
        <w:t>Verification of ammonia modelling systems through establishment of a UK leading ammonia monitoring network.</w:t>
      </w:r>
    </w:p>
    <w:p w14:paraId="6E0639EF" w14:textId="13D439CB" w:rsidR="008A4EF6" w:rsidRPr="00DA3AE2" w:rsidRDefault="000B5188" w:rsidP="0032784D">
      <w:pPr>
        <w:numPr>
          <w:ilvl w:val="0"/>
          <w:numId w:val="22"/>
        </w:numPr>
        <w:tabs>
          <w:tab w:val="left" w:pos="360"/>
        </w:tabs>
        <w:spacing w:line="276" w:lineRule="auto"/>
        <w:rPr>
          <w:sz w:val="22"/>
          <w:szCs w:val="22"/>
        </w:rPr>
      </w:pPr>
      <w:r w:rsidRPr="00DA3AE2">
        <w:rPr>
          <w:sz w:val="22"/>
          <w:szCs w:val="22"/>
        </w:rPr>
        <w:t xml:space="preserve">Modelled outputs of the impact of suites of ammonia reduction </w:t>
      </w:r>
      <w:r w:rsidR="002C52D2" w:rsidRPr="00DA3AE2">
        <w:rPr>
          <w:sz w:val="22"/>
          <w:szCs w:val="22"/>
        </w:rPr>
        <w:t>measures at differing implementation rates</w:t>
      </w:r>
      <w:r w:rsidRPr="00DA3AE2">
        <w:rPr>
          <w:sz w:val="22"/>
          <w:szCs w:val="22"/>
        </w:rPr>
        <w:t xml:space="preserve"> on farms across NI.</w:t>
      </w:r>
    </w:p>
    <w:p w14:paraId="6A640BF3" w14:textId="7FE98161" w:rsidR="000B5188" w:rsidRPr="00DA3AE2" w:rsidRDefault="008A4EF6" w:rsidP="0032784D">
      <w:pPr>
        <w:numPr>
          <w:ilvl w:val="0"/>
          <w:numId w:val="22"/>
        </w:numPr>
        <w:tabs>
          <w:tab w:val="left" w:pos="360"/>
        </w:tabs>
        <w:spacing w:line="276" w:lineRule="auto"/>
        <w:rPr>
          <w:sz w:val="22"/>
          <w:szCs w:val="22"/>
        </w:rPr>
      </w:pPr>
      <w:r w:rsidRPr="00DA3AE2">
        <w:rPr>
          <w:sz w:val="22"/>
          <w:szCs w:val="22"/>
        </w:rPr>
        <w:t>Modelled outputs of the impact of implementing specific suites of ammonia reduction measures on farms in targeted zones around designated sites.</w:t>
      </w:r>
    </w:p>
    <w:p w14:paraId="4FB9D6FE" w14:textId="77777777" w:rsidR="002C52D2" w:rsidRPr="00DA3AE2" w:rsidRDefault="002C52D2" w:rsidP="0032784D">
      <w:pPr>
        <w:tabs>
          <w:tab w:val="left" w:pos="360"/>
        </w:tabs>
        <w:spacing w:line="276" w:lineRule="auto"/>
        <w:rPr>
          <w:sz w:val="22"/>
          <w:szCs w:val="22"/>
        </w:rPr>
      </w:pPr>
    </w:p>
    <w:p w14:paraId="7C7CED58" w14:textId="77777777" w:rsidR="00475C21" w:rsidRPr="00DA3AE2" w:rsidRDefault="00475C21" w:rsidP="0032784D">
      <w:pPr>
        <w:tabs>
          <w:tab w:val="left" w:pos="360"/>
        </w:tabs>
        <w:spacing w:line="276" w:lineRule="auto"/>
        <w:rPr>
          <w:sz w:val="22"/>
          <w:szCs w:val="22"/>
        </w:rPr>
      </w:pPr>
    </w:p>
    <w:p w14:paraId="2779BB98" w14:textId="6D2278A9" w:rsidR="002C52D2" w:rsidRPr="00DA3AE2" w:rsidRDefault="002C52D2" w:rsidP="0032784D">
      <w:pPr>
        <w:tabs>
          <w:tab w:val="left" w:pos="360"/>
        </w:tabs>
        <w:spacing w:line="276" w:lineRule="auto"/>
        <w:rPr>
          <w:b/>
          <w:i/>
          <w:sz w:val="22"/>
          <w:szCs w:val="22"/>
        </w:rPr>
      </w:pPr>
      <w:r w:rsidRPr="00DA3AE2">
        <w:rPr>
          <w:b/>
          <w:i/>
          <w:sz w:val="22"/>
          <w:szCs w:val="22"/>
        </w:rPr>
        <w:t>Key policy messages arising from the research evidence base:</w:t>
      </w:r>
    </w:p>
    <w:p w14:paraId="5E7BDD82" w14:textId="77777777" w:rsidR="002C52D2" w:rsidRPr="00DA3AE2" w:rsidRDefault="002C52D2" w:rsidP="0032784D">
      <w:pPr>
        <w:tabs>
          <w:tab w:val="left" w:pos="360"/>
        </w:tabs>
        <w:spacing w:line="276" w:lineRule="auto"/>
        <w:rPr>
          <w:sz w:val="22"/>
          <w:szCs w:val="22"/>
        </w:rPr>
      </w:pPr>
    </w:p>
    <w:p w14:paraId="3EEC9284" w14:textId="4ECB8A58" w:rsidR="002C52D2" w:rsidRPr="00DA3AE2" w:rsidRDefault="002C52D2" w:rsidP="0032784D">
      <w:pPr>
        <w:numPr>
          <w:ilvl w:val="0"/>
          <w:numId w:val="23"/>
        </w:numPr>
        <w:tabs>
          <w:tab w:val="left" w:pos="360"/>
        </w:tabs>
        <w:spacing w:line="276" w:lineRule="auto"/>
        <w:rPr>
          <w:sz w:val="22"/>
          <w:szCs w:val="22"/>
        </w:rPr>
      </w:pPr>
      <w:r w:rsidRPr="00DA3AE2">
        <w:rPr>
          <w:sz w:val="22"/>
          <w:szCs w:val="22"/>
        </w:rPr>
        <w:t xml:space="preserve">A </w:t>
      </w:r>
      <w:r w:rsidR="005B7E1D" w:rsidRPr="00DA3AE2">
        <w:rPr>
          <w:sz w:val="22"/>
          <w:szCs w:val="22"/>
        </w:rPr>
        <w:t>long-term</w:t>
      </w:r>
      <w:r w:rsidRPr="00DA3AE2">
        <w:rPr>
          <w:sz w:val="22"/>
          <w:szCs w:val="22"/>
        </w:rPr>
        <w:t xml:space="preserve"> strategic approach is needed to address ammonia emissions and their impact.</w:t>
      </w:r>
    </w:p>
    <w:p w14:paraId="5BE13F90" w14:textId="6DC5BDE7" w:rsidR="003B1264" w:rsidRPr="00DA3AE2" w:rsidRDefault="002C52D2" w:rsidP="0032784D">
      <w:pPr>
        <w:numPr>
          <w:ilvl w:val="0"/>
          <w:numId w:val="23"/>
        </w:numPr>
        <w:tabs>
          <w:tab w:val="left" w:pos="360"/>
        </w:tabs>
        <w:spacing w:line="276" w:lineRule="auto"/>
        <w:rPr>
          <w:sz w:val="22"/>
          <w:szCs w:val="22"/>
        </w:rPr>
      </w:pPr>
      <w:r w:rsidRPr="00DA3AE2">
        <w:rPr>
          <w:sz w:val="22"/>
          <w:szCs w:val="22"/>
        </w:rPr>
        <w:t>The first steps in this strategy are to set specific targets for reduction of Northern Ireland</w:t>
      </w:r>
      <w:r w:rsidR="003B1264" w:rsidRPr="00DA3AE2">
        <w:rPr>
          <w:sz w:val="22"/>
          <w:szCs w:val="22"/>
        </w:rPr>
        <w:t xml:space="preserve"> </w:t>
      </w:r>
      <w:r w:rsidRPr="00DA3AE2">
        <w:rPr>
          <w:sz w:val="22"/>
          <w:szCs w:val="22"/>
        </w:rPr>
        <w:t xml:space="preserve">ammonia emissions and ammonia concentration levels at designated </w:t>
      </w:r>
      <w:r w:rsidR="005B7E1D" w:rsidRPr="00DA3AE2">
        <w:rPr>
          <w:sz w:val="22"/>
          <w:szCs w:val="22"/>
        </w:rPr>
        <w:t>sites and</w:t>
      </w:r>
      <w:r w:rsidRPr="00DA3AE2">
        <w:rPr>
          <w:sz w:val="22"/>
          <w:szCs w:val="22"/>
        </w:rPr>
        <w:t xml:space="preserve"> implement</w:t>
      </w:r>
      <w:r w:rsidR="003B1264" w:rsidRPr="00DA3AE2">
        <w:rPr>
          <w:sz w:val="22"/>
          <w:szCs w:val="22"/>
        </w:rPr>
        <w:t xml:space="preserve"> </w:t>
      </w:r>
      <w:r w:rsidRPr="00DA3AE2">
        <w:rPr>
          <w:sz w:val="22"/>
          <w:szCs w:val="22"/>
        </w:rPr>
        <w:t xml:space="preserve">an ambitious programme </w:t>
      </w:r>
      <w:r w:rsidR="003B1264" w:rsidRPr="00DA3AE2">
        <w:rPr>
          <w:sz w:val="22"/>
          <w:szCs w:val="22"/>
        </w:rPr>
        <w:t>of measures to reduce emissions.</w:t>
      </w:r>
    </w:p>
    <w:p w14:paraId="168FB7F8" w14:textId="77777777" w:rsidR="003B1264" w:rsidRPr="00DA3AE2" w:rsidRDefault="003B1264" w:rsidP="0032784D">
      <w:pPr>
        <w:numPr>
          <w:ilvl w:val="0"/>
          <w:numId w:val="23"/>
        </w:numPr>
        <w:tabs>
          <w:tab w:val="left" w:pos="360"/>
        </w:tabs>
        <w:spacing w:line="276" w:lineRule="auto"/>
        <w:rPr>
          <w:sz w:val="22"/>
          <w:szCs w:val="22"/>
        </w:rPr>
      </w:pPr>
      <w:r w:rsidRPr="00DA3AE2">
        <w:rPr>
          <w:sz w:val="22"/>
          <w:szCs w:val="22"/>
        </w:rPr>
        <w:t>Measures selected should</w:t>
      </w:r>
      <w:r w:rsidR="002C52D2" w:rsidRPr="00DA3AE2">
        <w:rPr>
          <w:sz w:val="22"/>
          <w:szCs w:val="22"/>
        </w:rPr>
        <w:t xml:space="preserve"> take account of cost</w:t>
      </w:r>
      <w:r w:rsidRPr="00DA3AE2">
        <w:rPr>
          <w:sz w:val="22"/>
          <w:szCs w:val="22"/>
        </w:rPr>
        <w:t xml:space="preserve"> effectiveness.</w:t>
      </w:r>
    </w:p>
    <w:p w14:paraId="225E6A19" w14:textId="77777777" w:rsidR="005B7E1D" w:rsidRDefault="002C52D2" w:rsidP="0032784D">
      <w:pPr>
        <w:numPr>
          <w:ilvl w:val="0"/>
          <w:numId w:val="23"/>
        </w:numPr>
        <w:tabs>
          <w:tab w:val="left" w:pos="360"/>
        </w:tabs>
        <w:spacing w:line="276" w:lineRule="auto"/>
        <w:rPr>
          <w:sz w:val="22"/>
          <w:szCs w:val="22"/>
        </w:rPr>
      </w:pPr>
      <w:r w:rsidRPr="00DA3AE2">
        <w:rPr>
          <w:sz w:val="22"/>
          <w:szCs w:val="22"/>
        </w:rPr>
        <w:t>Targeting measures around selected designated sites provide</w:t>
      </w:r>
      <w:r w:rsidR="003B1264" w:rsidRPr="00DA3AE2">
        <w:rPr>
          <w:sz w:val="22"/>
          <w:szCs w:val="22"/>
        </w:rPr>
        <w:t>s</w:t>
      </w:r>
      <w:r w:rsidRPr="00DA3AE2">
        <w:rPr>
          <w:sz w:val="22"/>
          <w:szCs w:val="22"/>
        </w:rPr>
        <w:t xml:space="preserve"> greater</w:t>
      </w:r>
      <w:r w:rsidR="003B1264" w:rsidRPr="00DA3AE2">
        <w:rPr>
          <w:sz w:val="22"/>
          <w:szCs w:val="22"/>
        </w:rPr>
        <w:t xml:space="preserve"> </w:t>
      </w:r>
      <w:r w:rsidRPr="00DA3AE2">
        <w:rPr>
          <w:sz w:val="22"/>
          <w:szCs w:val="22"/>
        </w:rPr>
        <w:t>benefit to protected habitats and will be required to deliver more urgent action to address</w:t>
      </w:r>
      <w:r w:rsidR="003B1264" w:rsidRPr="00DA3AE2">
        <w:rPr>
          <w:sz w:val="22"/>
          <w:szCs w:val="22"/>
        </w:rPr>
        <w:t xml:space="preserve"> </w:t>
      </w:r>
      <w:r w:rsidRPr="00DA3AE2">
        <w:rPr>
          <w:sz w:val="22"/>
          <w:szCs w:val="22"/>
        </w:rPr>
        <w:t>exc</w:t>
      </w:r>
      <w:r w:rsidR="003B1264" w:rsidRPr="00DA3AE2">
        <w:rPr>
          <w:sz w:val="22"/>
          <w:szCs w:val="22"/>
        </w:rPr>
        <w:t>eedance and support development.</w:t>
      </w:r>
    </w:p>
    <w:p w14:paraId="4758695C" w14:textId="7EC33893" w:rsidR="003B1264" w:rsidRPr="005B7E1D" w:rsidRDefault="002C52D2" w:rsidP="0032784D">
      <w:pPr>
        <w:numPr>
          <w:ilvl w:val="0"/>
          <w:numId w:val="23"/>
        </w:numPr>
        <w:tabs>
          <w:tab w:val="left" w:pos="360"/>
        </w:tabs>
        <w:spacing w:line="276" w:lineRule="auto"/>
        <w:rPr>
          <w:sz w:val="22"/>
          <w:szCs w:val="22"/>
        </w:rPr>
      </w:pPr>
      <w:r w:rsidRPr="005B7E1D">
        <w:rPr>
          <w:sz w:val="22"/>
          <w:szCs w:val="22"/>
        </w:rPr>
        <w:t xml:space="preserve">Conservation management programmes will be required to restore habitats impacted by </w:t>
      </w:r>
      <w:r w:rsidR="003B1264" w:rsidRPr="005B7E1D">
        <w:rPr>
          <w:sz w:val="22"/>
          <w:szCs w:val="22"/>
        </w:rPr>
        <w:t>excess ammonia levels and associated nitrogen deposition.</w:t>
      </w:r>
    </w:p>
    <w:p w14:paraId="50EDB6A4" w14:textId="1A32EB01" w:rsidR="002C52D2" w:rsidRPr="00DA3AE2" w:rsidRDefault="003B1264" w:rsidP="0032784D">
      <w:pPr>
        <w:numPr>
          <w:ilvl w:val="0"/>
          <w:numId w:val="23"/>
        </w:numPr>
        <w:tabs>
          <w:tab w:val="left" w:pos="360"/>
        </w:tabs>
        <w:spacing w:line="276" w:lineRule="auto"/>
        <w:rPr>
          <w:sz w:val="22"/>
          <w:szCs w:val="22"/>
        </w:rPr>
      </w:pPr>
      <w:r w:rsidRPr="00DA3AE2">
        <w:rPr>
          <w:sz w:val="22"/>
          <w:szCs w:val="22"/>
        </w:rPr>
        <w:t>D</w:t>
      </w:r>
      <w:r w:rsidR="002C52D2" w:rsidRPr="00DA3AE2">
        <w:rPr>
          <w:sz w:val="22"/>
          <w:szCs w:val="22"/>
        </w:rPr>
        <w:t>evelopment of new ‘next generation’ ammonia solutions</w:t>
      </w:r>
      <w:r w:rsidRPr="00DA3AE2">
        <w:rPr>
          <w:sz w:val="22"/>
          <w:szCs w:val="22"/>
        </w:rPr>
        <w:t xml:space="preserve"> should be included in future iterations of ammonia reduction strategies.</w:t>
      </w:r>
    </w:p>
    <w:p w14:paraId="1E20AA4E" w14:textId="77777777" w:rsidR="002C52D2" w:rsidRPr="00DA3AE2" w:rsidRDefault="002C52D2" w:rsidP="0032784D">
      <w:pPr>
        <w:tabs>
          <w:tab w:val="left" w:pos="360"/>
        </w:tabs>
        <w:spacing w:line="276" w:lineRule="auto"/>
        <w:rPr>
          <w:sz w:val="22"/>
          <w:szCs w:val="22"/>
        </w:rPr>
      </w:pPr>
    </w:p>
    <w:p w14:paraId="31737F43" w14:textId="77777777" w:rsidR="00C71DE8" w:rsidRPr="00DA3AE2" w:rsidRDefault="00C71DE8" w:rsidP="0032784D">
      <w:pPr>
        <w:tabs>
          <w:tab w:val="left" w:pos="7920"/>
        </w:tabs>
        <w:spacing w:line="276" w:lineRule="auto"/>
        <w:rPr>
          <w:sz w:val="22"/>
          <w:szCs w:val="22"/>
        </w:rPr>
      </w:pPr>
      <w:r w:rsidRPr="00DA3AE2">
        <w:rPr>
          <w:sz w:val="22"/>
          <w:szCs w:val="22"/>
        </w:rPr>
        <w:t xml:space="preserve">The analysis above has informed both the development of the draft NI Ammonia Strategy </w:t>
      </w:r>
      <w:proofErr w:type="gramStart"/>
      <w:r w:rsidRPr="00DA3AE2">
        <w:rPr>
          <w:sz w:val="22"/>
          <w:szCs w:val="22"/>
        </w:rPr>
        <w:t>and also</w:t>
      </w:r>
      <w:proofErr w:type="gramEnd"/>
      <w:r w:rsidRPr="00DA3AE2">
        <w:rPr>
          <w:sz w:val="22"/>
          <w:szCs w:val="22"/>
        </w:rPr>
        <w:t xml:space="preserve"> this Regulatory Impact Assessment and is considered a comprehensive and proportionate evidence base which will be added to as the draft strategy undergoes public consultation.</w:t>
      </w:r>
    </w:p>
    <w:p w14:paraId="36E608C1" w14:textId="77777777" w:rsidR="00C71DE8" w:rsidRPr="00DA3AE2" w:rsidRDefault="00C71DE8" w:rsidP="0032784D">
      <w:pPr>
        <w:tabs>
          <w:tab w:val="left" w:pos="7920"/>
        </w:tabs>
        <w:spacing w:line="276" w:lineRule="auto"/>
        <w:rPr>
          <w:sz w:val="22"/>
          <w:szCs w:val="22"/>
        </w:rPr>
      </w:pPr>
    </w:p>
    <w:p w14:paraId="1963BF9E" w14:textId="77777777" w:rsidR="005B7E1D" w:rsidRDefault="005B7E1D" w:rsidP="0032784D">
      <w:pPr>
        <w:tabs>
          <w:tab w:val="left" w:pos="7920"/>
        </w:tabs>
        <w:spacing w:line="276" w:lineRule="auto"/>
        <w:rPr>
          <w:b/>
          <w:sz w:val="22"/>
          <w:szCs w:val="22"/>
        </w:rPr>
      </w:pPr>
    </w:p>
    <w:p w14:paraId="75CD6DF2" w14:textId="77777777" w:rsidR="005B7E1D" w:rsidRDefault="005B7E1D" w:rsidP="0032784D">
      <w:pPr>
        <w:tabs>
          <w:tab w:val="left" w:pos="7920"/>
        </w:tabs>
        <w:spacing w:line="276" w:lineRule="auto"/>
        <w:rPr>
          <w:b/>
          <w:sz w:val="22"/>
          <w:szCs w:val="22"/>
        </w:rPr>
      </w:pPr>
    </w:p>
    <w:p w14:paraId="4320E445" w14:textId="77777777" w:rsidR="005B7E1D" w:rsidRDefault="005B7E1D" w:rsidP="0032784D">
      <w:pPr>
        <w:tabs>
          <w:tab w:val="left" w:pos="7920"/>
        </w:tabs>
        <w:spacing w:line="276" w:lineRule="auto"/>
        <w:rPr>
          <w:b/>
          <w:sz w:val="22"/>
          <w:szCs w:val="22"/>
        </w:rPr>
      </w:pPr>
    </w:p>
    <w:p w14:paraId="7B1FBE41" w14:textId="77777777" w:rsidR="005B7E1D" w:rsidRDefault="005B7E1D" w:rsidP="0032784D">
      <w:pPr>
        <w:tabs>
          <w:tab w:val="left" w:pos="7920"/>
        </w:tabs>
        <w:spacing w:line="276" w:lineRule="auto"/>
        <w:rPr>
          <w:b/>
          <w:sz w:val="22"/>
          <w:szCs w:val="22"/>
        </w:rPr>
      </w:pPr>
    </w:p>
    <w:p w14:paraId="2ED7644C" w14:textId="77777777" w:rsidR="005B7E1D" w:rsidRDefault="005B7E1D" w:rsidP="0032784D">
      <w:pPr>
        <w:tabs>
          <w:tab w:val="left" w:pos="7920"/>
        </w:tabs>
        <w:spacing w:line="276" w:lineRule="auto"/>
        <w:rPr>
          <w:b/>
          <w:sz w:val="22"/>
          <w:szCs w:val="22"/>
        </w:rPr>
      </w:pPr>
    </w:p>
    <w:p w14:paraId="742DD779" w14:textId="77777777" w:rsidR="005B7E1D" w:rsidRDefault="005B7E1D" w:rsidP="0032784D">
      <w:pPr>
        <w:tabs>
          <w:tab w:val="left" w:pos="7920"/>
        </w:tabs>
        <w:spacing w:line="276" w:lineRule="auto"/>
        <w:rPr>
          <w:b/>
          <w:sz w:val="22"/>
          <w:szCs w:val="22"/>
        </w:rPr>
      </w:pPr>
    </w:p>
    <w:p w14:paraId="31EA9EAB" w14:textId="182F932D" w:rsidR="00C71DE8" w:rsidRPr="00DA3AE2" w:rsidRDefault="00435131" w:rsidP="0032784D">
      <w:pPr>
        <w:tabs>
          <w:tab w:val="left" w:pos="7920"/>
        </w:tabs>
        <w:spacing w:line="276" w:lineRule="auto"/>
        <w:rPr>
          <w:b/>
          <w:sz w:val="22"/>
          <w:szCs w:val="22"/>
        </w:rPr>
      </w:pPr>
      <w:r w:rsidRPr="00DA3AE2">
        <w:rPr>
          <w:b/>
          <w:sz w:val="22"/>
          <w:szCs w:val="22"/>
        </w:rPr>
        <w:t xml:space="preserve">Risks and </w:t>
      </w:r>
      <w:r w:rsidR="002C52D2" w:rsidRPr="00DA3AE2">
        <w:rPr>
          <w:b/>
          <w:sz w:val="22"/>
          <w:szCs w:val="22"/>
        </w:rPr>
        <w:t>Assumptions</w:t>
      </w:r>
    </w:p>
    <w:p w14:paraId="10D5D5B3" w14:textId="77777777" w:rsidR="00C71DE8" w:rsidRPr="00DA3AE2" w:rsidRDefault="00C71DE8" w:rsidP="0032784D">
      <w:pPr>
        <w:tabs>
          <w:tab w:val="left" w:pos="7920"/>
        </w:tabs>
        <w:spacing w:line="276" w:lineRule="auto"/>
        <w:rPr>
          <w:sz w:val="22"/>
          <w:szCs w:val="22"/>
        </w:rPr>
      </w:pPr>
    </w:p>
    <w:p w14:paraId="0FB19801" w14:textId="71FC4994" w:rsidR="00FA0CA8" w:rsidRPr="00DA3AE2" w:rsidRDefault="00E86223" w:rsidP="0032784D">
      <w:pPr>
        <w:tabs>
          <w:tab w:val="left" w:pos="7920"/>
        </w:tabs>
        <w:spacing w:line="276" w:lineRule="auto"/>
        <w:rPr>
          <w:sz w:val="22"/>
          <w:szCs w:val="22"/>
        </w:rPr>
      </w:pPr>
      <w:r w:rsidRPr="00DA3AE2">
        <w:rPr>
          <w:sz w:val="22"/>
          <w:szCs w:val="22"/>
        </w:rPr>
        <w:t xml:space="preserve">Modelling work completed in the ammonia research programme </w:t>
      </w:r>
      <w:r w:rsidR="00FA0CA8" w:rsidRPr="00DA3AE2">
        <w:rPr>
          <w:sz w:val="22"/>
          <w:szCs w:val="22"/>
        </w:rPr>
        <w:t xml:space="preserve">used the Marginal Abatement Cost Curve Method (MACC) to quantify the amount of ammonia mitigation that can be achieved at a given cost. </w:t>
      </w:r>
      <w:r w:rsidR="008C43C5" w:rsidRPr="00DA3AE2">
        <w:rPr>
          <w:sz w:val="22"/>
          <w:szCs w:val="22"/>
        </w:rPr>
        <w:t xml:space="preserve">Results are shown in Table 3. </w:t>
      </w:r>
      <w:r w:rsidR="00FA0CA8" w:rsidRPr="00DA3AE2">
        <w:rPr>
          <w:sz w:val="22"/>
          <w:szCs w:val="22"/>
        </w:rPr>
        <w:t>The MACC approach takes into account the net additional, or marginal, abatement and associated cost of combining several measures together</w:t>
      </w:r>
      <w:r w:rsidR="008C43C5" w:rsidRPr="00DA3AE2">
        <w:rPr>
          <w:sz w:val="22"/>
          <w:szCs w:val="22"/>
        </w:rPr>
        <w:t xml:space="preserve"> (</w:t>
      </w:r>
      <w:proofErr w:type="spellStart"/>
      <w:proofErr w:type="gramStart"/>
      <w:r w:rsidR="008C43C5" w:rsidRPr="00DA3AE2">
        <w:rPr>
          <w:sz w:val="22"/>
          <w:szCs w:val="22"/>
        </w:rPr>
        <w:t>ie</w:t>
      </w:r>
      <w:proofErr w:type="spellEnd"/>
      <w:proofErr w:type="gramEnd"/>
      <w:r w:rsidR="008C43C5" w:rsidRPr="00DA3AE2">
        <w:rPr>
          <w:sz w:val="22"/>
          <w:szCs w:val="22"/>
        </w:rPr>
        <w:t xml:space="preserve"> the measures are not simply additive)</w:t>
      </w:r>
      <w:r w:rsidR="00FA0CA8" w:rsidRPr="00DA3AE2">
        <w:rPr>
          <w:sz w:val="22"/>
          <w:szCs w:val="22"/>
        </w:rPr>
        <w:t xml:space="preserve">. The NH3 emissions and mitigation scenarios were based on activity data and emission factors from the 2019 UK NH3 inventory submission. </w:t>
      </w:r>
    </w:p>
    <w:p w14:paraId="5A8C8093" w14:textId="70E4EC1F" w:rsidR="00FA0CA8" w:rsidRDefault="00FA0CA8" w:rsidP="0032784D">
      <w:pPr>
        <w:tabs>
          <w:tab w:val="left" w:pos="7920"/>
        </w:tabs>
        <w:spacing w:line="276" w:lineRule="auto"/>
        <w:rPr>
          <w:sz w:val="22"/>
          <w:szCs w:val="22"/>
        </w:rPr>
      </w:pPr>
    </w:p>
    <w:p w14:paraId="19434E49" w14:textId="77777777" w:rsidR="00C43BA5" w:rsidRPr="00DA3AE2" w:rsidRDefault="00C43BA5" w:rsidP="0032784D">
      <w:pPr>
        <w:tabs>
          <w:tab w:val="left" w:pos="7920"/>
        </w:tabs>
        <w:spacing w:line="276" w:lineRule="auto"/>
        <w:rPr>
          <w:sz w:val="22"/>
          <w:szCs w:val="22"/>
        </w:rPr>
      </w:pPr>
    </w:p>
    <w:p w14:paraId="7F999E38" w14:textId="0BFA5C65" w:rsidR="00475C21" w:rsidRPr="00DA3AE2" w:rsidRDefault="00C43BA5" w:rsidP="0032784D">
      <w:pPr>
        <w:tabs>
          <w:tab w:val="left" w:pos="7920"/>
        </w:tabs>
        <w:spacing w:line="276" w:lineRule="auto"/>
        <w:rPr>
          <w:sz w:val="22"/>
          <w:szCs w:val="22"/>
        </w:rPr>
      </w:pPr>
      <w:r w:rsidRPr="00C43BA5">
        <w:rPr>
          <w:sz w:val="22"/>
          <w:szCs w:val="22"/>
        </w:rPr>
        <w:t xml:space="preserve">The costs of measures </w:t>
      </w:r>
      <w:r>
        <w:rPr>
          <w:sz w:val="22"/>
          <w:szCs w:val="22"/>
        </w:rPr>
        <w:t xml:space="preserve">in the MACC </w:t>
      </w:r>
      <w:r w:rsidRPr="00C43BA5">
        <w:rPr>
          <w:sz w:val="22"/>
          <w:szCs w:val="22"/>
        </w:rPr>
        <w:t>typically include two elements: capital investment and annual running costs. In calculating the total costs to the farmer, these two elements were combined by adding the annualised cost (annual charge) of the capital element to the estimated annual running costs.</w:t>
      </w:r>
    </w:p>
    <w:p w14:paraId="4357CD3E" w14:textId="77777777" w:rsidR="00475C21" w:rsidRPr="00DA3AE2" w:rsidRDefault="00475C21" w:rsidP="0032784D">
      <w:pPr>
        <w:tabs>
          <w:tab w:val="left" w:pos="7920"/>
        </w:tabs>
        <w:spacing w:line="276" w:lineRule="auto"/>
        <w:rPr>
          <w:sz w:val="22"/>
          <w:szCs w:val="22"/>
        </w:rPr>
      </w:pPr>
    </w:p>
    <w:p w14:paraId="6FF0DB42" w14:textId="77777777" w:rsidR="004C1FFC" w:rsidRDefault="004C1FFC" w:rsidP="0032784D">
      <w:pPr>
        <w:tabs>
          <w:tab w:val="left" w:pos="7920"/>
        </w:tabs>
        <w:spacing w:line="276" w:lineRule="auto"/>
        <w:rPr>
          <w:sz w:val="22"/>
          <w:szCs w:val="22"/>
        </w:rPr>
      </w:pPr>
    </w:p>
    <w:p w14:paraId="73A2B679" w14:textId="77777777" w:rsidR="004C1FFC" w:rsidRDefault="004C1FFC" w:rsidP="0032784D">
      <w:pPr>
        <w:tabs>
          <w:tab w:val="left" w:pos="7920"/>
        </w:tabs>
        <w:spacing w:line="276" w:lineRule="auto"/>
        <w:rPr>
          <w:sz w:val="22"/>
          <w:szCs w:val="22"/>
        </w:rPr>
      </w:pPr>
    </w:p>
    <w:p w14:paraId="45ECC057" w14:textId="77777777" w:rsidR="004C1FFC" w:rsidRDefault="004C1FFC" w:rsidP="0032784D">
      <w:pPr>
        <w:tabs>
          <w:tab w:val="left" w:pos="7920"/>
        </w:tabs>
        <w:spacing w:line="276" w:lineRule="auto"/>
        <w:rPr>
          <w:sz w:val="22"/>
          <w:szCs w:val="22"/>
        </w:rPr>
      </w:pPr>
    </w:p>
    <w:p w14:paraId="3A0B52E8" w14:textId="77777777" w:rsidR="004C1FFC" w:rsidRDefault="004C1FFC" w:rsidP="0032784D">
      <w:pPr>
        <w:tabs>
          <w:tab w:val="left" w:pos="7920"/>
        </w:tabs>
        <w:spacing w:line="276" w:lineRule="auto"/>
        <w:rPr>
          <w:sz w:val="22"/>
          <w:szCs w:val="22"/>
        </w:rPr>
      </w:pPr>
    </w:p>
    <w:p w14:paraId="2AE00C2F" w14:textId="77777777" w:rsidR="004C1FFC" w:rsidRDefault="004C1FFC" w:rsidP="0032784D">
      <w:pPr>
        <w:tabs>
          <w:tab w:val="left" w:pos="7920"/>
        </w:tabs>
        <w:spacing w:line="276" w:lineRule="auto"/>
        <w:rPr>
          <w:sz w:val="22"/>
          <w:szCs w:val="22"/>
        </w:rPr>
      </w:pPr>
    </w:p>
    <w:p w14:paraId="68A5E99B" w14:textId="77777777" w:rsidR="004C1FFC" w:rsidRDefault="004C1FFC" w:rsidP="0032784D">
      <w:pPr>
        <w:tabs>
          <w:tab w:val="left" w:pos="7920"/>
        </w:tabs>
        <w:spacing w:line="276" w:lineRule="auto"/>
        <w:rPr>
          <w:sz w:val="22"/>
          <w:szCs w:val="22"/>
        </w:rPr>
      </w:pPr>
    </w:p>
    <w:p w14:paraId="5B2D7279" w14:textId="70402A5B" w:rsidR="00FA0CA8" w:rsidRPr="00DA3AE2" w:rsidRDefault="008C43C5" w:rsidP="0032784D">
      <w:pPr>
        <w:tabs>
          <w:tab w:val="left" w:pos="7920"/>
        </w:tabs>
        <w:spacing w:line="276" w:lineRule="auto"/>
        <w:rPr>
          <w:sz w:val="22"/>
          <w:szCs w:val="22"/>
        </w:rPr>
      </w:pPr>
      <w:r w:rsidRPr="00DA3AE2">
        <w:rPr>
          <w:sz w:val="22"/>
          <w:szCs w:val="22"/>
        </w:rPr>
        <w:lastRenderedPageBreak/>
        <w:t xml:space="preserve">Table 3. MACC results for </w:t>
      </w:r>
      <w:r w:rsidR="00046B28" w:rsidRPr="00DA3AE2">
        <w:rPr>
          <w:sz w:val="22"/>
          <w:szCs w:val="22"/>
        </w:rPr>
        <w:t xml:space="preserve">use of all mitigation measures </w:t>
      </w:r>
      <w:r w:rsidR="00E7238C" w:rsidRPr="00DA3AE2">
        <w:rPr>
          <w:sz w:val="22"/>
          <w:szCs w:val="22"/>
        </w:rPr>
        <w:t xml:space="preserve">(MACC 1 &amp; MACC 3) </w:t>
      </w:r>
      <w:r w:rsidR="00046B28" w:rsidRPr="00DA3AE2">
        <w:rPr>
          <w:sz w:val="22"/>
          <w:szCs w:val="22"/>
        </w:rPr>
        <w:t>compared with use of low</w:t>
      </w:r>
      <w:r w:rsidR="00A67AC7">
        <w:rPr>
          <w:sz w:val="22"/>
          <w:szCs w:val="22"/>
        </w:rPr>
        <w:t>-</w:t>
      </w:r>
      <w:r w:rsidR="00046B28" w:rsidRPr="00DA3AE2">
        <w:rPr>
          <w:sz w:val="22"/>
          <w:szCs w:val="22"/>
        </w:rPr>
        <w:t>cost measures only</w:t>
      </w:r>
      <w:r w:rsidR="00E7238C" w:rsidRPr="00DA3AE2">
        <w:rPr>
          <w:sz w:val="22"/>
          <w:szCs w:val="22"/>
        </w:rPr>
        <w:t xml:space="preserve"> (MACC 2)</w:t>
      </w:r>
      <w:r w:rsidR="00046B28" w:rsidRPr="00DA3AE2">
        <w:rPr>
          <w:sz w:val="22"/>
          <w:szCs w:val="22"/>
        </w:rPr>
        <w:t xml:space="preserve">. </w:t>
      </w:r>
    </w:p>
    <w:p w14:paraId="205F1611" w14:textId="77777777" w:rsidR="008C43C5" w:rsidRPr="00DA3AE2" w:rsidRDefault="008C43C5" w:rsidP="0032784D">
      <w:pPr>
        <w:tabs>
          <w:tab w:val="left" w:pos="7920"/>
        </w:tabs>
        <w:spacing w:line="276" w:lineRule="auto"/>
        <w:rPr>
          <w:sz w:val="22"/>
          <w:szCs w:val="22"/>
        </w:rPr>
      </w:pPr>
    </w:p>
    <w:p w14:paraId="5398D582" w14:textId="77777777" w:rsidR="008C43C5" w:rsidRPr="00DA3AE2" w:rsidRDefault="008C43C5" w:rsidP="0032784D">
      <w:pPr>
        <w:tabs>
          <w:tab w:val="left" w:pos="7920"/>
        </w:tabs>
        <w:spacing w:line="276" w:lineRule="auto"/>
        <w:rPr>
          <w:sz w:val="14"/>
          <w:szCs w:val="22"/>
        </w:rPr>
      </w:pPr>
    </w:p>
    <w:p w14:paraId="1400CB0F" w14:textId="1726556D" w:rsidR="0035439F" w:rsidRPr="00DA3AE2" w:rsidRDefault="001948A2" w:rsidP="0032784D">
      <w:pPr>
        <w:tabs>
          <w:tab w:val="left" w:pos="7920"/>
        </w:tabs>
        <w:spacing w:line="276" w:lineRule="auto"/>
        <w:rPr>
          <w:sz w:val="22"/>
          <w:szCs w:val="22"/>
        </w:rPr>
      </w:pPr>
      <w:r>
        <w:rPr>
          <w:noProof/>
          <w:sz w:val="22"/>
          <w:szCs w:val="22"/>
        </w:rPr>
        <w:drawing>
          <wp:inline distT="0" distB="0" distL="0" distR="0" wp14:anchorId="5CA77EC9" wp14:editId="5DDD8AE5">
            <wp:extent cx="6400800" cy="497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972050"/>
                    </a:xfrm>
                    <a:prstGeom prst="rect">
                      <a:avLst/>
                    </a:prstGeom>
                    <a:noFill/>
                    <a:ln>
                      <a:noFill/>
                    </a:ln>
                  </pic:spPr>
                </pic:pic>
              </a:graphicData>
            </a:graphic>
          </wp:inline>
        </w:drawing>
      </w:r>
    </w:p>
    <w:p w14:paraId="5A2D6892" w14:textId="77777777" w:rsidR="00B055E2" w:rsidRPr="00DA3AE2" w:rsidRDefault="00B055E2" w:rsidP="0032784D">
      <w:pPr>
        <w:tabs>
          <w:tab w:val="left" w:pos="7920"/>
        </w:tabs>
        <w:spacing w:line="276" w:lineRule="auto"/>
        <w:rPr>
          <w:sz w:val="22"/>
          <w:szCs w:val="22"/>
        </w:rPr>
      </w:pPr>
    </w:p>
    <w:p w14:paraId="2943B5EB" w14:textId="518B9007" w:rsidR="008C43C5" w:rsidRPr="00DA3AE2" w:rsidRDefault="00046B28" w:rsidP="0032784D">
      <w:pPr>
        <w:tabs>
          <w:tab w:val="left" w:pos="7920"/>
        </w:tabs>
        <w:spacing w:line="276" w:lineRule="auto"/>
        <w:rPr>
          <w:sz w:val="22"/>
          <w:szCs w:val="22"/>
        </w:rPr>
      </w:pPr>
      <w:r w:rsidRPr="00DA3AE2">
        <w:rPr>
          <w:sz w:val="22"/>
          <w:szCs w:val="22"/>
        </w:rPr>
        <w:t xml:space="preserve">Table 3 </w:t>
      </w:r>
      <w:r w:rsidR="0035439F" w:rsidRPr="00DA3AE2">
        <w:rPr>
          <w:sz w:val="22"/>
          <w:szCs w:val="22"/>
        </w:rPr>
        <w:t>MACC results illustr</w:t>
      </w:r>
      <w:r w:rsidRPr="00DA3AE2">
        <w:rPr>
          <w:sz w:val="22"/>
          <w:szCs w:val="22"/>
        </w:rPr>
        <w:t>ate the relationship between</w:t>
      </w:r>
      <w:r w:rsidR="0035439F" w:rsidRPr="00DA3AE2">
        <w:rPr>
          <w:sz w:val="22"/>
          <w:szCs w:val="22"/>
        </w:rPr>
        <w:t xml:space="preserve"> cumulative reductions in ammonia levels </w:t>
      </w:r>
      <w:r w:rsidRPr="00DA3AE2">
        <w:rPr>
          <w:sz w:val="22"/>
          <w:szCs w:val="22"/>
        </w:rPr>
        <w:t xml:space="preserve">achievable and </w:t>
      </w:r>
      <w:r w:rsidR="0035439F" w:rsidRPr="00DA3AE2">
        <w:rPr>
          <w:sz w:val="22"/>
          <w:szCs w:val="22"/>
        </w:rPr>
        <w:t>the cumulative cost per annum</w:t>
      </w:r>
      <w:r w:rsidRPr="00DA3AE2">
        <w:rPr>
          <w:sz w:val="22"/>
          <w:szCs w:val="22"/>
        </w:rPr>
        <w:t>. Mitigation measures requiring engineering solutions such as housing modifications greatly increase the costs of ammonia reduction</w:t>
      </w:r>
      <w:r w:rsidR="00DE76F2" w:rsidRPr="00DA3AE2">
        <w:rPr>
          <w:sz w:val="22"/>
          <w:szCs w:val="22"/>
        </w:rPr>
        <w:t xml:space="preserve"> and </w:t>
      </w:r>
      <w:r w:rsidR="00C0685E" w:rsidRPr="00DA3AE2">
        <w:rPr>
          <w:sz w:val="22"/>
          <w:szCs w:val="22"/>
        </w:rPr>
        <w:t>achieve reductions close to the Ammonia Strategy target of 30%</w:t>
      </w:r>
      <w:r w:rsidRPr="00DA3AE2">
        <w:rPr>
          <w:sz w:val="22"/>
          <w:szCs w:val="22"/>
        </w:rPr>
        <w:t xml:space="preserve">. Conversely the use of </w:t>
      </w:r>
      <w:r w:rsidR="005B7E1D" w:rsidRPr="00DA3AE2">
        <w:rPr>
          <w:sz w:val="22"/>
          <w:szCs w:val="22"/>
        </w:rPr>
        <w:t>low-cost</w:t>
      </w:r>
      <w:r w:rsidRPr="00DA3AE2">
        <w:rPr>
          <w:sz w:val="22"/>
          <w:szCs w:val="22"/>
        </w:rPr>
        <w:t xml:space="preserve"> measures only </w:t>
      </w:r>
      <w:r w:rsidR="00C0685E" w:rsidRPr="00DA3AE2">
        <w:rPr>
          <w:sz w:val="22"/>
          <w:szCs w:val="22"/>
        </w:rPr>
        <w:t>gives overall ammonia reductions well below the target.</w:t>
      </w:r>
    </w:p>
    <w:p w14:paraId="24D98296" w14:textId="77777777" w:rsidR="0035439F" w:rsidRPr="00DA3AE2" w:rsidRDefault="0035439F" w:rsidP="0032784D">
      <w:pPr>
        <w:tabs>
          <w:tab w:val="left" w:pos="7920"/>
        </w:tabs>
        <w:spacing w:line="276" w:lineRule="auto"/>
        <w:rPr>
          <w:sz w:val="22"/>
          <w:szCs w:val="22"/>
        </w:rPr>
      </w:pPr>
    </w:p>
    <w:p w14:paraId="2B98D173" w14:textId="027D3941" w:rsidR="00C0685E" w:rsidRPr="00DA3AE2" w:rsidRDefault="00046B28" w:rsidP="0032784D">
      <w:pPr>
        <w:tabs>
          <w:tab w:val="left" w:pos="7920"/>
        </w:tabs>
        <w:spacing w:line="276" w:lineRule="auto"/>
        <w:rPr>
          <w:sz w:val="22"/>
          <w:szCs w:val="22"/>
        </w:rPr>
      </w:pPr>
      <w:r w:rsidRPr="00DA3AE2">
        <w:rPr>
          <w:sz w:val="22"/>
          <w:szCs w:val="22"/>
        </w:rPr>
        <w:t xml:space="preserve">The </w:t>
      </w:r>
      <w:r w:rsidR="00C0685E" w:rsidRPr="00DA3AE2">
        <w:rPr>
          <w:sz w:val="22"/>
          <w:szCs w:val="22"/>
        </w:rPr>
        <w:t>‘</w:t>
      </w:r>
      <w:r w:rsidRPr="00DA3AE2">
        <w:rPr>
          <w:sz w:val="22"/>
          <w:szCs w:val="22"/>
        </w:rPr>
        <w:t>low</w:t>
      </w:r>
      <w:r w:rsidR="00482BC0">
        <w:rPr>
          <w:sz w:val="22"/>
          <w:szCs w:val="22"/>
        </w:rPr>
        <w:t>-</w:t>
      </w:r>
      <w:r w:rsidRPr="00DA3AE2">
        <w:rPr>
          <w:sz w:val="22"/>
          <w:szCs w:val="22"/>
        </w:rPr>
        <w:t xml:space="preserve">cost </w:t>
      </w:r>
      <w:r w:rsidR="00C0685E" w:rsidRPr="00DA3AE2">
        <w:rPr>
          <w:sz w:val="22"/>
          <w:szCs w:val="22"/>
        </w:rPr>
        <w:t>measures only’</w:t>
      </w:r>
      <w:r w:rsidR="00B055E2" w:rsidRPr="00DA3AE2">
        <w:rPr>
          <w:sz w:val="22"/>
          <w:szCs w:val="22"/>
        </w:rPr>
        <w:t xml:space="preserve"> (MACC 2)</w:t>
      </w:r>
      <w:r w:rsidR="00C0685E" w:rsidRPr="00DA3AE2">
        <w:rPr>
          <w:sz w:val="22"/>
          <w:szCs w:val="22"/>
        </w:rPr>
        <w:t xml:space="preserve"> option in Table 3 offers </w:t>
      </w:r>
      <w:r w:rsidRPr="00DA3AE2">
        <w:rPr>
          <w:sz w:val="22"/>
          <w:szCs w:val="22"/>
        </w:rPr>
        <w:t xml:space="preserve">the most applicable modelled illustration of </w:t>
      </w:r>
      <w:r w:rsidR="00C0685E" w:rsidRPr="00DA3AE2">
        <w:rPr>
          <w:sz w:val="22"/>
          <w:szCs w:val="22"/>
        </w:rPr>
        <w:t xml:space="preserve">RIA Option </w:t>
      </w:r>
      <w:r w:rsidR="00B055E2" w:rsidRPr="00DA3AE2">
        <w:rPr>
          <w:sz w:val="22"/>
          <w:szCs w:val="22"/>
        </w:rPr>
        <w:t xml:space="preserve">2 </w:t>
      </w:r>
      <w:r w:rsidR="00C0685E" w:rsidRPr="00DA3AE2">
        <w:rPr>
          <w:sz w:val="22"/>
          <w:szCs w:val="22"/>
        </w:rPr>
        <w:t>(Develop and impl</w:t>
      </w:r>
      <w:r w:rsidR="00E7238C" w:rsidRPr="00DA3AE2">
        <w:rPr>
          <w:sz w:val="22"/>
          <w:szCs w:val="22"/>
        </w:rPr>
        <w:t xml:space="preserve">ement an Ammonia Strategy with </w:t>
      </w:r>
      <w:r w:rsidR="005B7E1D" w:rsidRPr="00DA3AE2">
        <w:rPr>
          <w:sz w:val="22"/>
          <w:szCs w:val="22"/>
        </w:rPr>
        <w:t>low-cost</w:t>
      </w:r>
      <w:r w:rsidR="00C0685E" w:rsidRPr="00DA3AE2">
        <w:rPr>
          <w:sz w:val="22"/>
          <w:szCs w:val="22"/>
        </w:rPr>
        <w:t xml:space="preserve"> measures only). Results demonstrate that under this option the 30% reduction target, at these specified uptake rates, is not achievable.</w:t>
      </w:r>
    </w:p>
    <w:p w14:paraId="1DB62150" w14:textId="77777777" w:rsidR="0035439F" w:rsidRPr="00DA3AE2" w:rsidRDefault="0035439F" w:rsidP="0032784D">
      <w:pPr>
        <w:tabs>
          <w:tab w:val="left" w:pos="7920"/>
        </w:tabs>
        <w:spacing w:line="276" w:lineRule="auto"/>
        <w:rPr>
          <w:sz w:val="22"/>
          <w:szCs w:val="22"/>
        </w:rPr>
      </w:pPr>
    </w:p>
    <w:p w14:paraId="6664A5F8" w14:textId="1169C2F4" w:rsidR="00C71DE8" w:rsidRPr="00DA3AE2" w:rsidRDefault="0035439F" w:rsidP="0032784D">
      <w:pPr>
        <w:tabs>
          <w:tab w:val="left" w:pos="7920"/>
        </w:tabs>
        <w:spacing w:line="276" w:lineRule="auto"/>
        <w:rPr>
          <w:sz w:val="22"/>
          <w:szCs w:val="22"/>
        </w:rPr>
      </w:pPr>
      <w:r w:rsidRPr="00DA3AE2">
        <w:rPr>
          <w:sz w:val="22"/>
          <w:szCs w:val="22"/>
        </w:rPr>
        <w:t xml:space="preserve">Under </w:t>
      </w:r>
      <w:r w:rsidR="00C0685E" w:rsidRPr="00DA3AE2">
        <w:rPr>
          <w:sz w:val="22"/>
          <w:szCs w:val="22"/>
        </w:rPr>
        <w:t xml:space="preserve">the </w:t>
      </w:r>
      <w:r w:rsidRPr="00DA3AE2">
        <w:rPr>
          <w:sz w:val="22"/>
          <w:szCs w:val="22"/>
        </w:rPr>
        <w:t xml:space="preserve">Option </w:t>
      </w:r>
      <w:r w:rsidR="00B055E2" w:rsidRPr="00DA3AE2">
        <w:rPr>
          <w:sz w:val="22"/>
          <w:szCs w:val="22"/>
        </w:rPr>
        <w:t xml:space="preserve">3 </w:t>
      </w:r>
      <w:r w:rsidR="00C0685E" w:rsidRPr="00DA3AE2">
        <w:rPr>
          <w:sz w:val="22"/>
          <w:szCs w:val="22"/>
        </w:rPr>
        <w:t xml:space="preserve">approach (Develop and implement an Ammonia Strategy </w:t>
      </w:r>
      <w:r w:rsidR="00B055E2" w:rsidRPr="00DA3AE2">
        <w:rPr>
          <w:sz w:val="22"/>
          <w:szCs w:val="22"/>
        </w:rPr>
        <w:t>including the full range of feasible ammonia reduction measures (</w:t>
      </w:r>
      <w:r w:rsidR="00C0685E" w:rsidRPr="00DA3AE2">
        <w:rPr>
          <w:sz w:val="22"/>
          <w:szCs w:val="22"/>
        </w:rPr>
        <w:t>)</w:t>
      </w:r>
      <w:r w:rsidRPr="00DA3AE2">
        <w:rPr>
          <w:sz w:val="22"/>
          <w:szCs w:val="22"/>
        </w:rPr>
        <w:t xml:space="preserve"> the potential ammonia reduction rises to </w:t>
      </w:r>
      <w:r w:rsidR="00B055E2" w:rsidRPr="00DA3AE2">
        <w:rPr>
          <w:sz w:val="22"/>
          <w:szCs w:val="22"/>
        </w:rPr>
        <w:t xml:space="preserve">between 25 and </w:t>
      </w:r>
      <w:r w:rsidRPr="00DA3AE2">
        <w:rPr>
          <w:sz w:val="22"/>
          <w:szCs w:val="22"/>
        </w:rPr>
        <w:t>28%, at the specified uptake rates. If the uptake rates</w:t>
      </w:r>
      <w:r w:rsidR="00E7238C" w:rsidRPr="00DA3AE2">
        <w:rPr>
          <w:sz w:val="22"/>
          <w:szCs w:val="22"/>
        </w:rPr>
        <w:t xml:space="preserve"> </w:t>
      </w:r>
      <w:r w:rsidRPr="00DA3AE2">
        <w:rPr>
          <w:sz w:val="22"/>
          <w:szCs w:val="22"/>
        </w:rPr>
        <w:t xml:space="preserve">mandated under </w:t>
      </w:r>
      <w:r w:rsidR="00C0685E" w:rsidRPr="00DA3AE2">
        <w:rPr>
          <w:sz w:val="22"/>
          <w:szCs w:val="22"/>
        </w:rPr>
        <w:t xml:space="preserve">the </w:t>
      </w:r>
      <w:r w:rsidR="00E7238C" w:rsidRPr="00DA3AE2">
        <w:rPr>
          <w:sz w:val="22"/>
          <w:szCs w:val="22"/>
        </w:rPr>
        <w:t>MACC3</w:t>
      </w:r>
      <w:r w:rsidR="00C0685E" w:rsidRPr="00DA3AE2">
        <w:rPr>
          <w:sz w:val="22"/>
          <w:szCs w:val="22"/>
        </w:rPr>
        <w:t xml:space="preserve"> approach in Table 3 are increased there is potential for the total</w:t>
      </w:r>
      <w:r w:rsidRPr="00DA3AE2">
        <w:rPr>
          <w:sz w:val="22"/>
          <w:szCs w:val="22"/>
        </w:rPr>
        <w:t xml:space="preserve"> ammonia reduction </w:t>
      </w:r>
      <w:r w:rsidR="00C0685E" w:rsidRPr="00DA3AE2">
        <w:rPr>
          <w:sz w:val="22"/>
          <w:szCs w:val="22"/>
        </w:rPr>
        <w:t xml:space="preserve">to be greater than the modelled </w:t>
      </w:r>
      <w:r w:rsidRPr="00DA3AE2">
        <w:rPr>
          <w:sz w:val="22"/>
          <w:szCs w:val="22"/>
        </w:rPr>
        <w:t>28.1%.</w:t>
      </w:r>
    </w:p>
    <w:p w14:paraId="5548A85C" w14:textId="77777777" w:rsidR="0035439F" w:rsidRPr="00DA3AE2" w:rsidRDefault="0035439F" w:rsidP="0032784D">
      <w:pPr>
        <w:tabs>
          <w:tab w:val="left" w:pos="7920"/>
        </w:tabs>
        <w:spacing w:line="276" w:lineRule="auto"/>
        <w:rPr>
          <w:sz w:val="22"/>
          <w:szCs w:val="22"/>
        </w:rPr>
      </w:pPr>
    </w:p>
    <w:p w14:paraId="3E3FF8D4" w14:textId="5FCB4704" w:rsidR="00C71DE8" w:rsidRPr="00DA3AE2" w:rsidRDefault="00482BC0" w:rsidP="0032784D">
      <w:pPr>
        <w:tabs>
          <w:tab w:val="left" w:pos="7920"/>
        </w:tabs>
        <w:spacing w:line="276" w:lineRule="auto"/>
        <w:rPr>
          <w:sz w:val="22"/>
          <w:szCs w:val="22"/>
        </w:rPr>
      </w:pPr>
      <w:r>
        <w:rPr>
          <w:sz w:val="22"/>
          <w:szCs w:val="22"/>
        </w:rPr>
        <w:t xml:space="preserve">Each of the three </w:t>
      </w:r>
      <w:r w:rsidRPr="00DA3AE2">
        <w:rPr>
          <w:sz w:val="22"/>
          <w:szCs w:val="22"/>
        </w:rPr>
        <w:t xml:space="preserve">MACC scenarios </w:t>
      </w:r>
      <w:r>
        <w:rPr>
          <w:sz w:val="22"/>
          <w:szCs w:val="22"/>
        </w:rPr>
        <w:t>modelled are described and detailed below:</w:t>
      </w:r>
    </w:p>
    <w:p w14:paraId="45F4BA54" w14:textId="77777777" w:rsidR="00B055E2" w:rsidRPr="00DA3AE2" w:rsidRDefault="00B055E2" w:rsidP="0032784D">
      <w:pPr>
        <w:tabs>
          <w:tab w:val="left" w:pos="7920"/>
        </w:tabs>
        <w:spacing w:line="276" w:lineRule="auto"/>
        <w:rPr>
          <w:sz w:val="22"/>
          <w:szCs w:val="22"/>
        </w:rPr>
      </w:pPr>
    </w:p>
    <w:p w14:paraId="524BE302" w14:textId="77777777" w:rsidR="004C1FFC" w:rsidRDefault="004C1FFC" w:rsidP="0032784D">
      <w:pPr>
        <w:tabs>
          <w:tab w:val="left" w:pos="7920"/>
        </w:tabs>
        <w:spacing w:line="276" w:lineRule="auto"/>
        <w:rPr>
          <w:b/>
          <w:sz w:val="22"/>
          <w:szCs w:val="22"/>
        </w:rPr>
      </w:pPr>
    </w:p>
    <w:p w14:paraId="649F8B00" w14:textId="77777777" w:rsidR="004C1FFC" w:rsidRDefault="004C1FFC" w:rsidP="0032784D">
      <w:pPr>
        <w:tabs>
          <w:tab w:val="left" w:pos="7920"/>
        </w:tabs>
        <w:spacing w:line="276" w:lineRule="auto"/>
        <w:rPr>
          <w:b/>
          <w:sz w:val="22"/>
          <w:szCs w:val="22"/>
        </w:rPr>
      </w:pPr>
    </w:p>
    <w:p w14:paraId="5935A7A7" w14:textId="77777777" w:rsidR="004C1FFC" w:rsidRDefault="004C1FFC" w:rsidP="0032784D">
      <w:pPr>
        <w:tabs>
          <w:tab w:val="left" w:pos="7920"/>
        </w:tabs>
        <w:spacing w:line="276" w:lineRule="auto"/>
        <w:rPr>
          <w:b/>
          <w:sz w:val="22"/>
          <w:szCs w:val="22"/>
        </w:rPr>
      </w:pPr>
    </w:p>
    <w:p w14:paraId="049EAC08" w14:textId="57A467F9" w:rsidR="00B055E2" w:rsidRDefault="00B055E2" w:rsidP="0032784D">
      <w:pPr>
        <w:tabs>
          <w:tab w:val="left" w:pos="7920"/>
        </w:tabs>
        <w:spacing w:line="276" w:lineRule="auto"/>
        <w:rPr>
          <w:b/>
          <w:sz w:val="22"/>
          <w:szCs w:val="22"/>
        </w:rPr>
      </w:pPr>
      <w:r w:rsidRPr="00DA3AE2">
        <w:rPr>
          <w:b/>
          <w:sz w:val="22"/>
          <w:szCs w:val="22"/>
        </w:rPr>
        <w:lastRenderedPageBreak/>
        <w:t>MACC 1</w:t>
      </w:r>
    </w:p>
    <w:p w14:paraId="24F976CD" w14:textId="114F6813" w:rsidR="00482BC0" w:rsidRDefault="00482BC0" w:rsidP="0032784D">
      <w:pPr>
        <w:tabs>
          <w:tab w:val="left" w:pos="7920"/>
        </w:tabs>
        <w:spacing w:line="276" w:lineRule="auto"/>
        <w:rPr>
          <w:b/>
          <w:sz w:val="22"/>
          <w:szCs w:val="22"/>
        </w:rPr>
      </w:pPr>
    </w:p>
    <w:p w14:paraId="2E584CF6" w14:textId="5F62EE25" w:rsidR="00482BC0" w:rsidRDefault="00482BC0" w:rsidP="0032784D">
      <w:pPr>
        <w:tabs>
          <w:tab w:val="left" w:pos="7920"/>
        </w:tabs>
        <w:spacing w:line="276" w:lineRule="auto"/>
        <w:rPr>
          <w:bCs/>
          <w:sz w:val="22"/>
          <w:szCs w:val="22"/>
        </w:rPr>
      </w:pPr>
      <w:r w:rsidRPr="00482BC0">
        <w:rPr>
          <w:bCs/>
          <w:sz w:val="22"/>
          <w:szCs w:val="22"/>
        </w:rPr>
        <w:t xml:space="preserve">The scenario developed for this MACC includes all mitigation measures </w:t>
      </w:r>
      <w:proofErr w:type="gramStart"/>
      <w:r w:rsidRPr="00482BC0">
        <w:rPr>
          <w:bCs/>
          <w:sz w:val="22"/>
          <w:szCs w:val="22"/>
        </w:rPr>
        <w:t>with the exception of</w:t>
      </w:r>
      <w:proofErr w:type="gramEnd"/>
      <w:r w:rsidRPr="00482BC0">
        <w:rPr>
          <w:bCs/>
          <w:sz w:val="22"/>
          <w:szCs w:val="22"/>
        </w:rPr>
        <w:t xml:space="preserve"> washing of </w:t>
      </w:r>
      <w:r w:rsidR="005B7E1D" w:rsidRPr="00482BC0">
        <w:rPr>
          <w:bCs/>
          <w:sz w:val="22"/>
          <w:szCs w:val="22"/>
        </w:rPr>
        <w:t>hard standings</w:t>
      </w:r>
      <w:r w:rsidRPr="00482BC0">
        <w:rPr>
          <w:bCs/>
          <w:sz w:val="22"/>
          <w:szCs w:val="22"/>
        </w:rPr>
        <w:t xml:space="preserve"> with increased frequency of scraping</w:t>
      </w:r>
      <w:r w:rsidR="00A67F9D">
        <w:rPr>
          <w:bCs/>
          <w:sz w:val="22"/>
          <w:szCs w:val="22"/>
        </w:rPr>
        <w:t xml:space="preserve">. </w:t>
      </w:r>
      <w:r w:rsidRPr="00482BC0">
        <w:rPr>
          <w:bCs/>
          <w:sz w:val="22"/>
          <w:szCs w:val="22"/>
        </w:rPr>
        <w:t xml:space="preserve">Assumptions were made regarding uptake rates based on what could potentially be achieved in a </w:t>
      </w:r>
      <w:proofErr w:type="gramStart"/>
      <w:r w:rsidRPr="00482BC0">
        <w:rPr>
          <w:bCs/>
          <w:sz w:val="22"/>
          <w:szCs w:val="22"/>
        </w:rPr>
        <w:t>5</w:t>
      </w:r>
      <w:r w:rsidR="005B7E1D">
        <w:rPr>
          <w:bCs/>
          <w:sz w:val="22"/>
          <w:szCs w:val="22"/>
        </w:rPr>
        <w:t xml:space="preserve"> to </w:t>
      </w:r>
      <w:r w:rsidRPr="00482BC0">
        <w:rPr>
          <w:bCs/>
          <w:sz w:val="22"/>
          <w:szCs w:val="22"/>
        </w:rPr>
        <w:t>10 year</w:t>
      </w:r>
      <w:proofErr w:type="gramEnd"/>
      <w:r w:rsidRPr="00482BC0">
        <w:rPr>
          <w:bCs/>
          <w:sz w:val="22"/>
          <w:szCs w:val="22"/>
        </w:rPr>
        <w:t xml:space="preserve"> period within Northern Ireland using the NARSES model that was modelled in 2018.</w:t>
      </w:r>
      <w:r w:rsidRPr="00482BC0">
        <w:t xml:space="preserve"> </w:t>
      </w:r>
      <w:r w:rsidR="00A67F9D">
        <w:rPr>
          <w:bCs/>
          <w:sz w:val="22"/>
          <w:szCs w:val="22"/>
        </w:rPr>
        <w:t xml:space="preserve">Details of the mitigation measures implemented in MACC 1, their implementation rate, and the upfront capital outlay required are shown </w:t>
      </w:r>
      <w:r w:rsidR="008C79E7">
        <w:rPr>
          <w:bCs/>
          <w:sz w:val="22"/>
          <w:szCs w:val="22"/>
        </w:rPr>
        <w:t>in Table X</w:t>
      </w:r>
      <w:r w:rsidR="00A67F9D">
        <w:rPr>
          <w:bCs/>
          <w:sz w:val="22"/>
          <w:szCs w:val="22"/>
        </w:rPr>
        <w:t>.</w:t>
      </w:r>
      <w:r w:rsidR="008C79E7">
        <w:rPr>
          <w:bCs/>
          <w:sz w:val="22"/>
          <w:szCs w:val="22"/>
        </w:rPr>
        <w:t xml:space="preserve"> The reductions in ammonia achieved by MACC 1 are shown in Table X.</w:t>
      </w:r>
    </w:p>
    <w:p w14:paraId="18D57E71" w14:textId="7B8080B1" w:rsidR="008C79E7" w:rsidRDefault="008C79E7" w:rsidP="0032784D">
      <w:pPr>
        <w:tabs>
          <w:tab w:val="left" w:pos="7920"/>
        </w:tabs>
        <w:spacing w:line="276" w:lineRule="auto"/>
        <w:rPr>
          <w:bCs/>
          <w:sz w:val="22"/>
          <w:szCs w:val="22"/>
        </w:rPr>
      </w:pPr>
    </w:p>
    <w:p w14:paraId="0BD5F9EB" w14:textId="3D374CA6" w:rsidR="008C79E7" w:rsidRDefault="008C79E7" w:rsidP="0032784D">
      <w:pPr>
        <w:tabs>
          <w:tab w:val="left" w:pos="7920"/>
        </w:tabs>
        <w:spacing w:line="276" w:lineRule="auto"/>
        <w:jc w:val="center"/>
        <w:rPr>
          <w:bCs/>
          <w:sz w:val="22"/>
          <w:szCs w:val="22"/>
        </w:rPr>
      </w:pPr>
      <w:bookmarkStart w:id="13" w:name="_Hlk117858393"/>
      <w:r>
        <w:rPr>
          <w:bCs/>
          <w:sz w:val="22"/>
          <w:szCs w:val="22"/>
        </w:rPr>
        <w:t xml:space="preserve">Table X Summary of MACC </w:t>
      </w:r>
      <w:r w:rsidR="00256013">
        <w:rPr>
          <w:bCs/>
          <w:sz w:val="22"/>
          <w:szCs w:val="22"/>
        </w:rPr>
        <w:t xml:space="preserve">1 </w:t>
      </w:r>
      <w:r>
        <w:rPr>
          <w:bCs/>
          <w:sz w:val="22"/>
          <w:szCs w:val="22"/>
        </w:rPr>
        <w:t>ammonia reductions and cost.</w:t>
      </w:r>
    </w:p>
    <w:bookmarkEnd w:id="13"/>
    <w:p w14:paraId="5AB47EE3" w14:textId="77777777" w:rsidR="008C79E7" w:rsidRDefault="008C79E7" w:rsidP="0032784D">
      <w:pPr>
        <w:tabs>
          <w:tab w:val="left" w:pos="7920"/>
        </w:tabs>
        <w:spacing w:line="276" w:lineRule="auto"/>
        <w:jc w:val="center"/>
        <w:rPr>
          <w:noProof/>
        </w:rPr>
      </w:pPr>
    </w:p>
    <w:p w14:paraId="79BF3E69" w14:textId="5D59D7B1" w:rsidR="008C79E7" w:rsidRDefault="008C79E7" w:rsidP="0032784D">
      <w:pPr>
        <w:tabs>
          <w:tab w:val="left" w:pos="7920"/>
        </w:tabs>
        <w:spacing w:line="276" w:lineRule="auto"/>
        <w:jc w:val="center"/>
        <w:rPr>
          <w:bCs/>
          <w:sz w:val="22"/>
          <w:szCs w:val="22"/>
        </w:rPr>
      </w:pPr>
      <w:r>
        <w:rPr>
          <w:noProof/>
        </w:rPr>
        <w:drawing>
          <wp:inline distT="0" distB="0" distL="0" distR="0" wp14:anchorId="7AB70BE4" wp14:editId="7AE5CF97">
            <wp:extent cx="5286375" cy="847725"/>
            <wp:effectExtent l="0" t="0" r="0"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11"/>
                    <a:srcRect l="16815" t="48240" r="45089" b="41985"/>
                    <a:stretch/>
                  </pic:blipFill>
                  <pic:spPr bwMode="auto">
                    <a:xfrm>
                      <a:off x="0" y="0"/>
                      <a:ext cx="5301477" cy="850147"/>
                    </a:xfrm>
                    <a:prstGeom prst="rect">
                      <a:avLst/>
                    </a:prstGeom>
                    <a:ln>
                      <a:noFill/>
                    </a:ln>
                    <a:extLst>
                      <a:ext uri="{53640926-AAD7-44D8-BBD7-CCE9431645EC}">
                        <a14:shadowObscured xmlns:a14="http://schemas.microsoft.com/office/drawing/2010/main"/>
                      </a:ext>
                    </a:extLst>
                  </pic:spPr>
                </pic:pic>
              </a:graphicData>
            </a:graphic>
          </wp:inline>
        </w:drawing>
      </w:r>
    </w:p>
    <w:p w14:paraId="42A23F2E" w14:textId="655E9CFA" w:rsidR="008C79E7" w:rsidRDefault="008C79E7" w:rsidP="0032784D">
      <w:pPr>
        <w:tabs>
          <w:tab w:val="left" w:pos="7920"/>
        </w:tabs>
        <w:spacing w:line="276" w:lineRule="auto"/>
        <w:rPr>
          <w:bCs/>
          <w:sz w:val="22"/>
          <w:szCs w:val="22"/>
        </w:rPr>
      </w:pPr>
    </w:p>
    <w:p w14:paraId="79B917C8" w14:textId="4CD24240" w:rsidR="008C79E7" w:rsidRDefault="008C79E7" w:rsidP="0032784D">
      <w:pPr>
        <w:tabs>
          <w:tab w:val="left" w:pos="7920"/>
        </w:tabs>
        <w:spacing w:line="276" w:lineRule="auto"/>
        <w:rPr>
          <w:bCs/>
          <w:sz w:val="22"/>
          <w:szCs w:val="22"/>
        </w:rPr>
      </w:pPr>
    </w:p>
    <w:p w14:paraId="39446EFC" w14:textId="11629C4E" w:rsidR="008C79E7" w:rsidRDefault="008C79E7" w:rsidP="0032784D">
      <w:pPr>
        <w:tabs>
          <w:tab w:val="left" w:pos="7920"/>
        </w:tabs>
        <w:spacing w:line="276" w:lineRule="auto"/>
        <w:rPr>
          <w:bCs/>
          <w:sz w:val="22"/>
          <w:szCs w:val="22"/>
        </w:rPr>
      </w:pPr>
    </w:p>
    <w:p w14:paraId="5032FC23" w14:textId="11241AE8" w:rsidR="001E1CF0" w:rsidRDefault="001E1CF0" w:rsidP="0032784D">
      <w:pPr>
        <w:pStyle w:val="Default"/>
        <w:spacing w:line="276" w:lineRule="auto"/>
        <w:rPr>
          <w:rFonts w:ascii="Arial" w:hAnsi="Arial" w:cs="Arial"/>
        </w:rPr>
      </w:pPr>
      <w:r>
        <w:rPr>
          <w:rFonts w:ascii="Arial" w:hAnsi="Arial" w:cs="Arial"/>
        </w:rPr>
        <w:tab/>
        <w:t>Table 4. MACC1 details.</w:t>
      </w:r>
    </w:p>
    <w:tbl>
      <w:tblPr>
        <w:tblW w:w="7797" w:type="dxa"/>
        <w:jc w:val="center"/>
        <w:tblLook w:val="04A0" w:firstRow="1" w:lastRow="0" w:firstColumn="1" w:lastColumn="0" w:noHBand="0" w:noVBand="1"/>
      </w:tblPr>
      <w:tblGrid>
        <w:gridCol w:w="1107"/>
        <w:gridCol w:w="2721"/>
        <w:gridCol w:w="3969"/>
      </w:tblGrid>
      <w:tr w:rsidR="00A1662D" w:rsidRPr="00A67F9D" w14:paraId="73DB2430" w14:textId="77777777" w:rsidTr="00A1662D">
        <w:trPr>
          <w:trHeight w:val="855"/>
          <w:jc w:val="center"/>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E3CA" w14:textId="34E0A26A" w:rsidR="00A1662D" w:rsidRPr="00A67F9D" w:rsidRDefault="00A1662D" w:rsidP="0032784D">
            <w:pPr>
              <w:spacing w:line="276" w:lineRule="auto"/>
              <w:jc w:val="center"/>
              <w:rPr>
                <w:color w:val="000000"/>
                <w:sz w:val="22"/>
                <w:szCs w:val="22"/>
              </w:rPr>
            </w:pPr>
            <w:r>
              <w:rPr>
                <w:color w:val="000000"/>
                <w:sz w:val="22"/>
                <w:szCs w:val="22"/>
              </w:rPr>
              <w:t>MACC 1</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62EBA881" w14:textId="77777777" w:rsidR="00A1662D" w:rsidRPr="00A67F9D" w:rsidRDefault="00A1662D" w:rsidP="0032784D">
            <w:pPr>
              <w:spacing w:line="276" w:lineRule="auto"/>
              <w:rPr>
                <w:color w:val="000000"/>
                <w:sz w:val="22"/>
                <w:szCs w:val="22"/>
              </w:rPr>
            </w:pPr>
            <w:r w:rsidRPr="00A67F9D">
              <w:rPr>
                <w:color w:val="000000"/>
                <w:sz w:val="22"/>
                <w:szCs w:val="22"/>
              </w:rPr>
              <w:t>Mitigation measures implemented</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5AC3AD4" w14:textId="77777777" w:rsidR="00A1662D" w:rsidRPr="00A67F9D" w:rsidRDefault="00A1662D" w:rsidP="0032784D">
            <w:pPr>
              <w:spacing w:line="276" w:lineRule="auto"/>
              <w:rPr>
                <w:color w:val="000000"/>
                <w:sz w:val="22"/>
                <w:szCs w:val="22"/>
              </w:rPr>
            </w:pPr>
            <w:r w:rsidRPr="00A67F9D">
              <w:rPr>
                <w:color w:val="000000"/>
                <w:sz w:val="22"/>
                <w:szCs w:val="22"/>
              </w:rPr>
              <w:t>Implementation rate</w:t>
            </w:r>
          </w:p>
        </w:tc>
      </w:tr>
      <w:tr w:rsidR="00A1662D" w:rsidRPr="00A67F9D" w14:paraId="479CAD25"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39082845" w14:textId="77777777" w:rsidR="00A1662D" w:rsidRPr="00A67F9D" w:rsidRDefault="00A1662D" w:rsidP="0032784D">
            <w:pPr>
              <w:spacing w:line="276" w:lineRule="auto"/>
              <w:jc w:val="center"/>
              <w:rPr>
                <w:color w:val="000000"/>
                <w:sz w:val="22"/>
                <w:szCs w:val="22"/>
              </w:rPr>
            </w:pPr>
            <w:r w:rsidRPr="00A67F9D">
              <w:rPr>
                <w:color w:val="000000"/>
                <w:sz w:val="22"/>
                <w:szCs w:val="22"/>
              </w:rPr>
              <w:t>1</w:t>
            </w:r>
          </w:p>
        </w:tc>
        <w:tc>
          <w:tcPr>
            <w:tcW w:w="2721" w:type="dxa"/>
            <w:tcBorders>
              <w:top w:val="nil"/>
              <w:left w:val="nil"/>
              <w:bottom w:val="single" w:sz="4" w:space="0" w:color="auto"/>
              <w:right w:val="single" w:sz="4" w:space="0" w:color="auto"/>
            </w:tcBorders>
            <w:shd w:val="clear" w:color="auto" w:fill="auto"/>
            <w:noWrap/>
            <w:vAlign w:val="center"/>
            <w:hideMark/>
          </w:tcPr>
          <w:p w14:paraId="08FDA906" w14:textId="77777777" w:rsidR="00A1662D" w:rsidRPr="00A67F9D" w:rsidRDefault="00A1662D" w:rsidP="0032784D">
            <w:pPr>
              <w:spacing w:line="276" w:lineRule="auto"/>
              <w:rPr>
                <w:color w:val="000000"/>
                <w:sz w:val="22"/>
                <w:szCs w:val="22"/>
              </w:rPr>
            </w:pPr>
            <w:r w:rsidRPr="00A67F9D">
              <w:rPr>
                <w:color w:val="000000"/>
                <w:sz w:val="22"/>
                <w:szCs w:val="22"/>
              </w:rPr>
              <w:t>Extended grazing</w:t>
            </w:r>
          </w:p>
        </w:tc>
        <w:tc>
          <w:tcPr>
            <w:tcW w:w="3969" w:type="dxa"/>
            <w:tcBorders>
              <w:top w:val="nil"/>
              <w:left w:val="nil"/>
              <w:bottom w:val="single" w:sz="4" w:space="0" w:color="auto"/>
              <w:right w:val="single" w:sz="4" w:space="0" w:color="auto"/>
            </w:tcBorders>
            <w:shd w:val="clear" w:color="auto" w:fill="auto"/>
            <w:noWrap/>
            <w:vAlign w:val="center"/>
            <w:hideMark/>
          </w:tcPr>
          <w:p w14:paraId="064A0960" w14:textId="77777777" w:rsidR="00A1662D" w:rsidRPr="00A67F9D" w:rsidRDefault="00A1662D" w:rsidP="0032784D">
            <w:pPr>
              <w:spacing w:line="276" w:lineRule="auto"/>
              <w:rPr>
                <w:color w:val="000000"/>
                <w:sz w:val="22"/>
                <w:szCs w:val="22"/>
              </w:rPr>
            </w:pPr>
            <w:r w:rsidRPr="00A67F9D">
              <w:rPr>
                <w:color w:val="000000"/>
                <w:sz w:val="22"/>
                <w:szCs w:val="22"/>
              </w:rPr>
              <w:t>100% implemented for all cattle; 2 weeks additional grazing</w:t>
            </w:r>
          </w:p>
        </w:tc>
      </w:tr>
      <w:tr w:rsidR="00A1662D" w:rsidRPr="00A67F9D" w14:paraId="5D598130"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60AB41E0" w14:textId="77777777" w:rsidR="00A1662D" w:rsidRPr="00A67F9D" w:rsidRDefault="00A1662D" w:rsidP="0032784D">
            <w:pPr>
              <w:spacing w:line="276" w:lineRule="auto"/>
              <w:jc w:val="center"/>
              <w:rPr>
                <w:color w:val="000000"/>
                <w:sz w:val="22"/>
                <w:szCs w:val="22"/>
              </w:rPr>
            </w:pPr>
            <w:r w:rsidRPr="00A67F9D">
              <w:rPr>
                <w:color w:val="000000"/>
                <w:sz w:val="22"/>
                <w:szCs w:val="22"/>
              </w:rPr>
              <w:t>2</w:t>
            </w:r>
          </w:p>
        </w:tc>
        <w:tc>
          <w:tcPr>
            <w:tcW w:w="2721" w:type="dxa"/>
            <w:tcBorders>
              <w:top w:val="nil"/>
              <w:left w:val="nil"/>
              <w:bottom w:val="single" w:sz="4" w:space="0" w:color="auto"/>
              <w:right w:val="single" w:sz="4" w:space="0" w:color="auto"/>
            </w:tcBorders>
            <w:shd w:val="clear" w:color="auto" w:fill="auto"/>
            <w:vAlign w:val="center"/>
            <w:hideMark/>
          </w:tcPr>
          <w:p w14:paraId="250B1B9F" w14:textId="77777777" w:rsidR="00A1662D" w:rsidRPr="00A67F9D" w:rsidRDefault="00A1662D" w:rsidP="0032784D">
            <w:pPr>
              <w:spacing w:line="276" w:lineRule="auto"/>
              <w:rPr>
                <w:color w:val="000000"/>
                <w:sz w:val="22"/>
                <w:szCs w:val="22"/>
              </w:rPr>
            </w:pPr>
            <w:r w:rsidRPr="00A67F9D">
              <w:rPr>
                <w:color w:val="000000"/>
                <w:sz w:val="22"/>
                <w:szCs w:val="22"/>
              </w:rPr>
              <w:t>Lower CP diets for livestock</w:t>
            </w:r>
          </w:p>
        </w:tc>
        <w:tc>
          <w:tcPr>
            <w:tcW w:w="3969" w:type="dxa"/>
            <w:tcBorders>
              <w:top w:val="nil"/>
              <w:left w:val="nil"/>
              <w:bottom w:val="single" w:sz="4" w:space="0" w:color="auto"/>
              <w:right w:val="single" w:sz="4" w:space="0" w:color="auto"/>
            </w:tcBorders>
            <w:shd w:val="clear" w:color="auto" w:fill="auto"/>
            <w:noWrap/>
            <w:vAlign w:val="center"/>
            <w:hideMark/>
          </w:tcPr>
          <w:p w14:paraId="362F7628" w14:textId="77777777" w:rsidR="00A1662D" w:rsidRPr="00A67F9D" w:rsidRDefault="00A1662D" w:rsidP="0032784D">
            <w:pPr>
              <w:spacing w:line="276" w:lineRule="auto"/>
              <w:rPr>
                <w:color w:val="000000"/>
                <w:sz w:val="22"/>
                <w:szCs w:val="22"/>
              </w:rPr>
            </w:pPr>
            <w:r w:rsidRPr="00A67F9D">
              <w:rPr>
                <w:color w:val="000000"/>
                <w:sz w:val="22"/>
                <w:szCs w:val="22"/>
              </w:rPr>
              <w:t xml:space="preserve">75% of dairy, beef, </w:t>
            </w:r>
            <w:proofErr w:type="gramStart"/>
            <w:r w:rsidRPr="00A67F9D">
              <w:rPr>
                <w:color w:val="000000"/>
                <w:sz w:val="22"/>
                <w:szCs w:val="22"/>
              </w:rPr>
              <w:t>pig</w:t>
            </w:r>
            <w:proofErr w:type="gramEnd"/>
            <w:r w:rsidRPr="00A67F9D">
              <w:rPr>
                <w:color w:val="000000"/>
                <w:sz w:val="22"/>
                <w:szCs w:val="22"/>
              </w:rPr>
              <w:t xml:space="preserve"> and poultry associated with low CP diets</w:t>
            </w:r>
          </w:p>
        </w:tc>
      </w:tr>
      <w:tr w:rsidR="00A1662D" w:rsidRPr="00A67F9D" w14:paraId="3304D4A7"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4DBE092B" w14:textId="77777777" w:rsidR="00A1662D" w:rsidRPr="00A67F9D" w:rsidRDefault="00A1662D" w:rsidP="0032784D">
            <w:pPr>
              <w:spacing w:line="276" w:lineRule="auto"/>
              <w:jc w:val="center"/>
              <w:rPr>
                <w:color w:val="000000"/>
                <w:sz w:val="22"/>
                <w:szCs w:val="22"/>
              </w:rPr>
            </w:pPr>
            <w:r w:rsidRPr="00A67F9D">
              <w:rPr>
                <w:color w:val="000000"/>
                <w:sz w:val="22"/>
                <w:szCs w:val="22"/>
              </w:rPr>
              <w:t>3</w:t>
            </w:r>
          </w:p>
        </w:tc>
        <w:tc>
          <w:tcPr>
            <w:tcW w:w="2721" w:type="dxa"/>
            <w:tcBorders>
              <w:top w:val="nil"/>
              <w:left w:val="nil"/>
              <w:bottom w:val="single" w:sz="4" w:space="0" w:color="auto"/>
              <w:right w:val="single" w:sz="4" w:space="0" w:color="auto"/>
            </w:tcBorders>
            <w:shd w:val="clear" w:color="auto" w:fill="auto"/>
            <w:vAlign w:val="center"/>
            <w:hideMark/>
          </w:tcPr>
          <w:p w14:paraId="0E72A4B2" w14:textId="77777777" w:rsidR="00A1662D" w:rsidRPr="00A67F9D" w:rsidRDefault="00A1662D" w:rsidP="0032784D">
            <w:pPr>
              <w:spacing w:line="276" w:lineRule="auto"/>
              <w:rPr>
                <w:color w:val="000000"/>
                <w:sz w:val="22"/>
                <w:szCs w:val="22"/>
              </w:rPr>
            </w:pPr>
            <w:r w:rsidRPr="00A67F9D">
              <w:rPr>
                <w:color w:val="000000"/>
                <w:sz w:val="22"/>
                <w:szCs w:val="22"/>
              </w:rPr>
              <w:t xml:space="preserve">Genetic improvement for cattle, </w:t>
            </w:r>
            <w:proofErr w:type="gramStart"/>
            <w:r w:rsidRPr="00A67F9D">
              <w:rPr>
                <w:color w:val="000000"/>
                <w:sz w:val="22"/>
                <w:szCs w:val="22"/>
              </w:rPr>
              <w:t>pigs</w:t>
            </w:r>
            <w:proofErr w:type="gramEnd"/>
            <w:r w:rsidRPr="00A67F9D">
              <w:rPr>
                <w:color w:val="000000"/>
                <w:sz w:val="22"/>
                <w:szCs w:val="22"/>
              </w:rPr>
              <w:t xml:space="preserve"> and poultry</w:t>
            </w:r>
          </w:p>
        </w:tc>
        <w:tc>
          <w:tcPr>
            <w:tcW w:w="3969" w:type="dxa"/>
            <w:tcBorders>
              <w:top w:val="nil"/>
              <w:left w:val="nil"/>
              <w:bottom w:val="single" w:sz="4" w:space="0" w:color="auto"/>
              <w:right w:val="single" w:sz="4" w:space="0" w:color="auto"/>
            </w:tcBorders>
            <w:shd w:val="clear" w:color="auto" w:fill="auto"/>
            <w:noWrap/>
            <w:vAlign w:val="center"/>
            <w:hideMark/>
          </w:tcPr>
          <w:p w14:paraId="5F24ED9F" w14:textId="77777777" w:rsidR="00A1662D" w:rsidRPr="00A67F9D" w:rsidRDefault="00A1662D" w:rsidP="0032784D">
            <w:pPr>
              <w:spacing w:line="276" w:lineRule="auto"/>
              <w:rPr>
                <w:color w:val="000000"/>
                <w:sz w:val="22"/>
                <w:szCs w:val="22"/>
              </w:rPr>
            </w:pPr>
            <w:r w:rsidRPr="00A67F9D">
              <w:rPr>
                <w:color w:val="000000"/>
                <w:sz w:val="22"/>
                <w:szCs w:val="22"/>
              </w:rPr>
              <w:t>50% of cattle, 75% of pigs and poultry; 5% reduction in N excretion</w:t>
            </w:r>
          </w:p>
        </w:tc>
      </w:tr>
      <w:tr w:rsidR="00A1662D" w:rsidRPr="00A67F9D" w14:paraId="62FB8C0C" w14:textId="77777777" w:rsidTr="00A1662D">
        <w:trPr>
          <w:trHeight w:val="31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5B5EDEA9" w14:textId="77777777" w:rsidR="00A1662D" w:rsidRPr="00A67F9D" w:rsidRDefault="00A1662D" w:rsidP="0032784D">
            <w:pPr>
              <w:spacing w:line="276" w:lineRule="auto"/>
              <w:jc w:val="center"/>
              <w:rPr>
                <w:color w:val="000000"/>
                <w:sz w:val="22"/>
                <w:szCs w:val="22"/>
              </w:rPr>
            </w:pPr>
            <w:r w:rsidRPr="00A67F9D">
              <w:rPr>
                <w:color w:val="000000"/>
                <w:sz w:val="22"/>
                <w:szCs w:val="22"/>
              </w:rPr>
              <w:t>4</w:t>
            </w:r>
          </w:p>
        </w:tc>
        <w:tc>
          <w:tcPr>
            <w:tcW w:w="2721" w:type="dxa"/>
            <w:tcBorders>
              <w:top w:val="nil"/>
              <w:left w:val="nil"/>
              <w:bottom w:val="single" w:sz="4" w:space="0" w:color="auto"/>
              <w:right w:val="single" w:sz="4" w:space="0" w:color="auto"/>
            </w:tcBorders>
            <w:shd w:val="clear" w:color="auto" w:fill="auto"/>
            <w:noWrap/>
            <w:vAlign w:val="center"/>
            <w:hideMark/>
          </w:tcPr>
          <w:p w14:paraId="6190EAFC" w14:textId="77777777" w:rsidR="00A1662D" w:rsidRPr="00A67F9D" w:rsidRDefault="00A1662D" w:rsidP="0032784D">
            <w:pPr>
              <w:spacing w:line="276" w:lineRule="auto"/>
              <w:rPr>
                <w:color w:val="000000"/>
                <w:sz w:val="22"/>
                <w:szCs w:val="22"/>
              </w:rPr>
            </w:pPr>
            <w:r w:rsidRPr="00A67F9D">
              <w:rPr>
                <w:color w:val="000000"/>
                <w:sz w:val="22"/>
                <w:szCs w:val="22"/>
              </w:rPr>
              <w:t>Stabilised urea</w:t>
            </w:r>
          </w:p>
        </w:tc>
        <w:tc>
          <w:tcPr>
            <w:tcW w:w="3969" w:type="dxa"/>
            <w:tcBorders>
              <w:top w:val="nil"/>
              <w:left w:val="nil"/>
              <w:bottom w:val="single" w:sz="4" w:space="0" w:color="auto"/>
              <w:right w:val="single" w:sz="4" w:space="0" w:color="auto"/>
            </w:tcBorders>
            <w:shd w:val="clear" w:color="auto" w:fill="auto"/>
            <w:noWrap/>
            <w:vAlign w:val="center"/>
            <w:hideMark/>
          </w:tcPr>
          <w:p w14:paraId="0F93AD7A" w14:textId="77777777" w:rsidR="00A1662D" w:rsidRPr="00A67F9D" w:rsidRDefault="00A1662D" w:rsidP="0032784D">
            <w:pPr>
              <w:spacing w:line="276" w:lineRule="auto"/>
              <w:rPr>
                <w:color w:val="000000"/>
                <w:sz w:val="22"/>
                <w:szCs w:val="22"/>
              </w:rPr>
            </w:pPr>
            <w:r w:rsidRPr="00A67F9D">
              <w:rPr>
                <w:color w:val="000000"/>
                <w:sz w:val="22"/>
                <w:szCs w:val="22"/>
              </w:rPr>
              <w:t>100% of urea</w:t>
            </w:r>
          </w:p>
        </w:tc>
      </w:tr>
      <w:tr w:rsidR="00A1662D" w:rsidRPr="00A67F9D" w14:paraId="5B3ED688" w14:textId="77777777" w:rsidTr="00A1662D">
        <w:trPr>
          <w:trHeight w:val="31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673896A7" w14:textId="77777777" w:rsidR="00A1662D" w:rsidRPr="00A67F9D" w:rsidRDefault="00A1662D" w:rsidP="0032784D">
            <w:pPr>
              <w:spacing w:line="276" w:lineRule="auto"/>
              <w:jc w:val="center"/>
              <w:rPr>
                <w:color w:val="000000"/>
                <w:sz w:val="22"/>
                <w:szCs w:val="22"/>
              </w:rPr>
            </w:pPr>
            <w:r w:rsidRPr="00A67F9D">
              <w:rPr>
                <w:color w:val="000000"/>
                <w:sz w:val="22"/>
                <w:szCs w:val="22"/>
              </w:rPr>
              <w:t>5</w:t>
            </w:r>
          </w:p>
        </w:tc>
        <w:tc>
          <w:tcPr>
            <w:tcW w:w="2721" w:type="dxa"/>
            <w:tcBorders>
              <w:top w:val="nil"/>
              <w:left w:val="nil"/>
              <w:bottom w:val="single" w:sz="4" w:space="0" w:color="auto"/>
              <w:right w:val="single" w:sz="4" w:space="0" w:color="auto"/>
            </w:tcBorders>
            <w:shd w:val="clear" w:color="auto" w:fill="auto"/>
            <w:noWrap/>
            <w:vAlign w:val="bottom"/>
            <w:hideMark/>
          </w:tcPr>
          <w:p w14:paraId="00F86CE6" w14:textId="77777777" w:rsidR="00A1662D" w:rsidRPr="00A67F9D" w:rsidRDefault="00A1662D" w:rsidP="0032784D">
            <w:pPr>
              <w:spacing w:line="276" w:lineRule="auto"/>
              <w:rPr>
                <w:color w:val="000000"/>
                <w:sz w:val="22"/>
                <w:szCs w:val="22"/>
              </w:rPr>
            </w:pPr>
            <w:r w:rsidRPr="00A67F9D">
              <w:rPr>
                <w:color w:val="000000"/>
                <w:sz w:val="22"/>
                <w:szCs w:val="22"/>
              </w:rPr>
              <w:t>Low emission slurry application</w:t>
            </w:r>
          </w:p>
        </w:tc>
        <w:tc>
          <w:tcPr>
            <w:tcW w:w="3969" w:type="dxa"/>
            <w:tcBorders>
              <w:top w:val="nil"/>
              <w:left w:val="nil"/>
              <w:bottom w:val="single" w:sz="4" w:space="0" w:color="auto"/>
              <w:right w:val="single" w:sz="4" w:space="0" w:color="auto"/>
            </w:tcBorders>
            <w:shd w:val="clear" w:color="auto" w:fill="auto"/>
            <w:noWrap/>
            <w:vAlign w:val="bottom"/>
            <w:hideMark/>
          </w:tcPr>
          <w:p w14:paraId="55765A11" w14:textId="77777777" w:rsidR="00A1662D" w:rsidRPr="00A67F9D" w:rsidRDefault="00A1662D" w:rsidP="0032784D">
            <w:pPr>
              <w:spacing w:line="276" w:lineRule="auto"/>
              <w:rPr>
                <w:color w:val="000000"/>
                <w:sz w:val="22"/>
                <w:szCs w:val="22"/>
              </w:rPr>
            </w:pPr>
            <w:r w:rsidRPr="00A67F9D">
              <w:rPr>
                <w:color w:val="000000"/>
                <w:sz w:val="22"/>
                <w:szCs w:val="22"/>
              </w:rPr>
              <w:t>45% trailing hose, 45% trailing shoe, 10% shallow injection</w:t>
            </w:r>
          </w:p>
        </w:tc>
      </w:tr>
      <w:tr w:rsidR="00A1662D" w:rsidRPr="00A67F9D" w14:paraId="3DF83A0D"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14B917E5" w14:textId="77777777" w:rsidR="00A1662D" w:rsidRPr="00A67F9D" w:rsidRDefault="00A1662D" w:rsidP="0032784D">
            <w:pPr>
              <w:spacing w:line="276" w:lineRule="auto"/>
              <w:jc w:val="center"/>
              <w:rPr>
                <w:color w:val="000000"/>
                <w:sz w:val="22"/>
                <w:szCs w:val="22"/>
              </w:rPr>
            </w:pPr>
            <w:r w:rsidRPr="00A67F9D">
              <w:rPr>
                <w:color w:val="000000"/>
                <w:sz w:val="22"/>
                <w:szCs w:val="22"/>
              </w:rPr>
              <w:t>6</w:t>
            </w:r>
          </w:p>
        </w:tc>
        <w:tc>
          <w:tcPr>
            <w:tcW w:w="2721" w:type="dxa"/>
            <w:tcBorders>
              <w:top w:val="nil"/>
              <w:left w:val="nil"/>
              <w:bottom w:val="single" w:sz="4" w:space="0" w:color="auto"/>
              <w:right w:val="single" w:sz="4" w:space="0" w:color="auto"/>
            </w:tcBorders>
            <w:shd w:val="clear" w:color="auto" w:fill="auto"/>
            <w:noWrap/>
            <w:vAlign w:val="center"/>
            <w:hideMark/>
          </w:tcPr>
          <w:p w14:paraId="1BD662AB" w14:textId="77777777" w:rsidR="00A1662D" w:rsidRPr="00A67F9D" w:rsidRDefault="00A1662D" w:rsidP="0032784D">
            <w:pPr>
              <w:spacing w:line="276" w:lineRule="auto"/>
              <w:rPr>
                <w:color w:val="000000"/>
                <w:sz w:val="22"/>
                <w:szCs w:val="22"/>
              </w:rPr>
            </w:pPr>
            <w:r w:rsidRPr="00A67F9D">
              <w:rPr>
                <w:color w:val="000000"/>
                <w:sz w:val="22"/>
                <w:szCs w:val="22"/>
              </w:rPr>
              <w:t>In-field slurry application</w:t>
            </w:r>
          </w:p>
        </w:tc>
        <w:tc>
          <w:tcPr>
            <w:tcW w:w="3969" w:type="dxa"/>
            <w:tcBorders>
              <w:top w:val="nil"/>
              <w:left w:val="nil"/>
              <w:bottom w:val="single" w:sz="4" w:space="0" w:color="auto"/>
              <w:right w:val="single" w:sz="4" w:space="0" w:color="auto"/>
            </w:tcBorders>
            <w:shd w:val="clear" w:color="auto" w:fill="auto"/>
            <w:noWrap/>
            <w:vAlign w:val="center"/>
            <w:hideMark/>
          </w:tcPr>
          <w:p w14:paraId="0A93EFA0" w14:textId="77777777" w:rsidR="00A1662D" w:rsidRPr="00A67F9D" w:rsidRDefault="00A1662D" w:rsidP="0032784D">
            <w:pPr>
              <w:spacing w:line="276" w:lineRule="auto"/>
              <w:rPr>
                <w:color w:val="000000"/>
                <w:sz w:val="22"/>
                <w:szCs w:val="22"/>
              </w:rPr>
            </w:pPr>
            <w:r w:rsidRPr="00A67F9D">
              <w:rPr>
                <w:color w:val="000000"/>
                <w:sz w:val="22"/>
                <w:szCs w:val="22"/>
              </w:rPr>
              <w:t>10% slurry applied with in-field acidification</w:t>
            </w:r>
          </w:p>
        </w:tc>
      </w:tr>
      <w:tr w:rsidR="00A1662D" w:rsidRPr="00A67F9D" w14:paraId="7318F2A9" w14:textId="77777777" w:rsidTr="00A1662D">
        <w:trPr>
          <w:trHeight w:val="34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76D7DD0F" w14:textId="77777777" w:rsidR="00A1662D" w:rsidRPr="00A67F9D" w:rsidRDefault="00A1662D" w:rsidP="0032784D">
            <w:pPr>
              <w:spacing w:line="276" w:lineRule="auto"/>
              <w:jc w:val="center"/>
              <w:rPr>
                <w:color w:val="000000"/>
                <w:sz w:val="22"/>
                <w:szCs w:val="22"/>
              </w:rPr>
            </w:pPr>
            <w:r w:rsidRPr="00A67F9D">
              <w:rPr>
                <w:color w:val="000000"/>
                <w:sz w:val="22"/>
                <w:szCs w:val="22"/>
              </w:rPr>
              <w:t>7</w:t>
            </w:r>
          </w:p>
        </w:tc>
        <w:tc>
          <w:tcPr>
            <w:tcW w:w="2721" w:type="dxa"/>
            <w:tcBorders>
              <w:top w:val="nil"/>
              <w:left w:val="nil"/>
              <w:bottom w:val="single" w:sz="4" w:space="0" w:color="auto"/>
              <w:right w:val="single" w:sz="4" w:space="0" w:color="auto"/>
            </w:tcBorders>
            <w:shd w:val="clear" w:color="auto" w:fill="auto"/>
            <w:vAlign w:val="center"/>
            <w:hideMark/>
          </w:tcPr>
          <w:p w14:paraId="52488E92" w14:textId="77777777" w:rsidR="00A1662D" w:rsidRPr="00A67F9D" w:rsidRDefault="00A1662D" w:rsidP="0032784D">
            <w:pPr>
              <w:spacing w:line="276" w:lineRule="auto"/>
              <w:rPr>
                <w:color w:val="000000"/>
                <w:sz w:val="22"/>
                <w:szCs w:val="22"/>
              </w:rPr>
            </w:pPr>
            <w:r w:rsidRPr="00A67F9D">
              <w:rPr>
                <w:color w:val="000000"/>
                <w:sz w:val="22"/>
                <w:szCs w:val="22"/>
              </w:rPr>
              <w:t>Pig and poultry housing - acid scrubbers</w:t>
            </w:r>
          </w:p>
        </w:tc>
        <w:tc>
          <w:tcPr>
            <w:tcW w:w="3969" w:type="dxa"/>
            <w:tcBorders>
              <w:top w:val="nil"/>
              <w:left w:val="nil"/>
              <w:bottom w:val="single" w:sz="4" w:space="0" w:color="auto"/>
              <w:right w:val="single" w:sz="4" w:space="0" w:color="auto"/>
            </w:tcBorders>
            <w:shd w:val="clear" w:color="auto" w:fill="auto"/>
            <w:vAlign w:val="center"/>
            <w:hideMark/>
          </w:tcPr>
          <w:p w14:paraId="44925646" w14:textId="77777777" w:rsidR="00A1662D" w:rsidRPr="00A67F9D" w:rsidRDefault="00A1662D" w:rsidP="0032784D">
            <w:pPr>
              <w:spacing w:line="276" w:lineRule="auto"/>
              <w:rPr>
                <w:color w:val="000000"/>
                <w:sz w:val="22"/>
                <w:szCs w:val="22"/>
              </w:rPr>
            </w:pPr>
            <w:r w:rsidRPr="00A67F9D">
              <w:rPr>
                <w:color w:val="000000"/>
                <w:sz w:val="22"/>
                <w:szCs w:val="22"/>
              </w:rPr>
              <w:t>75% of pig and poultry housed; replace existing measures as necessary</w:t>
            </w:r>
          </w:p>
        </w:tc>
      </w:tr>
      <w:tr w:rsidR="00A1662D" w:rsidRPr="00A67F9D" w14:paraId="36D4A112"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1F222699" w14:textId="77777777" w:rsidR="00A1662D" w:rsidRPr="00A67F9D" w:rsidRDefault="00A1662D" w:rsidP="0032784D">
            <w:pPr>
              <w:spacing w:line="276" w:lineRule="auto"/>
              <w:jc w:val="center"/>
              <w:rPr>
                <w:color w:val="000000"/>
                <w:sz w:val="22"/>
                <w:szCs w:val="22"/>
              </w:rPr>
            </w:pPr>
            <w:r w:rsidRPr="00A67F9D">
              <w:rPr>
                <w:color w:val="000000"/>
                <w:sz w:val="22"/>
                <w:szCs w:val="22"/>
              </w:rPr>
              <w:t>8</w:t>
            </w:r>
          </w:p>
        </w:tc>
        <w:tc>
          <w:tcPr>
            <w:tcW w:w="2721" w:type="dxa"/>
            <w:tcBorders>
              <w:top w:val="nil"/>
              <w:left w:val="nil"/>
              <w:bottom w:val="single" w:sz="4" w:space="0" w:color="auto"/>
              <w:right w:val="single" w:sz="4" w:space="0" w:color="auto"/>
            </w:tcBorders>
            <w:shd w:val="clear" w:color="auto" w:fill="auto"/>
            <w:noWrap/>
            <w:vAlign w:val="center"/>
            <w:hideMark/>
          </w:tcPr>
          <w:p w14:paraId="7C2F6FF4" w14:textId="77777777" w:rsidR="00A1662D" w:rsidRPr="00A67F9D" w:rsidRDefault="00A1662D" w:rsidP="0032784D">
            <w:pPr>
              <w:spacing w:line="276" w:lineRule="auto"/>
              <w:rPr>
                <w:color w:val="000000"/>
                <w:sz w:val="22"/>
                <w:szCs w:val="22"/>
              </w:rPr>
            </w:pPr>
            <w:r w:rsidRPr="00A67F9D">
              <w:rPr>
                <w:color w:val="000000"/>
                <w:sz w:val="22"/>
                <w:szCs w:val="22"/>
              </w:rPr>
              <w:t>In-house slurry acidification</w:t>
            </w:r>
          </w:p>
        </w:tc>
        <w:tc>
          <w:tcPr>
            <w:tcW w:w="3969" w:type="dxa"/>
            <w:tcBorders>
              <w:top w:val="nil"/>
              <w:left w:val="nil"/>
              <w:bottom w:val="single" w:sz="4" w:space="0" w:color="auto"/>
              <w:right w:val="single" w:sz="4" w:space="0" w:color="auto"/>
            </w:tcBorders>
            <w:shd w:val="clear" w:color="auto" w:fill="auto"/>
            <w:noWrap/>
            <w:vAlign w:val="center"/>
            <w:hideMark/>
          </w:tcPr>
          <w:p w14:paraId="42E6E292" w14:textId="77777777" w:rsidR="00A1662D" w:rsidRPr="00A67F9D" w:rsidRDefault="00A1662D" w:rsidP="0032784D">
            <w:pPr>
              <w:spacing w:line="276" w:lineRule="auto"/>
              <w:rPr>
                <w:color w:val="000000"/>
                <w:sz w:val="22"/>
                <w:szCs w:val="22"/>
              </w:rPr>
            </w:pPr>
            <w:r w:rsidRPr="00A67F9D">
              <w:rPr>
                <w:color w:val="000000"/>
                <w:sz w:val="22"/>
                <w:szCs w:val="22"/>
              </w:rPr>
              <w:t>5% dairy cattle and 5% finishing pigs</w:t>
            </w:r>
          </w:p>
        </w:tc>
      </w:tr>
      <w:tr w:rsidR="00A1662D" w:rsidRPr="00A67F9D" w14:paraId="154F8ABE"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1633EF28" w14:textId="77777777" w:rsidR="00A1662D" w:rsidRPr="00A67F9D" w:rsidRDefault="00A1662D" w:rsidP="0032784D">
            <w:pPr>
              <w:spacing w:line="276" w:lineRule="auto"/>
              <w:jc w:val="center"/>
              <w:rPr>
                <w:color w:val="000000"/>
                <w:sz w:val="22"/>
                <w:szCs w:val="22"/>
              </w:rPr>
            </w:pPr>
            <w:r w:rsidRPr="00A67F9D">
              <w:rPr>
                <w:color w:val="000000"/>
                <w:sz w:val="22"/>
                <w:szCs w:val="22"/>
              </w:rPr>
              <w:t>9</w:t>
            </w:r>
          </w:p>
        </w:tc>
        <w:tc>
          <w:tcPr>
            <w:tcW w:w="2721" w:type="dxa"/>
            <w:tcBorders>
              <w:top w:val="nil"/>
              <w:left w:val="nil"/>
              <w:bottom w:val="single" w:sz="4" w:space="0" w:color="auto"/>
              <w:right w:val="single" w:sz="4" w:space="0" w:color="auto"/>
            </w:tcBorders>
            <w:shd w:val="clear" w:color="auto" w:fill="auto"/>
            <w:noWrap/>
            <w:vAlign w:val="center"/>
            <w:hideMark/>
          </w:tcPr>
          <w:p w14:paraId="616A8D2C" w14:textId="77777777" w:rsidR="00A1662D" w:rsidRPr="00A67F9D" w:rsidRDefault="00A1662D" w:rsidP="0032784D">
            <w:pPr>
              <w:spacing w:line="276" w:lineRule="auto"/>
              <w:rPr>
                <w:color w:val="000000"/>
                <w:sz w:val="22"/>
                <w:szCs w:val="22"/>
              </w:rPr>
            </w:pPr>
            <w:r w:rsidRPr="00A67F9D">
              <w:rPr>
                <w:color w:val="000000"/>
                <w:sz w:val="22"/>
                <w:szCs w:val="22"/>
              </w:rPr>
              <w:t>Comfort slat mats - dairy cattle</w:t>
            </w:r>
          </w:p>
        </w:tc>
        <w:tc>
          <w:tcPr>
            <w:tcW w:w="3969" w:type="dxa"/>
            <w:tcBorders>
              <w:top w:val="nil"/>
              <w:left w:val="nil"/>
              <w:bottom w:val="single" w:sz="4" w:space="0" w:color="auto"/>
              <w:right w:val="single" w:sz="4" w:space="0" w:color="auto"/>
            </w:tcBorders>
            <w:shd w:val="clear" w:color="auto" w:fill="auto"/>
            <w:noWrap/>
            <w:vAlign w:val="center"/>
            <w:hideMark/>
          </w:tcPr>
          <w:p w14:paraId="4FB6C14D" w14:textId="77777777" w:rsidR="00A1662D" w:rsidRPr="00A67F9D" w:rsidRDefault="00A1662D" w:rsidP="0032784D">
            <w:pPr>
              <w:spacing w:line="276" w:lineRule="auto"/>
              <w:rPr>
                <w:color w:val="000000"/>
                <w:sz w:val="22"/>
                <w:szCs w:val="22"/>
              </w:rPr>
            </w:pPr>
            <w:r w:rsidRPr="00A67F9D">
              <w:rPr>
                <w:color w:val="000000"/>
                <w:sz w:val="22"/>
                <w:szCs w:val="22"/>
              </w:rPr>
              <w:t>30% of dairy cattle</w:t>
            </w:r>
          </w:p>
        </w:tc>
      </w:tr>
      <w:tr w:rsidR="00A1662D" w:rsidRPr="00A67F9D" w14:paraId="6D81F2A5"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278A668E" w14:textId="77777777" w:rsidR="00A1662D" w:rsidRPr="00A67F9D" w:rsidRDefault="00A1662D" w:rsidP="0032784D">
            <w:pPr>
              <w:spacing w:line="276" w:lineRule="auto"/>
              <w:jc w:val="center"/>
              <w:rPr>
                <w:color w:val="000000"/>
                <w:sz w:val="22"/>
                <w:szCs w:val="22"/>
              </w:rPr>
            </w:pPr>
            <w:r w:rsidRPr="00A67F9D">
              <w:rPr>
                <w:color w:val="000000"/>
                <w:sz w:val="22"/>
                <w:szCs w:val="22"/>
              </w:rPr>
              <w:t>10</w:t>
            </w:r>
          </w:p>
        </w:tc>
        <w:tc>
          <w:tcPr>
            <w:tcW w:w="2721" w:type="dxa"/>
            <w:tcBorders>
              <w:top w:val="nil"/>
              <w:left w:val="nil"/>
              <w:bottom w:val="single" w:sz="4" w:space="0" w:color="auto"/>
              <w:right w:val="single" w:sz="4" w:space="0" w:color="auto"/>
            </w:tcBorders>
            <w:shd w:val="clear" w:color="auto" w:fill="auto"/>
            <w:noWrap/>
            <w:vAlign w:val="center"/>
            <w:hideMark/>
          </w:tcPr>
          <w:p w14:paraId="038D0CAA" w14:textId="77777777" w:rsidR="00A1662D" w:rsidRPr="00A67F9D" w:rsidRDefault="00A1662D" w:rsidP="0032784D">
            <w:pPr>
              <w:spacing w:line="276" w:lineRule="auto"/>
              <w:rPr>
                <w:color w:val="000000"/>
                <w:sz w:val="22"/>
                <w:szCs w:val="22"/>
              </w:rPr>
            </w:pPr>
            <w:r w:rsidRPr="00A67F9D">
              <w:rPr>
                <w:color w:val="000000"/>
                <w:sz w:val="22"/>
                <w:szCs w:val="22"/>
              </w:rPr>
              <w:t>Fixed slurry store covers</w:t>
            </w:r>
          </w:p>
        </w:tc>
        <w:tc>
          <w:tcPr>
            <w:tcW w:w="3969" w:type="dxa"/>
            <w:tcBorders>
              <w:top w:val="nil"/>
              <w:left w:val="nil"/>
              <w:bottom w:val="single" w:sz="4" w:space="0" w:color="auto"/>
              <w:right w:val="single" w:sz="4" w:space="0" w:color="auto"/>
            </w:tcBorders>
            <w:shd w:val="clear" w:color="auto" w:fill="auto"/>
            <w:noWrap/>
            <w:vAlign w:val="center"/>
            <w:hideMark/>
          </w:tcPr>
          <w:p w14:paraId="552B7647" w14:textId="77777777" w:rsidR="00A1662D" w:rsidRPr="00A67F9D" w:rsidRDefault="00A1662D" w:rsidP="0032784D">
            <w:pPr>
              <w:spacing w:line="276" w:lineRule="auto"/>
              <w:rPr>
                <w:color w:val="000000"/>
                <w:sz w:val="22"/>
                <w:szCs w:val="22"/>
              </w:rPr>
            </w:pPr>
            <w:r w:rsidRPr="00A67F9D">
              <w:rPr>
                <w:color w:val="000000"/>
                <w:sz w:val="22"/>
                <w:szCs w:val="22"/>
              </w:rPr>
              <w:t>30% of above-ground slurry</w:t>
            </w:r>
          </w:p>
        </w:tc>
      </w:tr>
      <w:tr w:rsidR="00A1662D" w:rsidRPr="00A67F9D" w14:paraId="54AA5DFC" w14:textId="77777777" w:rsidTr="00A1662D">
        <w:trPr>
          <w:trHeight w:val="285"/>
          <w:jc w:val="center"/>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2D468679" w14:textId="77777777" w:rsidR="00A1662D" w:rsidRPr="00A67F9D" w:rsidRDefault="00A1662D" w:rsidP="0032784D">
            <w:pPr>
              <w:spacing w:line="276" w:lineRule="auto"/>
              <w:jc w:val="center"/>
              <w:rPr>
                <w:color w:val="000000"/>
                <w:sz w:val="22"/>
                <w:szCs w:val="22"/>
              </w:rPr>
            </w:pPr>
            <w:r w:rsidRPr="00A67F9D">
              <w:rPr>
                <w:color w:val="000000"/>
                <w:sz w:val="22"/>
                <w:szCs w:val="22"/>
              </w:rPr>
              <w:t>11</w:t>
            </w:r>
          </w:p>
        </w:tc>
        <w:tc>
          <w:tcPr>
            <w:tcW w:w="2721" w:type="dxa"/>
            <w:tcBorders>
              <w:top w:val="nil"/>
              <w:left w:val="nil"/>
              <w:bottom w:val="single" w:sz="4" w:space="0" w:color="auto"/>
              <w:right w:val="single" w:sz="4" w:space="0" w:color="auto"/>
            </w:tcBorders>
            <w:shd w:val="clear" w:color="auto" w:fill="auto"/>
            <w:noWrap/>
            <w:vAlign w:val="bottom"/>
            <w:hideMark/>
          </w:tcPr>
          <w:p w14:paraId="05A1A468" w14:textId="77777777" w:rsidR="00A1662D" w:rsidRPr="00A67F9D" w:rsidRDefault="00A1662D" w:rsidP="0032784D">
            <w:pPr>
              <w:spacing w:line="276" w:lineRule="auto"/>
              <w:rPr>
                <w:color w:val="000000"/>
                <w:sz w:val="22"/>
                <w:szCs w:val="22"/>
              </w:rPr>
            </w:pPr>
            <w:r w:rsidRPr="00A67F9D">
              <w:rPr>
                <w:color w:val="000000"/>
                <w:sz w:val="22"/>
                <w:szCs w:val="22"/>
              </w:rPr>
              <w:t>Comfort slat mats - beef cattle</w:t>
            </w:r>
          </w:p>
        </w:tc>
        <w:tc>
          <w:tcPr>
            <w:tcW w:w="3969" w:type="dxa"/>
            <w:tcBorders>
              <w:top w:val="nil"/>
              <w:left w:val="nil"/>
              <w:bottom w:val="single" w:sz="4" w:space="0" w:color="auto"/>
              <w:right w:val="single" w:sz="4" w:space="0" w:color="auto"/>
            </w:tcBorders>
            <w:shd w:val="clear" w:color="auto" w:fill="auto"/>
            <w:noWrap/>
            <w:vAlign w:val="bottom"/>
            <w:hideMark/>
          </w:tcPr>
          <w:p w14:paraId="252CD218" w14:textId="77777777" w:rsidR="00A1662D" w:rsidRPr="00A67F9D" w:rsidRDefault="00A1662D" w:rsidP="0032784D">
            <w:pPr>
              <w:spacing w:line="276" w:lineRule="auto"/>
              <w:rPr>
                <w:color w:val="000000"/>
                <w:sz w:val="22"/>
                <w:szCs w:val="22"/>
              </w:rPr>
            </w:pPr>
            <w:r w:rsidRPr="00A67F9D">
              <w:rPr>
                <w:color w:val="000000"/>
                <w:sz w:val="22"/>
                <w:szCs w:val="22"/>
              </w:rPr>
              <w:t>30% of beef cattle slurry</w:t>
            </w:r>
          </w:p>
        </w:tc>
      </w:tr>
    </w:tbl>
    <w:p w14:paraId="67017CA8" w14:textId="3F1813D9" w:rsidR="00A67F9D" w:rsidRDefault="00A67F9D" w:rsidP="0032784D">
      <w:pPr>
        <w:pStyle w:val="Default"/>
        <w:spacing w:line="276" w:lineRule="auto"/>
        <w:rPr>
          <w:rFonts w:ascii="Arial" w:hAnsi="Arial" w:cs="Arial"/>
        </w:rPr>
      </w:pPr>
    </w:p>
    <w:p w14:paraId="18B7BCF5" w14:textId="0C4C972B" w:rsidR="008C79E7" w:rsidRDefault="008C79E7" w:rsidP="0032784D">
      <w:pPr>
        <w:spacing w:line="276" w:lineRule="auto"/>
        <w:rPr>
          <w:sz w:val="22"/>
          <w:szCs w:val="22"/>
        </w:rPr>
      </w:pPr>
      <w:r>
        <w:rPr>
          <w:sz w:val="22"/>
          <w:szCs w:val="22"/>
        </w:rPr>
        <w:br w:type="page"/>
      </w:r>
    </w:p>
    <w:p w14:paraId="71500779" w14:textId="77777777" w:rsidR="00B055E2" w:rsidRPr="00DA3AE2" w:rsidRDefault="00B055E2" w:rsidP="0032784D">
      <w:pPr>
        <w:tabs>
          <w:tab w:val="left" w:pos="7920"/>
        </w:tabs>
        <w:spacing w:line="276" w:lineRule="auto"/>
        <w:rPr>
          <w:sz w:val="22"/>
          <w:szCs w:val="22"/>
        </w:rPr>
      </w:pPr>
    </w:p>
    <w:p w14:paraId="6DFC33AE" w14:textId="6D5098BE" w:rsidR="00B055E2" w:rsidRDefault="00B055E2" w:rsidP="0032784D">
      <w:pPr>
        <w:tabs>
          <w:tab w:val="left" w:pos="7920"/>
        </w:tabs>
        <w:spacing w:line="276" w:lineRule="auto"/>
        <w:rPr>
          <w:b/>
          <w:sz w:val="22"/>
          <w:szCs w:val="22"/>
        </w:rPr>
      </w:pPr>
      <w:r w:rsidRPr="00DA3AE2">
        <w:rPr>
          <w:b/>
          <w:sz w:val="22"/>
          <w:szCs w:val="22"/>
        </w:rPr>
        <w:t>MACC 2</w:t>
      </w:r>
    </w:p>
    <w:p w14:paraId="4800ADEE" w14:textId="77777777" w:rsidR="00A67F9D" w:rsidRPr="00DA3AE2" w:rsidRDefault="00A67F9D" w:rsidP="0032784D">
      <w:pPr>
        <w:tabs>
          <w:tab w:val="left" w:pos="7920"/>
        </w:tabs>
        <w:spacing w:line="276" w:lineRule="auto"/>
        <w:rPr>
          <w:b/>
          <w:sz w:val="22"/>
          <w:szCs w:val="22"/>
        </w:rPr>
      </w:pPr>
    </w:p>
    <w:p w14:paraId="20FFF75A" w14:textId="4E89DE48" w:rsidR="005B7E1D" w:rsidRDefault="00482BC0" w:rsidP="0032784D">
      <w:pPr>
        <w:autoSpaceDE w:val="0"/>
        <w:autoSpaceDN w:val="0"/>
        <w:adjustRightInd w:val="0"/>
        <w:spacing w:line="276" w:lineRule="auto"/>
        <w:rPr>
          <w:color w:val="000000"/>
          <w:sz w:val="22"/>
          <w:szCs w:val="22"/>
        </w:rPr>
      </w:pPr>
      <w:r w:rsidRPr="00A67F9D">
        <w:rPr>
          <w:color w:val="000000"/>
          <w:sz w:val="22"/>
          <w:szCs w:val="22"/>
        </w:rPr>
        <w:t>The scenario developed for this MACC focused only on the five lowest cost ammonia mitigation measures. Results of the Ammonia MACC 2 model reveal a total achievable reduction in ammonia emissions of 6.5kt NH3, costing £6.6M per annum to implement and reducing ammonia emissions by 21% compared to business as usual. However, while th</w:t>
      </w:r>
      <w:r w:rsidR="005B7E1D" w:rsidRPr="00A67F9D">
        <w:rPr>
          <w:color w:val="000000"/>
          <w:sz w:val="22"/>
          <w:szCs w:val="22"/>
        </w:rPr>
        <w:t>e</w:t>
      </w:r>
      <w:r w:rsidRPr="00A67F9D">
        <w:rPr>
          <w:color w:val="000000"/>
          <w:sz w:val="22"/>
          <w:szCs w:val="22"/>
        </w:rPr>
        <w:t xml:space="preserve"> MACC 2 scenario achieved a 21% reduction in emissions with just 5 measures, it is important to note that there may be more complexities involved in monitoring compliance of uptake of these low-cost measures. Uptake rates assumed for the following mitigation measures ar</w:t>
      </w:r>
      <w:r w:rsidR="008C79E7">
        <w:rPr>
          <w:color w:val="000000"/>
          <w:sz w:val="22"/>
          <w:szCs w:val="22"/>
        </w:rPr>
        <w:t>e shown in Table X.</w:t>
      </w:r>
    </w:p>
    <w:p w14:paraId="1A215709" w14:textId="2EEC1863" w:rsidR="008C79E7" w:rsidRDefault="008C79E7" w:rsidP="0032784D">
      <w:pPr>
        <w:autoSpaceDE w:val="0"/>
        <w:autoSpaceDN w:val="0"/>
        <w:adjustRightInd w:val="0"/>
        <w:spacing w:line="276" w:lineRule="auto"/>
        <w:rPr>
          <w:color w:val="000000"/>
          <w:sz w:val="22"/>
          <w:szCs w:val="22"/>
        </w:rPr>
      </w:pPr>
    </w:p>
    <w:p w14:paraId="3270567F" w14:textId="1AB31962" w:rsidR="0032784D" w:rsidRDefault="0032784D" w:rsidP="0032784D">
      <w:pPr>
        <w:autoSpaceDE w:val="0"/>
        <w:autoSpaceDN w:val="0"/>
        <w:adjustRightInd w:val="0"/>
        <w:spacing w:line="276" w:lineRule="auto"/>
        <w:rPr>
          <w:color w:val="000000"/>
          <w:sz w:val="22"/>
          <w:szCs w:val="22"/>
        </w:rPr>
      </w:pPr>
    </w:p>
    <w:p w14:paraId="63E196DF" w14:textId="2364F754" w:rsidR="0032784D" w:rsidRDefault="0032784D" w:rsidP="0032784D">
      <w:pPr>
        <w:autoSpaceDE w:val="0"/>
        <w:autoSpaceDN w:val="0"/>
        <w:adjustRightInd w:val="0"/>
        <w:spacing w:line="276" w:lineRule="auto"/>
        <w:rPr>
          <w:color w:val="000000"/>
          <w:sz w:val="22"/>
          <w:szCs w:val="22"/>
        </w:rPr>
      </w:pPr>
    </w:p>
    <w:p w14:paraId="737127AE" w14:textId="77777777" w:rsidR="0032784D" w:rsidRDefault="0032784D" w:rsidP="0032784D">
      <w:pPr>
        <w:autoSpaceDE w:val="0"/>
        <w:autoSpaceDN w:val="0"/>
        <w:adjustRightInd w:val="0"/>
        <w:spacing w:line="276" w:lineRule="auto"/>
        <w:rPr>
          <w:color w:val="000000"/>
          <w:sz w:val="22"/>
          <w:szCs w:val="22"/>
        </w:rPr>
      </w:pPr>
    </w:p>
    <w:p w14:paraId="4319E35E" w14:textId="27264F6B" w:rsidR="008C79E7" w:rsidRDefault="00256013" w:rsidP="0032784D">
      <w:pPr>
        <w:autoSpaceDE w:val="0"/>
        <w:autoSpaceDN w:val="0"/>
        <w:adjustRightInd w:val="0"/>
        <w:spacing w:line="276" w:lineRule="auto"/>
        <w:jc w:val="center"/>
      </w:pPr>
      <w:bookmarkStart w:id="14" w:name="_Hlk117858945"/>
      <w:r w:rsidRPr="00256013">
        <w:t xml:space="preserve">Table X Summary of MACC </w:t>
      </w:r>
      <w:r>
        <w:t xml:space="preserve">2 </w:t>
      </w:r>
      <w:r w:rsidRPr="00256013">
        <w:t>ammonia reductions and cost.</w:t>
      </w:r>
    </w:p>
    <w:bookmarkEnd w:id="14"/>
    <w:p w14:paraId="11B5E211" w14:textId="007FD4F8" w:rsidR="008C79E7" w:rsidRDefault="008C79E7" w:rsidP="0032784D">
      <w:pPr>
        <w:autoSpaceDE w:val="0"/>
        <w:autoSpaceDN w:val="0"/>
        <w:adjustRightInd w:val="0"/>
        <w:spacing w:line="276" w:lineRule="auto"/>
        <w:jc w:val="center"/>
        <w:rPr>
          <w:color w:val="000000"/>
          <w:sz w:val="22"/>
          <w:szCs w:val="22"/>
        </w:rPr>
      </w:pPr>
      <w:r w:rsidRPr="008C79E7">
        <w:rPr>
          <w:noProof/>
        </w:rPr>
        <w:drawing>
          <wp:inline distT="0" distB="0" distL="0" distR="0" wp14:anchorId="2BA5D350" wp14:editId="1841EFE3">
            <wp:extent cx="4991639" cy="962025"/>
            <wp:effectExtent l="0" t="0" r="0" b="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rotWithShape="1">
                    <a:blip r:embed="rId12"/>
                    <a:srcRect l="16220" t="39048" r="42857" b="48333"/>
                    <a:stretch/>
                  </pic:blipFill>
                  <pic:spPr bwMode="auto">
                    <a:xfrm>
                      <a:off x="0" y="0"/>
                      <a:ext cx="4997259" cy="963108"/>
                    </a:xfrm>
                    <a:prstGeom prst="rect">
                      <a:avLst/>
                    </a:prstGeom>
                    <a:ln>
                      <a:noFill/>
                    </a:ln>
                    <a:extLst>
                      <a:ext uri="{53640926-AAD7-44D8-BBD7-CCE9431645EC}">
                        <a14:shadowObscured xmlns:a14="http://schemas.microsoft.com/office/drawing/2010/main"/>
                      </a:ext>
                    </a:extLst>
                  </pic:spPr>
                </pic:pic>
              </a:graphicData>
            </a:graphic>
          </wp:inline>
        </w:drawing>
      </w:r>
    </w:p>
    <w:p w14:paraId="02F9B317" w14:textId="5FAAB250" w:rsidR="008C79E7" w:rsidRDefault="008C79E7" w:rsidP="0032784D">
      <w:pPr>
        <w:autoSpaceDE w:val="0"/>
        <w:autoSpaceDN w:val="0"/>
        <w:adjustRightInd w:val="0"/>
        <w:spacing w:line="276" w:lineRule="auto"/>
        <w:rPr>
          <w:color w:val="000000"/>
          <w:sz w:val="22"/>
          <w:szCs w:val="22"/>
        </w:rPr>
      </w:pPr>
    </w:p>
    <w:p w14:paraId="328781CD" w14:textId="77777777" w:rsidR="0032784D" w:rsidRDefault="0032784D" w:rsidP="0032784D">
      <w:pPr>
        <w:autoSpaceDE w:val="0"/>
        <w:autoSpaceDN w:val="0"/>
        <w:adjustRightInd w:val="0"/>
        <w:spacing w:line="276" w:lineRule="auto"/>
        <w:rPr>
          <w:color w:val="000000"/>
          <w:sz w:val="22"/>
          <w:szCs w:val="22"/>
        </w:rPr>
      </w:pPr>
    </w:p>
    <w:p w14:paraId="0BB8F0D7" w14:textId="5B75D3D8" w:rsidR="001E1CF0" w:rsidRPr="00A67F9D" w:rsidRDefault="001E1CF0" w:rsidP="0032784D">
      <w:pPr>
        <w:autoSpaceDE w:val="0"/>
        <w:autoSpaceDN w:val="0"/>
        <w:adjustRightInd w:val="0"/>
        <w:spacing w:line="276" w:lineRule="auto"/>
        <w:rPr>
          <w:color w:val="000000"/>
          <w:sz w:val="22"/>
          <w:szCs w:val="22"/>
        </w:rPr>
      </w:pPr>
      <w:r>
        <w:rPr>
          <w:color w:val="000000"/>
          <w:sz w:val="22"/>
          <w:szCs w:val="22"/>
        </w:rPr>
        <w:t>Table 5 MACC 2 details</w:t>
      </w:r>
      <w:r w:rsidR="008C79E7">
        <w:rPr>
          <w:color w:val="000000"/>
          <w:sz w:val="22"/>
          <w:szCs w:val="22"/>
        </w:rPr>
        <w:t>.</w:t>
      </w:r>
    </w:p>
    <w:tbl>
      <w:tblPr>
        <w:tblStyle w:val="TableGrid"/>
        <w:tblW w:w="0" w:type="auto"/>
        <w:jc w:val="center"/>
        <w:tblLook w:val="04A0" w:firstRow="1" w:lastRow="0" w:firstColumn="1" w:lastColumn="0" w:noHBand="0" w:noVBand="1"/>
      </w:tblPr>
      <w:tblGrid>
        <w:gridCol w:w="1043"/>
        <w:gridCol w:w="3635"/>
        <w:gridCol w:w="4956"/>
      </w:tblGrid>
      <w:tr w:rsidR="00A67F9D" w:rsidRPr="00A67F9D" w14:paraId="7F81A642" w14:textId="77777777" w:rsidTr="00A67F9D">
        <w:trPr>
          <w:trHeight w:val="423"/>
          <w:jc w:val="center"/>
        </w:trPr>
        <w:tc>
          <w:tcPr>
            <w:tcW w:w="1043" w:type="dxa"/>
            <w:noWrap/>
            <w:hideMark/>
          </w:tcPr>
          <w:p w14:paraId="32D365B3" w14:textId="32CFF6C8" w:rsidR="00A67F9D" w:rsidRPr="00A67F9D" w:rsidRDefault="00A67F9D" w:rsidP="0032784D">
            <w:pPr>
              <w:tabs>
                <w:tab w:val="left" w:pos="7920"/>
              </w:tabs>
              <w:spacing w:line="276" w:lineRule="auto"/>
              <w:jc w:val="center"/>
              <w:rPr>
                <w:bCs/>
                <w:sz w:val="22"/>
                <w:szCs w:val="22"/>
              </w:rPr>
            </w:pPr>
            <w:r>
              <w:rPr>
                <w:bCs/>
                <w:sz w:val="22"/>
                <w:szCs w:val="22"/>
              </w:rPr>
              <w:t>MACC2</w:t>
            </w:r>
          </w:p>
        </w:tc>
        <w:tc>
          <w:tcPr>
            <w:tcW w:w="3635" w:type="dxa"/>
            <w:noWrap/>
            <w:hideMark/>
          </w:tcPr>
          <w:p w14:paraId="72F14523" w14:textId="77777777" w:rsidR="00A67F9D" w:rsidRPr="00A67F9D" w:rsidRDefault="00A67F9D" w:rsidP="0032784D">
            <w:pPr>
              <w:tabs>
                <w:tab w:val="left" w:pos="7920"/>
              </w:tabs>
              <w:spacing w:line="276" w:lineRule="auto"/>
              <w:rPr>
                <w:bCs/>
                <w:sz w:val="22"/>
                <w:szCs w:val="22"/>
              </w:rPr>
            </w:pPr>
            <w:r w:rsidRPr="00A67F9D">
              <w:rPr>
                <w:bCs/>
                <w:sz w:val="22"/>
                <w:szCs w:val="22"/>
              </w:rPr>
              <w:t>Mitigation measures implemented</w:t>
            </w:r>
          </w:p>
        </w:tc>
        <w:tc>
          <w:tcPr>
            <w:tcW w:w="4956" w:type="dxa"/>
            <w:noWrap/>
            <w:hideMark/>
          </w:tcPr>
          <w:p w14:paraId="2CF64A00" w14:textId="77777777" w:rsidR="00A67F9D" w:rsidRPr="00A67F9D" w:rsidRDefault="00A67F9D" w:rsidP="0032784D">
            <w:pPr>
              <w:tabs>
                <w:tab w:val="left" w:pos="7920"/>
              </w:tabs>
              <w:spacing w:line="276" w:lineRule="auto"/>
              <w:rPr>
                <w:bCs/>
                <w:sz w:val="22"/>
                <w:szCs w:val="22"/>
              </w:rPr>
            </w:pPr>
            <w:r w:rsidRPr="00A67F9D">
              <w:rPr>
                <w:bCs/>
                <w:sz w:val="22"/>
                <w:szCs w:val="22"/>
              </w:rPr>
              <w:t>Implementation rate</w:t>
            </w:r>
          </w:p>
        </w:tc>
      </w:tr>
      <w:tr w:rsidR="00A67F9D" w:rsidRPr="00A67F9D" w14:paraId="61CCB3BC" w14:textId="77777777" w:rsidTr="00A67F9D">
        <w:trPr>
          <w:trHeight w:val="285"/>
          <w:jc w:val="center"/>
        </w:trPr>
        <w:tc>
          <w:tcPr>
            <w:tcW w:w="1043" w:type="dxa"/>
            <w:noWrap/>
            <w:hideMark/>
          </w:tcPr>
          <w:p w14:paraId="2BD41E06" w14:textId="77777777" w:rsidR="00A67F9D" w:rsidRPr="00A67F9D" w:rsidRDefault="00A67F9D" w:rsidP="0032784D">
            <w:pPr>
              <w:tabs>
                <w:tab w:val="left" w:pos="7920"/>
              </w:tabs>
              <w:spacing w:line="276" w:lineRule="auto"/>
              <w:jc w:val="center"/>
              <w:rPr>
                <w:bCs/>
                <w:sz w:val="22"/>
                <w:szCs w:val="22"/>
              </w:rPr>
            </w:pPr>
            <w:r w:rsidRPr="00A67F9D">
              <w:rPr>
                <w:bCs/>
                <w:sz w:val="22"/>
                <w:szCs w:val="22"/>
              </w:rPr>
              <w:t>1</w:t>
            </w:r>
          </w:p>
        </w:tc>
        <w:tc>
          <w:tcPr>
            <w:tcW w:w="3635" w:type="dxa"/>
            <w:noWrap/>
            <w:hideMark/>
          </w:tcPr>
          <w:p w14:paraId="0390A353" w14:textId="77777777" w:rsidR="00A67F9D" w:rsidRPr="00A67F9D" w:rsidRDefault="00A67F9D" w:rsidP="0032784D">
            <w:pPr>
              <w:tabs>
                <w:tab w:val="left" w:pos="7920"/>
              </w:tabs>
              <w:spacing w:line="276" w:lineRule="auto"/>
              <w:rPr>
                <w:bCs/>
                <w:sz w:val="22"/>
                <w:szCs w:val="22"/>
              </w:rPr>
            </w:pPr>
            <w:r w:rsidRPr="00A67F9D">
              <w:rPr>
                <w:bCs/>
                <w:sz w:val="22"/>
                <w:szCs w:val="22"/>
              </w:rPr>
              <w:t>Extended grazing</w:t>
            </w:r>
          </w:p>
        </w:tc>
        <w:tc>
          <w:tcPr>
            <w:tcW w:w="4956" w:type="dxa"/>
            <w:noWrap/>
            <w:hideMark/>
          </w:tcPr>
          <w:p w14:paraId="5ED66424" w14:textId="77777777" w:rsidR="00A67F9D" w:rsidRPr="00A67F9D" w:rsidRDefault="00A67F9D" w:rsidP="0032784D">
            <w:pPr>
              <w:tabs>
                <w:tab w:val="left" w:pos="7920"/>
              </w:tabs>
              <w:spacing w:line="276" w:lineRule="auto"/>
              <w:rPr>
                <w:bCs/>
                <w:sz w:val="22"/>
                <w:szCs w:val="22"/>
              </w:rPr>
            </w:pPr>
            <w:r w:rsidRPr="00A67F9D">
              <w:rPr>
                <w:bCs/>
                <w:sz w:val="22"/>
                <w:szCs w:val="22"/>
              </w:rPr>
              <w:t>100% implemented for all cattle; 2 weeks additional grazing</w:t>
            </w:r>
          </w:p>
        </w:tc>
      </w:tr>
      <w:tr w:rsidR="00A67F9D" w:rsidRPr="00A67F9D" w14:paraId="7985492C" w14:textId="77777777" w:rsidTr="00A67F9D">
        <w:trPr>
          <w:trHeight w:val="285"/>
          <w:jc w:val="center"/>
        </w:trPr>
        <w:tc>
          <w:tcPr>
            <w:tcW w:w="1043" w:type="dxa"/>
            <w:noWrap/>
            <w:hideMark/>
          </w:tcPr>
          <w:p w14:paraId="05181A67" w14:textId="77777777" w:rsidR="00A67F9D" w:rsidRPr="00A67F9D" w:rsidRDefault="00A67F9D" w:rsidP="0032784D">
            <w:pPr>
              <w:tabs>
                <w:tab w:val="left" w:pos="7920"/>
              </w:tabs>
              <w:spacing w:line="276" w:lineRule="auto"/>
              <w:jc w:val="center"/>
              <w:rPr>
                <w:bCs/>
                <w:sz w:val="22"/>
                <w:szCs w:val="22"/>
              </w:rPr>
            </w:pPr>
            <w:r w:rsidRPr="00A67F9D">
              <w:rPr>
                <w:bCs/>
                <w:sz w:val="22"/>
                <w:szCs w:val="22"/>
              </w:rPr>
              <w:t>2</w:t>
            </w:r>
          </w:p>
        </w:tc>
        <w:tc>
          <w:tcPr>
            <w:tcW w:w="3635" w:type="dxa"/>
            <w:noWrap/>
            <w:hideMark/>
          </w:tcPr>
          <w:p w14:paraId="08B99280" w14:textId="77777777" w:rsidR="00A67F9D" w:rsidRPr="00A67F9D" w:rsidRDefault="00A67F9D" w:rsidP="0032784D">
            <w:pPr>
              <w:tabs>
                <w:tab w:val="left" w:pos="7920"/>
              </w:tabs>
              <w:spacing w:line="276" w:lineRule="auto"/>
              <w:rPr>
                <w:bCs/>
                <w:sz w:val="22"/>
                <w:szCs w:val="22"/>
              </w:rPr>
            </w:pPr>
            <w:r w:rsidRPr="00A67F9D">
              <w:rPr>
                <w:bCs/>
                <w:sz w:val="22"/>
                <w:szCs w:val="22"/>
              </w:rPr>
              <w:t>Lower CP diets for livestock</w:t>
            </w:r>
          </w:p>
        </w:tc>
        <w:tc>
          <w:tcPr>
            <w:tcW w:w="4956" w:type="dxa"/>
            <w:noWrap/>
            <w:hideMark/>
          </w:tcPr>
          <w:p w14:paraId="5235EB00" w14:textId="77777777" w:rsidR="00A67F9D" w:rsidRPr="00A67F9D" w:rsidRDefault="00A67F9D" w:rsidP="0032784D">
            <w:pPr>
              <w:tabs>
                <w:tab w:val="left" w:pos="7920"/>
              </w:tabs>
              <w:spacing w:line="276" w:lineRule="auto"/>
              <w:rPr>
                <w:bCs/>
                <w:sz w:val="22"/>
                <w:szCs w:val="22"/>
              </w:rPr>
            </w:pPr>
            <w:r w:rsidRPr="00A67F9D">
              <w:rPr>
                <w:bCs/>
                <w:sz w:val="22"/>
                <w:szCs w:val="22"/>
              </w:rPr>
              <w:t xml:space="preserve">75% of dairy, beef, </w:t>
            </w:r>
            <w:proofErr w:type="gramStart"/>
            <w:r w:rsidRPr="00A67F9D">
              <w:rPr>
                <w:bCs/>
                <w:sz w:val="22"/>
                <w:szCs w:val="22"/>
              </w:rPr>
              <w:t>pig</w:t>
            </w:r>
            <w:proofErr w:type="gramEnd"/>
            <w:r w:rsidRPr="00A67F9D">
              <w:rPr>
                <w:bCs/>
                <w:sz w:val="22"/>
                <w:szCs w:val="22"/>
              </w:rPr>
              <w:t xml:space="preserve"> and poultry associated with low CP diets</w:t>
            </w:r>
          </w:p>
        </w:tc>
      </w:tr>
      <w:tr w:rsidR="00A67F9D" w:rsidRPr="00A67F9D" w14:paraId="434D9DAB" w14:textId="77777777" w:rsidTr="00A67F9D">
        <w:trPr>
          <w:trHeight w:val="285"/>
          <w:jc w:val="center"/>
        </w:trPr>
        <w:tc>
          <w:tcPr>
            <w:tcW w:w="1043" w:type="dxa"/>
            <w:noWrap/>
            <w:hideMark/>
          </w:tcPr>
          <w:p w14:paraId="09550597" w14:textId="77777777" w:rsidR="00A67F9D" w:rsidRPr="00A67F9D" w:rsidRDefault="00A67F9D" w:rsidP="0032784D">
            <w:pPr>
              <w:tabs>
                <w:tab w:val="left" w:pos="7920"/>
              </w:tabs>
              <w:spacing w:line="276" w:lineRule="auto"/>
              <w:jc w:val="center"/>
              <w:rPr>
                <w:bCs/>
                <w:sz w:val="22"/>
                <w:szCs w:val="22"/>
              </w:rPr>
            </w:pPr>
            <w:r w:rsidRPr="00A67F9D">
              <w:rPr>
                <w:bCs/>
                <w:sz w:val="22"/>
                <w:szCs w:val="22"/>
              </w:rPr>
              <w:t>3</w:t>
            </w:r>
          </w:p>
        </w:tc>
        <w:tc>
          <w:tcPr>
            <w:tcW w:w="3635" w:type="dxa"/>
            <w:hideMark/>
          </w:tcPr>
          <w:p w14:paraId="1DC414D9" w14:textId="77777777" w:rsidR="00A67F9D" w:rsidRPr="00A67F9D" w:rsidRDefault="00A67F9D" w:rsidP="0032784D">
            <w:pPr>
              <w:tabs>
                <w:tab w:val="left" w:pos="7920"/>
              </w:tabs>
              <w:spacing w:line="276" w:lineRule="auto"/>
              <w:rPr>
                <w:bCs/>
                <w:sz w:val="22"/>
                <w:szCs w:val="22"/>
              </w:rPr>
            </w:pPr>
            <w:r w:rsidRPr="00A67F9D">
              <w:rPr>
                <w:bCs/>
                <w:sz w:val="22"/>
                <w:szCs w:val="22"/>
              </w:rPr>
              <w:t xml:space="preserve">Genetic improvement for cattle, </w:t>
            </w:r>
            <w:proofErr w:type="gramStart"/>
            <w:r w:rsidRPr="00A67F9D">
              <w:rPr>
                <w:bCs/>
                <w:sz w:val="22"/>
                <w:szCs w:val="22"/>
              </w:rPr>
              <w:t>pigs</w:t>
            </w:r>
            <w:proofErr w:type="gramEnd"/>
            <w:r w:rsidRPr="00A67F9D">
              <w:rPr>
                <w:bCs/>
                <w:sz w:val="22"/>
                <w:szCs w:val="22"/>
              </w:rPr>
              <w:t xml:space="preserve"> and poultry</w:t>
            </w:r>
          </w:p>
        </w:tc>
        <w:tc>
          <w:tcPr>
            <w:tcW w:w="4956" w:type="dxa"/>
            <w:hideMark/>
          </w:tcPr>
          <w:p w14:paraId="06609C02" w14:textId="77777777" w:rsidR="00A67F9D" w:rsidRPr="00A67F9D" w:rsidRDefault="00A67F9D" w:rsidP="0032784D">
            <w:pPr>
              <w:tabs>
                <w:tab w:val="left" w:pos="7920"/>
              </w:tabs>
              <w:spacing w:line="276" w:lineRule="auto"/>
              <w:rPr>
                <w:bCs/>
                <w:sz w:val="22"/>
                <w:szCs w:val="22"/>
              </w:rPr>
            </w:pPr>
            <w:r w:rsidRPr="00A67F9D">
              <w:rPr>
                <w:bCs/>
                <w:sz w:val="22"/>
                <w:szCs w:val="22"/>
              </w:rPr>
              <w:t>50% of cattle, 75% of pigs and poultry; 5% reduction in N excretion</w:t>
            </w:r>
          </w:p>
        </w:tc>
      </w:tr>
      <w:tr w:rsidR="00A67F9D" w:rsidRPr="00A67F9D" w14:paraId="4DA39BB7" w14:textId="77777777" w:rsidTr="00A67F9D">
        <w:trPr>
          <w:trHeight w:val="285"/>
          <w:jc w:val="center"/>
        </w:trPr>
        <w:tc>
          <w:tcPr>
            <w:tcW w:w="1043" w:type="dxa"/>
            <w:noWrap/>
            <w:hideMark/>
          </w:tcPr>
          <w:p w14:paraId="13A671A8" w14:textId="77777777" w:rsidR="00A67F9D" w:rsidRPr="00A67F9D" w:rsidRDefault="00A67F9D" w:rsidP="0032784D">
            <w:pPr>
              <w:tabs>
                <w:tab w:val="left" w:pos="7920"/>
              </w:tabs>
              <w:spacing w:line="276" w:lineRule="auto"/>
              <w:jc w:val="center"/>
              <w:rPr>
                <w:bCs/>
                <w:sz w:val="22"/>
                <w:szCs w:val="22"/>
              </w:rPr>
            </w:pPr>
            <w:r w:rsidRPr="00A67F9D">
              <w:rPr>
                <w:bCs/>
                <w:sz w:val="22"/>
                <w:szCs w:val="22"/>
              </w:rPr>
              <w:t>4</w:t>
            </w:r>
          </w:p>
        </w:tc>
        <w:tc>
          <w:tcPr>
            <w:tcW w:w="3635" w:type="dxa"/>
            <w:noWrap/>
            <w:hideMark/>
          </w:tcPr>
          <w:p w14:paraId="7362E6E9" w14:textId="77777777" w:rsidR="00A67F9D" w:rsidRPr="00A67F9D" w:rsidRDefault="00A67F9D" w:rsidP="0032784D">
            <w:pPr>
              <w:tabs>
                <w:tab w:val="left" w:pos="7920"/>
              </w:tabs>
              <w:spacing w:line="276" w:lineRule="auto"/>
              <w:rPr>
                <w:bCs/>
                <w:sz w:val="22"/>
                <w:szCs w:val="22"/>
              </w:rPr>
            </w:pPr>
            <w:r w:rsidRPr="00A67F9D">
              <w:rPr>
                <w:bCs/>
                <w:sz w:val="22"/>
                <w:szCs w:val="22"/>
              </w:rPr>
              <w:t>Stabilised urea</w:t>
            </w:r>
          </w:p>
        </w:tc>
        <w:tc>
          <w:tcPr>
            <w:tcW w:w="4956" w:type="dxa"/>
            <w:noWrap/>
            <w:hideMark/>
          </w:tcPr>
          <w:p w14:paraId="34417148" w14:textId="77777777" w:rsidR="00A67F9D" w:rsidRPr="00A67F9D" w:rsidRDefault="00A67F9D" w:rsidP="0032784D">
            <w:pPr>
              <w:tabs>
                <w:tab w:val="left" w:pos="7920"/>
              </w:tabs>
              <w:spacing w:line="276" w:lineRule="auto"/>
              <w:rPr>
                <w:bCs/>
                <w:sz w:val="22"/>
                <w:szCs w:val="22"/>
              </w:rPr>
            </w:pPr>
            <w:r w:rsidRPr="00A67F9D">
              <w:rPr>
                <w:bCs/>
                <w:sz w:val="22"/>
                <w:szCs w:val="22"/>
              </w:rPr>
              <w:t>100% of urea</w:t>
            </w:r>
          </w:p>
        </w:tc>
      </w:tr>
      <w:tr w:rsidR="00A67F9D" w:rsidRPr="00A67F9D" w14:paraId="0C1F7B17" w14:textId="77777777" w:rsidTr="00A67F9D">
        <w:trPr>
          <w:trHeight w:val="285"/>
          <w:jc w:val="center"/>
        </w:trPr>
        <w:tc>
          <w:tcPr>
            <w:tcW w:w="1043" w:type="dxa"/>
            <w:noWrap/>
            <w:hideMark/>
          </w:tcPr>
          <w:p w14:paraId="18999D0A" w14:textId="77777777" w:rsidR="00A67F9D" w:rsidRPr="00A67F9D" w:rsidRDefault="00A67F9D" w:rsidP="0032784D">
            <w:pPr>
              <w:tabs>
                <w:tab w:val="left" w:pos="7920"/>
              </w:tabs>
              <w:spacing w:line="276" w:lineRule="auto"/>
              <w:jc w:val="center"/>
              <w:rPr>
                <w:bCs/>
                <w:sz w:val="22"/>
                <w:szCs w:val="22"/>
              </w:rPr>
            </w:pPr>
            <w:r w:rsidRPr="00A67F9D">
              <w:rPr>
                <w:bCs/>
                <w:sz w:val="22"/>
                <w:szCs w:val="22"/>
              </w:rPr>
              <w:t>5</w:t>
            </w:r>
          </w:p>
        </w:tc>
        <w:tc>
          <w:tcPr>
            <w:tcW w:w="3635" w:type="dxa"/>
            <w:noWrap/>
            <w:hideMark/>
          </w:tcPr>
          <w:p w14:paraId="582A4F24" w14:textId="77777777" w:rsidR="00A67F9D" w:rsidRPr="00A67F9D" w:rsidRDefault="00A67F9D" w:rsidP="0032784D">
            <w:pPr>
              <w:tabs>
                <w:tab w:val="left" w:pos="7920"/>
              </w:tabs>
              <w:spacing w:line="276" w:lineRule="auto"/>
              <w:rPr>
                <w:bCs/>
                <w:sz w:val="22"/>
                <w:szCs w:val="22"/>
              </w:rPr>
            </w:pPr>
            <w:r w:rsidRPr="00A67F9D">
              <w:rPr>
                <w:bCs/>
                <w:sz w:val="22"/>
                <w:szCs w:val="22"/>
              </w:rPr>
              <w:t xml:space="preserve">Low emission slurry application </w:t>
            </w:r>
          </w:p>
        </w:tc>
        <w:tc>
          <w:tcPr>
            <w:tcW w:w="4956" w:type="dxa"/>
            <w:noWrap/>
            <w:hideMark/>
          </w:tcPr>
          <w:p w14:paraId="6A2AEEFE" w14:textId="77777777" w:rsidR="00A67F9D" w:rsidRPr="00A67F9D" w:rsidRDefault="00A67F9D" w:rsidP="0032784D">
            <w:pPr>
              <w:tabs>
                <w:tab w:val="left" w:pos="7920"/>
              </w:tabs>
              <w:spacing w:line="276" w:lineRule="auto"/>
              <w:rPr>
                <w:bCs/>
                <w:sz w:val="22"/>
                <w:szCs w:val="22"/>
              </w:rPr>
            </w:pPr>
            <w:r w:rsidRPr="00A67F9D">
              <w:rPr>
                <w:bCs/>
                <w:sz w:val="22"/>
                <w:szCs w:val="22"/>
              </w:rPr>
              <w:t>75% trailing hose, 25% trailing shoe</w:t>
            </w:r>
          </w:p>
        </w:tc>
      </w:tr>
    </w:tbl>
    <w:p w14:paraId="33C1A27D" w14:textId="77777777" w:rsidR="00256013" w:rsidRDefault="00256013" w:rsidP="0032784D">
      <w:pPr>
        <w:tabs>
          <w:tab w:val="left" w:pos="7920"/>
        </w:tabs>
        <w:spacing w:line="276" w:lineRule="auto"/>
        <w:rPr>
          <w:b/>
          <w:sz w:val="22"/>
          <w:szCs w:val="22"/>
        </w:rPr>
      </w:pPr>
    </w:p>
    <w:p w14:paraId="3564F9F5" w14:textId="77777777" w:rsidR="0032784D" w:rsidRDefault="0032784D" w:rsidP="0032784D">
      <w:pPr>
        <w:tabs>
          <w:tab w:val="left" w:pos="7920"/>
        </w:tabs>
        <w:spacing w:line="276" w:lineRule="auto"/>
        <w:rPr>
          <w:b/>
          <w:sz w:val="22"/>
          <w:szCs w:val="22"/>
        </w:rPr>
      </w:pPr>
    </w:p>
    <w:p w14:paraId="6DBB94B7" w14:textId="77777777" w:rsidR="0032784D" w:rsidRDefault="0032784D">
      <w:pPr>
        <w:rPr>
          <w:b/>
          <w:sz w:val="22"/>
          <w:szCs w:val="22"/>
        </w:rPr>
      </w:pPr>
      <w:r>
        <w:rPr>
          <w:b/>
          <w:sz w:val="22"/>
          <w:szCs w:val="22"/>
        </w:rPr>
        <w:br w:type="page"/>
      </w:r>
    </w:p>
    <w:p w14:paraId="4D013D2E" w14:textId="697FFA8B" w:rsidR="00B055E2" w:rsidRDefault="00B055E2" w:rsidP="0032784D">
      <w:pPr>
        <w:tabs>
          <w:tab w:val="left" w:pos="7920"/>
        </w:tabs>
        <w:spacing w:line="276" w:lineRule="auto"/>
        <w:rPr>
          <w:b/>
          <w:sz w:val="22"/>
          <w:szCs w:val="22"/>
        </w:rPr>
      </w:pPr>
      <w:r w:rsidRPr="00DA3AE2">
        <w:rPr>
          <w:b/>
          <w:sz w:val="22"/>
          <w:szCs w:val="22"/>
        </w:rPr>
        <w:lastRenderedPageBreak/>
        <w:t>MACC 3</w:t>
      </w:r>
    </w:p>
    <w:p w14:paraId="49663218" w14:textId="77777777" w:rsidR="00A67F9D" w:rsidRPr="00DA3AE2" w:rsidRDefault="00A67F9D" w:rsidP="0032784D">
      <w:pPr>
        <w:tabs>
          <w:tab w:val="left" w:pos="7920"/>
        </w:tabs>
        <w:spacing w:line="276" w:lineRule="auto"/>
        <w:rPr>
          <w:b/>
          <w:sz w:val="22"/>
          <w:szCs w:val="22"/>
        </w:rPr>
      </w:pPr>
    </w:p>
    <w:p w14:paraId="08CFC4CC" w14:textId="268370F9" w:rsidR="00482BC0" w:rsidRDefault="00482BC0" w:rsidP="0032784D">
      <w:pPr>
        <w:pStyle w:val="Default"/>
        <w:spacing w:line="276" w:lineRule="auto"/>
        <w:rPr>
          <w:rFonts w:ascii="Arial" w:hAnsi="Arial" w:cs="Arial"/>
          <w:sz w:val="22"/>
          <w:szCs w:val="22"/>
        </w:rPr>
      </w:pPr>
      <w:r w:rsidRPr="00A67F9D">
        <w:rPr>
          <w:rFonts w:ascii="Arial" w:hAnsi="Arial" w:cs="Arial"/>
          <w:sz w:val="22"/>
          <w:szCs w:val="22"/>
        </w:rPr>
        <w:t xml:space="preserve">Following further discussion mitigation measures identified in MACC 1 were further re-examined with their associated uptake rates. Therefore, the scenario developed for MACC 3 focused on ammonia mitigation measures in MACC 1 </w:t>
      </w:r>
      <w:proofErr w:type="gramStart"/>
      <w:r w:rsidRPr="00A67F9D">
        <w:rPr>
          <w:rFonts w:ascii="Arial" w:hAnsi="Arial" w:cs="Arial"/>
          <w:sz w:val="22"/>
          <w:szCs w:val="22"/>
        </w:rPr>
        <w:t>with the exception of</w:t>
      </w:r>
      <w:proofErr w:type="gramEnd"/>
      <w:r w:rsidRPr="00A67F9D">
        <w:rPr>
          <w:rFonts w:ascii="Arial" w:hAnsi="Arial" w:cs="Arial"/>
          <w:sz w:val="22"/>
          <w:szCs w:val="22"/>
        </w:rPr>
        <w:t xml:space="preserve"> shallow injection. The scenario also included washing of collecting yards for dairy cows and separated out low emission housing using acid scrubbers for pigs, layers and broilers (</w:t>
      </w:r>
      <w:proofErr w:type="gramStart"/>
      <w:r w:rsidRPr="00A67F9D">
        <w:rPr>
          <w:rFonts w:ascii="Arial" w:hAnsi="Arial" w:cs="Arial"/>
          <w:sz w:val="22"/>
          <w:szCs w:val="22"/>
        </w:rPr>
        <w:t>i.e.</w:t>
      </w:r>
      <w:proofErr w:type="gramEnd"/>
      <w:r w:rsidRPr="00A67F9D">
        <w:rPr>
          <w:rFonts w:ascii="Arial" w:hAnsi="Arial" w:cs="Arial"/>
          <w:sz w:val="22"/>
          <w:szCs w:val="22"/>
        </w:rPr>
        <w:t xml:space="preserve"> these were combined as one measure in MACC 1). These gave a total of 14 measures for analysis. Furthermore, scenarios in MACC 3 revised uptake rates for low emission spreading techniques,</w:t>
      </w:r>
      <w:r w:rsidR="00306F6B">
        <w:rPr>
          <w:rFonts w:ascii="Arial" w:hAnsi="Arial" w:cs="Arial"/>
          <w:sz w:val="22"/>
          <w:szCs w:val="22"/>
        </w:rPr>
        <w:t xml:space="preserve"> and</w:t>
      </w:r>
      <w:r w:rsidRPr="00A67F9D">
        <w:rPr>
          <w:rFonts w:ascii="Arial" w:hAnsi="Arial" w:cs="Arial"/>
          <w:sz w:val="22"/>
          <w:szCs w:val="22"/>
        </w:rPr>
        <w:t xml:space="preserve"> acid scrubbers for pigs and poultry housing</w:t>
      </w:r>
      <w:r w:rsidR="00306F6B">
        <w:rPr>
          <w:rFonts w:ascii="Arial" w:hAnsi="Arial" w:cs="Arial"/>
          <w:sz w:val="22"/>
          <w:szCs w:val="22"/>
        </w:rPr>
        <w:t>.</w:t>
      </w:r>
    </w:p>
    <w:p w14:paraId="1B91D8F3" w14:textId="453CA99C" w:rsidR="00256013" w:rsidRDefault="00256013" w:rsidP="0032784D">
      <w:pPr>
        <w:pStyle w:val="Default"/>
        <w:spacing w:line="276" w:lineRule="auto"/>
        <w:rPr>
          <w:rFonts w:ascii="Arial" w:hAnsi="Arial" w:cs="Arial"/>
          <w:sz w:val="22"/>
          <w:szCs w:val="22"/>
        </w:rPr>
      </w:pPr>
    </w:p>
    <w:p w14:paraId="43439C84" w14:textId="543C7A2F" w:rsidR="00256013" w:rsidRDefault="0032784D" w:rsidP="0032784D">
      <w:pPr>
        <w:pStyle w:val="Default"/>
        <w:spacing w:line="276" w:lineRule="auto"/>
        <w:jc w:val="center"/>
        <w:rPr>
          <w:rFonts w:ascii="Arial" w:hAnsi="Arial" w:cs="Arial"/>
          <w:sz w:val="22"/>
          <w:szCs w:val="22"/>
        </w:rPr>
      </w:pPr>
      <w:r w:rsidRPr="0032784D">
        <w:rPr>
          <w:rFonts w:ascii="Arial" w:hAnsi="Arial" w:cs="Arial"/>
          <w:sz w:val="22"/>
          <w:szCs w:val="22"/>
        </w:rPr>
        <w:t xml:space="preserve">Table X Summary of MACC </w:t>
      </w:r>
      <w:r>
        <w:rPr>
          <w:rFonts w:ascii="Arial" w:hAnsi="Arial" w:cs="Arial"/>
          <w:sz w:val="22"/>
          <w:szCs w:val="22"/>
        </w:rPr>
        <w:t>3</w:t>
      </w:r>
      <w:r w:rsidRPr="0032784D">
        <w:rPr>
          <w:rFonts w:ascii="Arial" w:hAnsi="Arial" w:cs="Arial"/>
          <w:sz w:val="22"/>
          <w:szCs w:val="22"/>
        </w:rPr>
        <w:t xml:space="preserve"> ammonia reductions and cost.</w:t>
      </w:r>
      <w:r w:rsidR="00256013">
        <w:rPr>
          <w:noProof/>
        </w:rPr>
        <w:drawing>
          <wp:inline distT="0" distB="0" distL="0" distR="0" wp14:anchorId="4D2FB5E6" wp14:editId="496960F2">
            <wp:extent cx="5023369"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327" t="24048" r="52083" b="64285"/>
                    <a:stretch/>
                  </pic:blipFill>
                  <pic:spPr bwMode="auto">
                    <a:xfrm>
                      <a:off x="0" y="0"/>
                      <a:ext cx="5081909" cy="1137048"/>
                    </a:xfrm>
                    <a:prstGeom prst="rect">
                      <a:avLst/>
                    </a:prstGeom>
                    <a:ln>
                      <a:noFill/>
                    </a:ln>
                    <a:extLst>
                      <a:ext uri="{53640926-AAD7-44D8-BBD7-CCE9431645EC}">
                        <a14:shadowObscured xmlns:a14="http://schemas.microsoft.com/office/drawing/2010/main"/>
                      </a:ext>
                    </a:extLst>
                  </pic:spPr>
                </pic:pic>
              </a:graphicData>
            </a:graphic>
          </wp:inline>
        </w:drawing>
      </w:r>
    </w:p>
    <w:p w14:paraId="0A5F98AF" w14:textId="30964C37" w:rsidR="00A67F9D" w:rsidRDefault="00A67F9D" w:rsidP="0032784D">
      <w:pPr>
        <w:pStyle w:val="Default"/>
        <w:spacing w:line="276" w:lineRule="auto"/>
        <w:rPr>
          <w:rFonts w:ascii="Arial" w:hAnsi="Arial" w:cs="Arial"/>
          <w:sz w:val="22"/>
          <w:szCs w:val="22"/>
        </w:rPr>
      </w:pPr>
    </w:p>
    <w:p w14:paraId="10F6A3B7" w14:textId="158D34A1" w:rsidR="001E1CF0" w:rsidRDefault="001E1CF0" w:rsidP="0032784D">
      <w:pPr>
        <w:pStyle w:val="Default"/>
        <w:spacing w:line="276" w:lineRule="auto"/>
        <w:rPr>
          <w:rFonts w:ascii="Arial" w:hAnsi="Arial" w:cs="Arial"/>
          <w:sz w:val="22"/>
          <w:szCs w:val="22"/>
        </w:rPr>
      </w:pPr>
      <w:r>
        <w:rPr>
          <w:rFonts w:ascii="Arial" w:hAnsi="Arial" w:cs="Arial"/>
          <w:sz w:val="22"/>
          <w:szCs w:val="22"/>
        </w:rPr>
        <w:tab/>
        <w:t>Table 6 MACC 3 details.</w:t>
      </w:r>
    </w:p>
    <w:tbl>
      <w:tblPr>
        <w:tblW w:w="7796" w:type="dxa"/>
        <w:jc w:val="center"/>
        <w:tblLook w:val="04A0" w:firstRow="1" w:lastRow="0" w:firstColumn="1" w:lastColumn="0" w:noHBand="0" w:noVBand="1"/>
      </w:tblPr>
      <w:tblGrid>
        <w:gridCol w:w="1134"/>
        <w:gridCol w:w="2693"/>
        <w:gridCol w:w="3969"/>
      </w:tblGrid>
      <w:tr w:rsidR="00A1662D" w:rsidRPr="00A67F9D" w14:paraId="05B51A80" w14:textId="77777777" w:rsidTr="00A1662D">
        <w:trPr>
          <w:trHeight w:val="85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B4FC" w14:textId="331DBD2B" w:rsidR="00A1662D" w:rsidRPr="00A67F9D" w:rsidRDefault="00A1662D" w:rsidP="0032784D">
            <w:pPr>
              <w:spacing w:line="276" w:lineRule="auto"/>
              <w:jc w:val="center"/>
              <w:rPr>
                <w:color w:val="000000"/>
                <w:sz w:val="22"/>
                <w:szCs w:val="22"/>
              </w:rPr>
            </w:pPr>
            <w:r>
              <w:rPr>
                <w:color w:val="000000"/>
                <w:sz w:val="22"/>
                <w:szCs w:val="22"/>
              </w:rPr>
              <w:t>MACC 3</w:t>
            </w:r>
            <w:r w:rsidRPr="00A67F9D">
              <w:rPr>
                <w:color w:val="000000"/>
                <w:sz w:val="22"/>
                <w:szCs w:val="22"/>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496F58C" w14:textId="77777777" w:rsidR="00A1662D" w:rsidRPr="00A67F9D" w:rsidRDefault="00A1662D" w:rsidP="0032784D">
            <w:pPr>
              <w:spacing w:line="276" w:lineRule="auto"/>
              <w:rPr>
                <w:color w:val="000000"/>
                <w:sz w:val="22"/>
                <w:szCs w:val="22"/>
              </w:rPr>
            </w:pPr>
            <w:r w:rsidRPr="00A67F9D">
              <w:rPr>
                <w:color w:val="000000"/>
                <w:sz w:val="22"/>
                <w:szCs w:val="22"/>
              </w:rPr>
              <w:t>Mitigation measures implemented</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E56D913" w14:textId="77777777" w:rsidR="00A1662D" w:rsidRPr="00A67F9D" w:rsidRDefault="00A1662D" w:rsidP="0032784D">
            <w:pPr>
              <w:spacing w:line="276" w:lineRule="auto"/>
              <w:rPr>
                <w:color w:val="000000"/>
                <w:sz w:val="22"/>
                <w:szCs w:val="22"/>
              </w:rPr>
            </w:pPr>
            <w:r w:rsidRPr="00A67F9D">
              <w:rPr>
                <w:color w:val="000000"/>
                <w:sz w:val="22"/>
                <w:szCs w:val="22"/>
              </w:rPr>
              <w:t>Implementation rate</w:t>
            </w:r>
          </w:p>
        </w:tc>
      </w:tr>
      <w:tr w:rsidR="00A1662D" w:rsidRPr="00A67F9D" w14:paraId="094357A2"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C65939" w14:textId="77777777" w:rsidR="00A1662D" w:rsidRPr="00A67F9D" w:rsidRDefault="00A1662D" w:rsidP="0032784D">
            <w:pPr>
              <w:spacing w:line="276" w:lineRule="auto"/>
              <w:jc w:val="center"/>
              <w:rPr>
                <w:color w:val="000000"/>
                <w:sz w:val="22"/>
                <w:szCs w:val="22"/>
              </w:rPr>
            </w:pPr>
            <w:r w:rsidRPr="00A67F9D">
              <w:rPr>
                <w:color w:val="000000"/>
                <w:sz w:val="22"/>
                <w:szCs w:val="22"/>
              </w:rPr>
              <w:t>1</w:t>
            </w:r>
          </w:p>
        </w:tc>
        <w:tc>
          <w:tcPr>
            <w:tcW w:w="2693" w:type="dxa"/>
            <w:tcBorders>
              <w:top w:val="nil"/>
              <w:left w:val="nil"/>
              <w:bottom w:val="single" w:sz="4" w:space="0" w:color="auto"/>
              <w:right w:val="single" w:sz="4" w:space="0" w:color="auto"/>
            </w:tcBorders>
            <w:shd w:val="clear" w:color="auto" w:fill="auto"/>
            <w:noWrap/>
            <w:vAlign w:val="center"/>
            <w:hideMark/>
          </w:tcPr>
          <w:p w14:paraId="4759A670" w14:textId="77777777" w:rsidR="00A1662D" w:rsidRPr="00A67F9D" w:rsidRDefault="00A1662D" w:rsidP="0032784D">
            <w:pPr>
              <w:spacing w:line="276" w:lineRule="auto"/>
              <w:rPr>
                <w:color w:val="000000"/>
                <w:sz w:val="22"/>
                <w:szCs w:val="22"/>
              </w:rPr>
            </w:pPr>
            <w:r w:rsidRPr="00A67F9D">
              <w:rPr>
                <w:color w:val="000000"/>
                <w:sz w:val="22"/>
                <w:szCs w:val="22"/>
              </w:rPr>
              <w:t>Low emission broiler housing</w:t>
            </w:r>
          </w:p>
        </w:tc>
        <w:tc>
          <w:tcPr>
            <w:tcW w:w="3969" w:type="dxa"/>
            <w:tcBorders>
              <w:top w:val="nil"/>
              <w:left w:val="nil"/>
              <w:bottom w:val="single" w:sz="4" w:space="0" w:color="auto"/>
              <w:right w:val="single" w:sz="4" w:space="0" w:color="auto"/>
            </w:tcBorders>
            <w:shd w:val="clear" w:color="auto" w:fill="auto"/>
            <w:noWrap/>
            <w:vAlign w:val="center"/>
            <w:hideMark/>
          </w:tcPr>
          <w:p w14:paraId="55530282" w14:textId="77777777" w:rsidR="00A1662D" w:rsidRPr="00A67F9D" w:rsidRDefault="00A1662D" w:rsidP="0032784D">
            <w:pPr>
              <w:spacing w:line="276" w:lineRule="auto"/>
              <w:rPr>
                <w:color w:val="000000"/>
                <w:sz w:val="22"/>
                <w:szCs w:val="22"/>
              </w:rPr>
            </w:pPr>
            <w:r w:rsidRPr="00A67F9D">
              <w:rPr>
                <w:color w:val="000000"/>
                <w:sz w:val="22"/>
                <w:szCs w:val="22"/>
              </w:rPr>
              <w:t>15% uptake of litter acidification with alum</w:t>
            </w:r>
          </w:p>
        </w:tc>
      </w:tr>
      <w:tr w:rsidR="00A1662D" w:rsidRPr="00A67F9D" w14:paraId="39CA8665"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8596F9" w14:textId="77777777" w:rsidR="00A1662D" w:rsidRPr="00A67F9D" w:rsidRDefault="00A1662D" w:rsidP="0032784D">
            <w:pPr>
              <w:spacing w:line="276" w:lineRule="auto"/>
              <w:jc w:val="center"/>
              <w:rPr>
                <w:color w:val="000000"/>
                <w:sz w:val="22"/>
                <w:szCs w:val="22"/>
              </w:rPr>
            </w:pPr>
            <w:r w:rsidRPr="00A67F9D">
              <w:rPr>
                <w:color w:val="000000"/>
                <w:sz w:val="22"/>
                <w:szCs w:val="22"/>
              </w:rPr>
              <w:t>2</w:t>
            </w:r>
          </w:p>
        </w:tc>
        <w:tc>
          <w:tcPr>
            <w:tcW w:w="2693" w:type="dxa"/>
            <w:tcBorders>
              <w:top w:val="nil"/>
              <w:left w:val="nil"/>
              <w:bottom w:val="single" w:sz="4" w:space="0" w:color="auto"/>
              <w:right w:val="single" w:sz="4" w:space="0" w:color="auto"/>
            </w:tcBorders>
            <w:shd w:val="clear" w:color="auto" w:fill="auto"/>
            <w:noWrap/>
            <w:vAlign w:val="center"/>
            <w:hideMark/>
          </w:tcPr>
          <w:p w14:paraId="5AFDC657" w14:textId="77777777" w:rsidR="00A1662D" w:rsidRPr="00A67F9D" w:rsidRDefault="00A1662D" w:rsidP="0032784D">
            <w:pPr>
              <w:spacing w:line="276" w:lineRule="auto"/>
              <w:rPr>
                <w:color w:val="000000"/>
                <w:sz w:val="22"/>
                <w:szCs w:val="22"/>
              </w:rPr>
            </w:pPr>
            <w:r w:rsidRPr="00A67F9D">
              <w:rPr>
                <w:color w:val="000000"/>
                <w:sz w:val="22"/>
                <w:szCs w:val="22"/>
              </w:rPr>
              <w:t>Extended grazing</w:t>
            </w:r>
          </w:p>
        </w:tc>
        <w:tc>
          <w:tcPr>
            <w:tcW w:w="3969" w:type="dxa"/>
            <w:tcBorders>
              <w:top w:val="nil"/>
              <w:left w:val="nil"/>
              <w:bottom w:val="single" w:sz="4" w:space="0" w:color="auto"/>
              <w:right w:val="single" w:sz="4" w:space="0" w:color="auto"/>
            </w:tcBorders>
            <w:shd w:val="clear" w:color="auto" w:fill="auto"/>
            <w:noWrap/>
            <w:vAlign w:val="center"/>
            <w:hideMark/>
          </w:tcPr>
          <w:p w14:paraId="54AEE96C" w14:textId="77777777" w:rsidR="00A1662D" w:rsidRPr="00A67F9D" w:rsidRDefault="00A1662D" w:rsidP="0032784D">
            <w:pPr>
              <w:spacing w:line="276" w:lineRule="auto"/>
              <w:rPr>
                <w:color w:val="000000"/>
                <w:sz w:val="22"/>
                <w:szCs w:val="22"/>
              </w:rPr>
            </w:pPr>
            <w:r w:rsidRPr="00A67F9D">
              <w:rPr>
                <w:color w:val="000000"/>
                <w:sz w:val="22"/>
                <w:szCs w:val="22"/>
              </w:rPr>
              <w:t>100% implemented for all cattle; 2 weeks additional grazing</w:t>
            </w:r>
          </w:p>
        </w:tc>
      </w:tr>
      <w:tr w:rsidR="00A1662D" w:rsidRPr="00A67F9D" w14:paraId="0D8770F8"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92A3B7" w14:textId="77777777" w:rsidR="00A1662D" w:rsidRPr="00A67F9D" w:rsidRDefault="00A1662D" w:rsidP="0032784D">
            <w:pPr>
              <w:spacing w:line="276" w:lineRule="auto"/>
              <w:jc w:val="center"/>
              <w:rPr>
                <w:color w:val="000000"/>
                <w:sz w:val="22"/>
                <w:szCs w:val="22"/>
              </w:rPr>
            </w:pPr>
            <w:r w:rsidRPr="00A67F9D">
              <w:rPr>
                <w:color w:val="000000"/>
                <w:sz w:val="22"/>
                <w:szCs w:val="22"/>
              </w:rPr>
              <w:t>3</w:t>
            </w:r>
          </w:p>
        </w:tc>
        <w:tc>
          <w:tcPr>
            <w:tcW w:w="2693" w:type="dxa"/>
            <w:tcBorders>
              <w:top w:val="nil"/>
              <w:left w:val="nil"/>
              <w:bottom w:val="single" w:sz="4" w:space="0" w:color="auto"/>
              <w:right w:val="single" w:sz="4" w:space="0" w:color="auto"/>
            </w:tcBorders>
            <w:shd w:val="clear" w:color="auto" w:fill="auto"/>
            <w:vAlign w:val="center"/>
            <w:hideMark/>
          </w:tcPr>
          <w:p w14:paraId="799F60D8" w14:textId="77777777" w:rsidR="00A1662D" w:rsidRPr="00A67F9D" w:rsidRDefault="00A1662D" w:rsidP="0032784D">
            <w:pPr>
              <w:spacing w:line="276" w:lineRule="auto"/>
              <w:rPr>
                <w:color w:val="000000"/>
                <w:sz w:val="22"/>
                <w:szCs w:val="22"/>
              </w:rPr>
            </w:pPr>
            <w:r w:rsidRPr="00A67F9D">
              <w:rPr>
                <w:color w:val="000000"/>
                <w:sz w:val="22"/>
                <w:szCs w:val="22"/>
              </w:rPr>
              <w:t>Lower CP diets for livestock</w:t>
            </w:r>
          </w:p>
        </w:tc>
        <w:tc>
          <w:tcPr>
            <w:tcW w:w="3969" w:type="dxa"/>
            <w:tcBorders>
              <w:top w:val="nil"/>
              <w:left w:val="nil"/>
              <w:bottom w:val="single" w:sz="4" w:space="0" w:color="auto"/>
              <w:right w:val="single" w:sz="4" w:space="0" w:color="auto"/>
            </w:tcBorders>
            <w:shd w:val="clear" w:color="auto" w:fill="auto"/>
            <w:noWrap/>
            <w:vAlign w:val="center"/>
            <w:hideMark/>
          </w:tcPr>
          <w:p w14:paraId="7253359A" w14:textId="77777777" w:rsidR="00A1662D" w:rsidRPr="00A67F9D" w:rsidRDefault="00A1662D" w:rsidP="0032784D">
            <w:pPr>
              <w:spacing w:line="276" w:lineRule="auto"/>
              <w:rPr>
                <w:color w:val="000000"/>
                <w:sz w:val="22"/>
                <w:szCs w:val="22"/>
              </w:rPr>
            </w:pPr>
            <w:r w:rsidRPr="00A67F9D">
              <w:rPr>
                <w:color w:val="000000"/>
                <w:sz w:val="22"/>
                <w:szCs w:val="22"/>
              </w:rPr>
              <w:t xml:space="preserve">75% of dairy, beef, </w:t>
            </w:r>
            <w:proofErr w:type="gramStart"/>
            <w:r w:rsidRPr="00A67F9D">
              <w:rPr>
                <w:color w:val="000000"/>
                <w:sz w:val="22"/>
                <w:szCs w:val="22"/>
              </w:rPr>
              <w:t>pig</w:t>
            </w:r>
            <w:proofErr w:type="gramEnd"/>
            <w:r w:rsidRPr="00A67F9D">
              <w:rPr>
                <w:color w:val="000000"/>
                <w:sz w:val="22"/>
                <w:szCs w:val="22"/>
              </w:rPr>
              <w:t xml:space="preserve"> and poultry associated with low CP diets</w:t>
            </w:r>
          </w:p>
        </w:tc>
      </w:tr>
      <w:tr w:rsidR="00A1662D" w:rsidRPr="00A67F9D" w14:paraId="17E34468"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05A027" w14:textId="77777777" w:rsidR="00A1662D" w:rsidRPr="00A67F9D" w:rsidRDefault="00A1662D" w:rsidP="0032784D">
            <w:pPr>
              <w:spacing w:line="276" w:lineRule="auto"/>
              <w:jc w:val="center"/>
              <w:rPr>
                <w:color w:val="000000"/>
                <w:sz w:val="22"/>
                <w:szCs w:val="22"/>
              </w:rPr>
            </w:pPr>
            <w:r w:rsidRPr="00A67F9D">
              <w:rPr>
                <w:color w:val="000000"/>
                <w:sz w:val="22"/>
                <w:szCs w:val="22"/>
              </w:rPr>
              <w:t>4</w:t>
            </w:r>
          </w:p>
        </w:tc>
        <w:tc>
          <w:tcPr>
            <w:tcW w:w="2693" w:type="dxa"/>
            <w:tcBorders>
              <w:top w:val="nil"/>
              <w:left w:val="nil"/>
              <w:bottom w:val="single" w:sz="4" w:space="0" w:color="auto"/>
              <w:right w:val="single" w:sz="4" w:space="0" w:color="auto"/>
            </w:tcBorders>
            <w:shd w:val="clear" w:color="auto" w:fill="auto"/>
            <w:vAlign w:val="center"/>
            <w:hideMark/>
          </w:tcPr>
          <w:p w14:paraId="12DDCBA4" w14:textId="77777777" w:rsidR="00A1662D" w:rsidRPr="00A67F9D" w:rsidRDefault="00A1662D" w:rsidP="0032784D">
            <w:pPr>
              <w:spacing w:line="276" w:lineRule="auto"/>
              <w:rPr>
                <w:color w:val="000000"/>
                <w:sz w:val="22"/>
                <w:szCs w:val="22"/>
              </w:rPr>
            </w:pPr>
            <w:r w:rsidRPr="00A67F9D">
              <w:rPr>
                <w:color w:val="000000"/>
                <w:sz w:val="22"/>
                <w:szCs w:val="22"/>
              </w:rPr>
              <w:t xml:space="preserve">Genetic improvement for cattle, </w:t>
            </w:r>
            <w:proofErr w:type="gramStart"/>
            <w:r w:rsidRPr="00A67F9D">
              <w:rPr>
                <w:color w:val="000000"/>
                <w:sz w:val="22"/>
                <w:szCs w:val="22"/>
              </w:rPr>
              <w:t>pigs</w:t>
            </w:r>
            <w:proofErr w:type="gramEnd"/>
            <w:r w:rsidRPr="00A67F9D">
              <w:rPr>
                <w:color w:val="000000"/>
                <w:sz w:val="22"/>
                <w:szCs w:val="22"/>
              </w:rPr>
              <w:t xml:space="preserve"> and poultry</w:t>
            </w:r>
          </w:p>
        </w:tc>
        <w:tc>
          <w:tcPr>
            <w:tcW w:w="3969" w:type="dxa"/>
            <w:tcBorders>
              <w:top w:val="nil"/>
              <w:left w:val="nil"/>
              <w:bottom w:val="single" w:sz="4" w:space="0" w:color="auto"/>
              <w:right w:val="single" w:sz="4" w:space="0" w:color="auto"/>
            </w:tcBorders>
            <w:shd w:val="clear" w:color="auto" w:fill="auto"/>
            <w:noWrap/>
            <w:vAlign w:val="center"/>
            <w:hideMark/>
          </w:tcPr>
          <w:p w14:paraId="61DA1364" w14:textId="77777777" w:rsidR="00A1662D" w:rsidRPr="00A67F9D" w:rsidRDefault="00A1662D" w:rsidP="0032784D">
            <w:pPr>
              <w:spacing w:line="276" w:lineRule="auto"/>
              <w:rPr>
                <w:color w:val="000000"/>
                <w:sz w:val="22"/>
                <w:szCs w:val="22"/>
              </w:rPr>
            </w:pPr>
            <w:r w:rsidRPr="00A67F9D">
              <w:rPr>
                <w:color w:val="000000"/>
                <w:sz w:val="22"/>
                <w:szCs w:val="22"/>
              </w:rPr>
              <w:t>50% of cattle, 75% of pigs and poultry; 5% reduction in N excretion</w:t>
            </w:r>
          </w:p>
        </w:tc>
      </w:tr>
      <w:tr w:rsidR="00A1662D" w:rsidRPr="00A67F9D" w14:paraId="1E973ADE"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C40DF8" w14:textId="77777777" w:rsidR="00A1662D" w:rsidRPr="00A67F9D" w:rsidRDefault="00A1662D" w:rsidP="0032784D">
            <w:pPr>
              <w:spacing w:line="276" w:lineRule="auto"/>
              <w:jc w:val="center"/>
              <w:rPr>
                <w:color w:val="000000"/>
                <w:sz w:val="22"/>
                <w:szCs w:val="22"/>
              </w:rPr>
            </w:pPr>
            <w:r w:rsidRPr="00A67F9D">
              <w:rPr>
                <w:color w:val="000000"/>
                <w:sz w:val="22"/>
                <w:szCs w:val="22"/>
              </w:rPr>
              <w:t>5</w:t>
            </w:r>
          </w:p>
        </w:tc>
        <w:tc>
          <w:tcPr>
            <w:tcW w:w="2693" w:type="dxa"/>
            <w:tcBorders>
              <w:top w:val="nil"/>
              <w:left w:val="nil"/>
              <w:bottom w:val="single" w:sz="4" w:space="0" w:color="auto"/>
              <w:right w:val="single" w:sz="4" w:space="0" w:color="auto"/>
            </w:tcBorders>
            <w:shd w:val="clear" w:color="auto" w:fill="auto"/>
            <w:noWrap/>
            <w:vAlign w:val="center"/>
            <w:hideMark/>
          </w:tcPr>
          <w:p w14:paraId="7058A1CE" w14:textId="77777777" w:rsidR="00A1662D" w:rsidRPr="00A67F9D" w:rsidRDefault="00A1662D" w:rsidP="0032784D">
            <w:pPr>
              <w:spacing w:line="276" w:lineRule="auto"/>
              <w:rPr>
                <w:color w:val="000000"/>
                <w:sz w:val="22"/>
                <w:szCs w:val="22"/>
              </w:rPr>
            </w:pPr>
            <w:r w:rsidRPr="00A67F9D">
              <w:rPr>
                <w:color w:val="000000"/>
                <w:sz w:val="22"/>
                <w:szCs w:val="22"/>
              </w:rPr>
              <w:t>Stabilised urea</w:t>
            </w:r>
          </w:p>
        </w:tc>
        <w:tc>
          <w:tcPr>
            <w:tcW w:w="3969" w:type="dxa"/>
            <w:tcBorders>
              <w:top w:val="nil"/>
              <w:left w:val="nil"/>
              <w:bottom w:val="single" w:sz="4" w:space="0" w:color="auto"/>
              <w:right w:val="single" w:sz="4" w:space="0" w:color="auto"/>
            </w:tcBorders>
            <w:shd w:val="clear" w:color="auto" w:fill="auto"/>
            <w:noWrap/>
            <w:vAlign w:val="center"/>
            <w:hideMark/>
          </w:tcPr>
          <w:p w14:paraId="13445D51" w14:textId="77777777" w:rsidR="00A1662D" w:rsidRPr="00A67F9D" w:rsidRDefault="00A1662D" w:rsidP="0032784D">
            <w:pPr>
              <w:spacing w:line="276" w:lineRule="auto"/>
              <w:rPr>
                <w:color w:val="000000"/>
                <w:sz w:val="22"/>
                <w:szCs w:val="22"/>
              </w:rPr>
            </w:pPr>
            <w:r w:rsidRPr="00A67F9D">
              <w:rPr>
                <w:color w:val="000000"/>
                <w:sz w:val="22"/>
                <w:szCs w:val="22"/>
              </w:rPr>
              <w:t>100% of urea</w:t>
            </w:r>
          </w:p>
        </w:tc>
      </w:tr>
      <w:tr w:rsidR="00A1662D" w:rsidRPr="00A67F9D" w14:paraId="21FD4BEC"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BA2B3E" w14:textId="77777777" w:rsidR="00A1662D" w:rsidRPr="00A67F9D" w:rsidRDefault="00A1662D" w:rsidP="0032784D">
            <w:pPr>
              <w:spacing w:line="276" w:lineRule="auto"/>
              <w:jc w:val="center"/>
              <w:rPr>
                <w:color w:val="000000"/>
                <w:sz w:val="22"/>
                <w:szCs w:val="22"/>
              </w:rPr>
            </w:pPr>
            <w:r w:rsidRPr="00A67F9D">
              <w:rPr>
                <w:color w:val="000000"/>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14:paraId="4319C623" w14:textId="77777777" w:rsidR="00A1662D" w:rsidRPr="00A67F9D" w:rsidRDefault="00A1662D" w:rsidP="0032784D">
            <w:pPr>
              <w:spacing w:line="276" w:lineRule="auto"/>
              <w:rPr>
                <w:color w:val="000000"/>
                <w:sz w:val="22"/>
                <w:szCs w:val="22"/>
              </w:rPr>
            </w:pPr>
            <w:r w:rsidRPr="00A67F9D">
              <w:rPr>
                <w:color w:val="000000"/>
                <w:sz w:val="22"/>
                <w:szCs w:val="22"/>
              </w:rPr>
              <w:t>Low emission slurry application</w:t>
            </w:r>
          </w:p>
        </w:tc>
        <w:tc>
          <w:tcPr>
            <w:tcW w:w="3969" w:type="dxa"/>
            <w:tcBorders>
              <w:top w:val="nil"/>
              <w:left w:val="nil"/>
              <w:bottom w:val="single" w:sz="4" w:space="0" w:color="auto"/>
              <w:right w:val="single" w:sz="4" w:space="0" w:color="auto"/>
            </w:tcBorders>
            <w:shd w:val="clear" w:color="auto" w:fill="auto"/>
            <w:noWrap/>
            <w:vAlign w:val="bottom"/>
            <w:hideMark/>
          </w:tcPr>
          <w:p w14:paraId="4ED2F3AC" w14:textId="77777777" w:rsidR="00A1662D" w:rsidRPr="00A67F9D" w:rsidRDefault="00A1662D" w:rsidP="0032784D">
            <w:pPr>
              <w:spacing w:line="276" w:lineRule="auto"/>
              <w:rPr>
                <w:color w:val="000000"/>
                <w:sz w:val="22"/>
                <w:szCs w:val="22"/>
              </w:rPr>
            </w:pPr>
            <w:r w:rsidRPr="00A67F9D">
              <w:rPr>
                <w:color w:val="000000"/>
                <w:sz w:val="22"/>
                <w:szCs w:val="22"/>
              </w:rPr>
              <w:t>50% trailing hose, 50% trailing shoe</w:t>
            </w:r>
          </w:p>
        </w:tc>
      </w:tr>
      <w:tr w:rsidR="00A1662D" w:rsidRPr="00A67F9D" w14:paraId="11D7506F"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565948" w14:textId="77777777" w:rsidR="00A1662D" w:rsidRPr="00A67F9D" w:rsidRDefault="00A1662D" w:rsidP="0032784D">
            <w:pPr>
              <w:spacing w:line="276" w:lineRule="auto"/>
              <w:jc w:val="center"/>
              <w:rPr>
                <w:color w:val="000000"/>
                <w:sz w:val="22"/>
                <w:szCs w:val="22"/>
              </w:rPr>
            </w:pPr>
            <w:r w:rsidRPr="00A67F9D">
              <w:rPr>
                <w:color w:val="000000"/>
                <w:sz w:val="22"/>
                <w:szCs w:val="22"/>
              </w:rPr>
              <w:t>7</w:t>
            </w:r>
          </w:p>
        </w:tc>
        <w:tc>
          <w:tcPr>
            <w:tcW w:w="2693" w:type="dxa"/>
            <w:tcBorders>
              <w:top w:val="nil"/>
              <w:left w:val="nil"/>
              <w:bottom w:val="single" w:sz="4" w:space="0" w:color="auto"/>
              <w:right w:val="single" w:sz="4" w:space="0" w:color="auto"/>
            </w:tcBorders>
            <w:shd w:val="clear" w:color="auto" w:fill="auto"/>
            <w:noWrap/>
            <w:vAlign w:val="center"/>
            <w:hideMark/>
          </w:tcPr>
          <w:p w14:paraId="44ABC9A4" w14:textId="77777777" w:rsidR="00A1662D" w:rsidRPr="00A67F9D" w:rsidRDefault="00A1662D" w:rsidP="0032784D">
            <w:pPr>
              <w:spacing w:line="276" w:lineRule="auto"/>
              <w:rPr>
                <w:color w:val="000000"/>
                <w:sz w:val="22"/>
                <w:szCs w:val="22"/>
              </w:rPr>
            </w:pPr>
            <w:r w:rsidRPr="00A67F9D">
              <w:rPr>
                <w:color w:val="000000"/>
                <w:sz w:val="22"/>
                <w:szCs w:val="22"/>
              </w:rPr>
              <w:t>In-field slurry acidification</w:t>
            </w:r>
          </w:p>
        </w:tc>
        <w:tc>
          <w:tcPr>
            <w:tcW w:w="3969" w:type="dxa"/>
            <w:tcBorders>
              <w:top w:val="nil"/>
              <w:left w:val="nil"/>
              <w:bottom w:val="single" w:sz="4" w:space="0" w:color="auto"/>
              <w:right w:val="single" w:sz="4" w:space="0" w:color="auto"/>
            </w:tcBorders>
            <w:shd w:val="clear" w:color="auto" w:fill="auto"/>
            <w:noWrap/>
            <w:vAlign w:val="center"/>
            <w:hideMark/>
          </w:tcPr>
          <w:p w14:paraId="0D63720C" w14:textId="77777777" w:rsidR="00A1662D" w:rsidRPr="00A67F9D" w:rsidRDefault="00A1662D" w:rsidP="0032784D">
            <w:pPr>
              <w:spacing w:line="276" w:lineRule="auto"/>
              <w:rPr>
                <w:color w:val="000000"/>
                <w:sz w:val="22"/>
                <w:szCs w:val="22"/>
              </w:rPr>
            </w:pPr>
            <w:r w:rsidRPr="00A67F9D">
              <w:rPr>
                <w:color w:val="000000"/>
                <w:sz w:val="22"/>
                <w:szCs w:val="22"/>
              </w:rPr>
              <w:t>10% slurry applied with in-field acidification</w:t>
            </w:r>
          </w:p>
        </w:tc>
      </w:tr>
      <w:tr w:rsidR="00A1662D" w:rsidRPr="00A67F9D" w14:paraId="049C1471"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357EAE" w14:textId="77777777" w:rsidR="00A1662D" w:rsidRPr="00A67F9D" w:rsidRDefault="00A1662D" w:rsidP="0032784D">
            <w:pPr>
              <w:spacing w:line="276" w:lineRule="auto"/>
              <w:jc w:val="center"/>
              <w:rPr>
                <w:color w:val="000000"/>
                <w:sz w:val="22"/>
                <w:szCs w:val="22"/>
              </w:rPr>
            </w:pPr>
            <w:r w:rsidRPr="00A67F9D">
              <w:rPr>
                <w:color w:val="000000"/>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14:paraId="7B499034" w14:textId="77777777" w:rsidR="00A1662D" w:rsidRPr="00A67F9D" w:rsidRDefault="00A1662D" w:rsidP="0032784D">
            <w:pPr>
              <w:spacing w:line="276" w:lineRule="auto"/>
              <w:rPr>
                <w:color w:val="000000"/>
                <w:sz w:val="22"/>
                <w:szCs w:val="22"/>
              </w:rPr>
            </w:pPr>
            <w:r w:rsidRPr="00A67F9D">
              <w:rPr>
                <w:color w:val="000000"/>
                <w:sz w:val="22"/>
                <w:szCs w:val="22"/>
              </w:rPr>
              <w:t>Washing of collecting yards - dairy cows</w:t>
            </w:r>
          </w:p>
        </w:tc>
        <w:tc>
          <w:tcPr>
            <w:tcW w:w="3969" w:type="dxa"/>
            <w:tcBorders>
              <w:top w:val="nil"/>
              <w:left w:val="nil"/>
              <w:bottom w:val="single" w:sz="4" w:space="0" w:color="auto"/>
              <w:right w:val="single" w:sz="4" w:space="0" w:color="auto"/>
            </w:tcBorders>
            <w:shd w:val="clear" w:color="auto" w:fill="auto"/>
            <w:noWrap/>
            <w:vAlign w:val="center"/>
            <w:hideMark/>
          </w:tcPr>
          <w:p w14:paraId="502E2788" w14:textId="77777777" w:rsidR="00A1662D" w:rsidRPr="00A67F9D" w:rsidRDefault="00A1662D" w:rsidP="0032784D">
            <w:pPr>
              <w:spacing w:line="276" w:lineRule="auto"/>
              <w:rPr>
                <w:color w:val="000000"/>
                <w:sz w:val="22"/>
                <w:szCs w:val="22"/>
              </w:rPr>
            </w:pPr>
            <w:r w:rsidRPr="00A67F9D">
              <w:rPr>
                <w:color w:val="000000"/>
                <w:sz w:val="22"/>
                <w:szCs w:val="22"/>
              </w:rPr>
              <w:t>15% (assume washing down)</w:t>
            </w:r>
          </w:p>
        </w:tc>
      </w:tr>
      <w:tr w:rsidR="00A1662D" w:rsidRPr="00A67F9D" w14:paraId="0FE083B3"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C8EE9E" w14:textId="77777777" w:rsidR="00A1662D" w:rsidRPr="00A67F9D" w:rsidRDefault="00A1662D" w:rsidP="0032784D">
            <w:pPr>
              <w:spacing w:line="276" w:lineRule="auto"/>
              <w:jc w:val="center"/>
              <w:rPr>
                <w:color w:val="000000"/>
                <w:sz w:val="22"/>
                <w:szCs w:val="22"/>
              </w:rPr>
            </w:pPr>
            <w:r w:rsidRPr="00A67F9D">
              <w:rPr>
                <w:color w:val="000000"/>
                <w:sz w:val="22"/>
                <w:szCs w:val="22"/>
              </w:rPr>
              <w:t>9</w:t>
            </w:r>
          </w:p>
        </w:tc>
        <w:tc>
          <w:tcPr>
            <w:tcW w:w="2693" w:type="dxa"/>
            <w:tcBorders>
              <w:top w:val="nil"/>
              <w:left w:val="nil"/>
              <w:bottom w:val="single" w:sz="4" w:space="0" w:color="auto"/>
              <w:right w:val="single" w:sz="4" w:space="0" w:color="auto"/>
            </w:tcBorders>
            <w:shd w:val="clear" w:color="auto" w:fill="auto"/>
            <w:noWrap/>
            <w:vAlign w:val="center"/>
            <w:hideMark/>
          </w:tcPr>
          <w:p w14:paraId="21770CC0" w14:textId="77777777" w:rsidR="00A1662D" w:rsidRPr="00A67F9D" w:rsidRDefault="00A1662D" w:rsidP="0032784D">
            <w:pPr>
              <w:spacing w:line="276" w:lineRule="auto"/>
              <w:rPr>
                <w:color w:val="000000"/>
                <w:sz w:val="22"/>
                <w:szCs w:val="22"/>
              </w:rPr>
            </w:pPr>
            <w:r w:rsidRPr="00A67F9D">
              <w:rPr>
                <w:color w:val="000000"/>
                <w:sz w:val="22"/>
                <w:szCs w:val="22"/>
              </w:rPr>
              <w:t>In-house slurry acidification</w:t>
            </w:r>
          </w:p>
        </w:tc>
        <w:tc>
          <w:tcPr>
            <w:tcW w:w="3969" w:type="dxa"/>
            <w:tcBorders>
              <w:top w:val="nil"/>
              <w:left w:val="nil"/>
              <w:bottom w:val="single" w:sz="4" w:space="0" w:color="auto"/>
              <w:right w:val="single" w:sz="4" w:space="0" w:color="auto"/>
            </w:tcBorders>
            <w:shd w:val="clear" w:color="auto" w:fill="auto"/>
            <w:noWrap/>
            <w:vAlign w:val="center"/>
            <w:hideMark/>
          </w:tcPr>
          <w:p w14:paraId="6F30E435" w14:textId="77777777" w:rsidR="00A1662D" w:rsidRPr="00A67F9D" w:rsidRDefault="00A1662D" w:rsidP="0032784D">
            <w:pPr>
              <w:spacing w:line="276" w:lineRule="auto"/>
              <w:rPr>
                <w:color w:val="000000"/>
                <w:sz w:val="22"/>
                <w:szCs w:val="22"/>
              </w:rPr>
            </w:pPr>
            <w:r w:rsidRPr="00A67F9D">
              <w:rPr>
                <w:color w:val="000000"/>
                <w:sz w:val="22"/>
                <w:szCs w:val="22"/>
              </w:rPr>
              <w:t>5% dairy cattle and 5% finishing pigs</w:t>
            </w:r>
          </w:p>
        </w:tc>
      </w:tr>
      <w:tr w:rsidR="00A1662D" w:rsidRPr="00A67F9D" w14:paraId="26CA2F99"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291E07" w14:textId="77777777" w:rsidR="00A1662D" w:rsidRPr="00A67F9D" w:rsidRDefault="00A1662D" w:rsidP="0032784D">
            <w:pPr>
              <w:spacing w:line="276" w:lineRule="auto"/>
              <w:jc w:val="center"/>
              <w:rPr>
                <w:color w:val="000000"/>
                <w:sz w:val="22"/>
                <w:szCs w:val="22"/>
              </w:rPr>
            </w:pPr>
            <w:r w:rsidRPr="00A67F9D">
              <w:rPr>
                <w:color w:val="000000"/>
                <w:sz w:val="22"/>
                <w:szCs w:val="22"/>
              </w:rPr>
              <w:t>10</w:t>
            </w:r>
          </w:p>
        </w:tc>
        <w:tc>
          <w:tcPr>
            <w:tcW w:w="2693" w:type="dxa"/>
            <w:tcBorders>
              <w:top w:val="nil"/>
              <w:left w:val="nil"/>
              <w:bottom w:val="single" w:sz="4" w:space="0" w:color="auto"/>
              <w:right w:val="single" w:sz="4" w:space="0" w:color="auto"/>
            </w:tcBorders>
            <w:shd w:val="clear" w:color="auto" w:fill="auto"/>
            <w:noWrap/>
            <w:vAlign w:val="center"/>
            <w:hideMark/>
          </w:tcPr>
          <w:p w14:paraId="4B71CEA1" w14:textId="77777777" w:rsidR="00A1662D" w:rsidRPr="00A67F9D" w:rsidRDefault="00A1662D" w:rsidP="0032784D">
            <w:pPr>
              <w:spacing w:line="276" w:lineRule="auto"/>
              <w:rPr>
                <w:color w:val="000000"/>
                <w:sz w:val="22"/>
                <w:szCs w:val="22"/>
              </w:rPr>
            </w:pPr>
            <w:r w:rsidRPr="00A67F9D">
              <w:rPr>
                <w:color w:val="000000"/>
                <w:sz w:val="22"/>
                <w:szCs w:val="22"/>
              </w:rPr>
              <w:t>Comfort slat mats - dairy cattle</w:t>
            </w:r>
          </w:p>
        </w:tc>
        <w:tc>
          <w:tcPr>
            <w:tcW w:w="3969" w:type="dxa"/>
            <w:tcBorders>
              <w:top w:val="nil"/>
              <w:left w:val="nil"/>
              <w:bottom w:val="single" w:sz="4" w:space="0" w:color="auto"/>
              <w:right w:val="single" w:sz="4" w:space="0" w:color="auto"/>
            </w:tcBorders>
            <w:shd w:val="clear" w:color="auto" w:fill="auto"/>
            <w:noWrap/>
            <w:vAlign w:val="center"/>
            <w:hideMark/>
          </w:tcPr>
          <w:p w14:paraId="6810D964" w14:textId="77777777" w:rsidR="00A1662D" w:rsidRPr="00A67F9D" w:rsidRDefault="00A1662D" w:rsidP="0032784D">
            <w:pPr>
              <w:spacing w:line="276" w:lineRule="auto"/>
              <w:rPr>
                <w:color w:val="000000"/>
                <w:sz w:val="22"/>
                <w:szCs w:val="22"/>
              </w:rPr>
            </w:pPr>
            <w:r w:rsidRPr="00A67F9D">
              <w:rPr>
                <w:color w:val="000000"/>
                <w:sz w:val="22"/>
                <w:szCs w:val="22"/>
              </w:rPr>
              <w:t>30% of dairy cattle</w:t>
            </w:r>
          </w:p>
        </w:tc>
      </w:tr>
      <w:tr w:rsidR="00A1662D" w:rsidRPr="00A67F9D" w14:paraId="2C03EBFE"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90D5C7" w14:textId="77777777" w:rsidR="00A1662D" w:rsidRPr="00A67F9D" w:rsidRDefault="00A1662D" w:rsidP="0032784D">
            <w:pPr>
              <w:spacing w:line="276" w:lineRule="auto"/>
              <w:jc w:val="center"/>
              <w:rPr>
                <w:color w:val="000000"/>
                <w:sz w:val="22"/>
                <w:szCs w:val="22"/>
              </w:rPr>
            </w:pPr>
            <w:r w:rsidRPr="00A67F9D">
              <w:rPr>
                <w:color w:val="000000"/>
                <w:sz w:val="22"/>
                <w:szCs w:val="22"/>
              </w:rPr>
              <w:t>11</w:t>
            </w:r>
          </w:p>
        </w:tc>
        <w:tc>
          <w:tcPr>
            <w:tcW w:w="2693" w:type="dxa"/>
            <w:tcBorders>
              <w:top w:val="nil"/>
              <w:left w:val="nil"/>
              <w:bottom w:val="single" w:sz="4" w:space="0" w:color="auto"/>
              <w:right w:val="single" w:sz="4" w:space="0" w:color="auto"/>
            </w:tcBorders>
            <w:shd w:val="clear" w:color="auto" w:fill="auto"/>
            <w:noWrap/>
            <w:vAlign w:val="center"/>
            <w:hideMark/>
          </w:tcPr>
          <w:p w14:paraId="1065FAED" w14:textId="77777777" w:rsidR="00A1662D" w:rsidRPr="00A67F9D" w:rsidRDefault="00A1662D" w:rsidP="0032784D">
            <w:pPr>
              <w:spacing w:line="276" w:lineRule="auto"/>
              <w:rPr>
                <w:color w:val="000000"/>
                <w:sz w:val="22"/>
                <w:szCs w:val="22"/>
              </w:rPr>
            </w:pPr>
            <w:r w:rsidRPr="00A67F9D">
              <w:rPr>
                <w:color w:val="000000"/>
                <w:sz w:val="22"/>
                <w:szCs w:val="22"/>
              </w:rPr>
              <w:t>Low emission pig housing - acid scrubbers</w:t>
            </w:r>
          </w:p>
        </w:tc>
        <w:tc>
          <w:tcPr>
            <w:tcW w:w="3969" w:type="dxa"/>
            <w:tcBorders>
              <w:top w:val="nil"/>
              <w:left w:val="nil"/>
              <w:bottom w:val="single" w:sz="4" w:space="0" w:color="auto"/>
              <w:right w:val="single" w:sz="4" w:space="0" w:color="auto"/>
            </w:tcBorders>
            <w:shd w:val="clear" w:color="auto" w:fill="auto"/>
            <w:noWrap/>
            <w:vAlign w:val="center"/>
            <w:hideMark/>
          </w:tcPr>
          <w:p w14:paraId="33582273" w14:textId="77777777" w:rsidR="00A1662D" w:rsidRPr="00A67F9D" w:rsidRDefault="00A1662D" w:rsidP="0032784D">
            <w:pPr>
              <w:spacing w:line="276" w:lineRule="auto"/>
              <w:rPr>
                <w:color w:val="000000"/>
                <w:sz w:val="22"/>
                <w:szCs w:val="22"/>
              </w:rPr>
            </w:pPr>
            <w:r w:rsidRPr="00A67F9D">
              <w:rPr>
                <w:color w:val="000000"/>
                <w:sz w:val="22"/>
                <w:szCs w:val="22"/>
              </w:rPr>
              <w:t>25% uptake</w:t>
            </w:r>
          </w:p>
        </w:tc>
      </w:tr>
      <w:tr w:rsidR="00A1662D" w:rsidRPr="00A67F9D" w14:paraId="67F195EF"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8146CB" w14:textId="77777777" w:rsidR="00A1662D" w:rsidRPr="00A67F9D" w:rsidRDefault="00A1662D" w:rsidP="0032784D">
            <w:pPr>
              <w:spacing w:line="276" w:lineRule="auto"/>
              <w:jc w:val="center"/>
              <w:rPr>
                <w:color w:val="000000"/>
                <w:sz w:val="22"/>
                <w:szCs w:val="22"/>
              </w:rPr>
            </w:pPr>
            <w:r w:rsidRPr="00A67F9D">
              <w:rPr>
                <w:color w:val="000000"/>
                <w:sz w:val="22"/>
                <w:szCs w:val="22"/>
              </w:rPr>
              <w:t>12</w:t>
            </w:r>
          </w:p>
        </w:tc>
        <w:tc>
          <w:tcPr>
            <w:tcW w:w="2693" w:type="dxa"/>
            <w:tcBorders>
              <w:top w:val="nil"/>
              <w:left w:val="nil"/>
              <w:bottom w:val="single" w:sz="4" w:space="0" w:color="auto"/>
              <w:right w:val="single" w:sz="4" w:space="0" w:color="auto"/>
            </w:tcBorders>
            <w:shd w:val="clear" w:color="auto" w:fill="auto"/>
            <w:noWrap/>
            <w:vAlign w:val="center"/>
            <w:hideMark/>
          </w:tcPr>
          <w:p w14:paraId="53859337" w14:textId="77777777" w:rsidR="00A1662D" w:rsidRPr="00A67F9D" w:rsidRDefault="00A1662D" w:rsidP="0032784D">
            <w:pPr>
              <w:spacing w:line="276" w:lineRule="auto"/>
              <w:rPr>
                <w:color w:val="000000"/>
                <w:sz w:val="22"/>
                <w:szCs w:val="22"/>
              </w:rPr>
            </w:pPr>
            <w:r w:rsidRPr="00A67F9D">
              <w:rPr>
                <w:color w:val="000000"/>
                <w:sz w:val="22"/>
                <w:szCs w:val="22"/>
              </w:rPr>
              <w:t>Fixed slurry store covers</w:t>
            </w:r>
          </w:p>
        </w:tc>
        <w:tc>
          <w:tcPr>
            <w:tcW w:w="3969" w:type="dxa"/>
            <w:tcBorders>
              <w:top w:val="nil"/>
              <w:left w:val="nil"/>
              <w:bottom w:val="single" w:sz="4" w:space="0" w:color="auto"/>
              <w:right w:val="single" w:sz="4" w:space="0" w:color="auto"/>
            </w:tcBorders>
            <w:shd w:val="clear" w:color="auto" w:fill="auto"/>
            <w:noWrap/>
            <w:vAlign w:val="center"/>
            <w:hideMark/>
          </w:tcPr>
          <w:p w14:paraId="466D8B08" w14:textId="77777777" w:rsidR="00A1662D" w:rsidRPr="00A67F9D" w:rsidRDefault="00A1662D" w:rsidP="0032784D">
            <w:pPr>
              <w:spacing w:line="276" w:lineRule="auto"/>
              <w:rPr>
                <w:color w:val="000000"/>
                <w:sz w:val="22"/>
                <w:szCs w:val="22"/>
              </w:rPr>
            </w:pPr>
            <w:r w:rsidRPr="00A67F9D">
              <w:rPr>
                <w:color w:val="000000"/>
                <w:sz w:val="22"/>
                <w:szCs w:val="22"/>
              </w:rPr>
              <w:t>30% of above-ground slurry</w:t>
            </w:r>
          </w:p>
        </w:tc>
      </w:tr>
      <w:tr w:rsidR="00A1662D" w:rsidRPr="00A67F9D" w14:paraId="41097D19" w14:textId="77777777" w:rsidTr="00A1662D">
        <w:trPr>
          <w:trHeight w:val="36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11D6C1" w14:textId="77777777" w:rsidR="00A1662D" w:rsidRPr="00A67F9D" w:rsidRDefault="00A1662D" w:rsidP="0032784D">
            <w:pPr>
              <w:spacing w:line="276" w:lineRule="auto"/>
              <w:jc w:val="center"/>
              <w:rPr>
                <w:color w:val="000000"/>
                <w:sz w:val="22"/>
                <w:szCs w:val="22"/>
              </w:rPr>
            </w:pPr>
            <w:r w:rsidRPr="00A67F9D">
              <w:rPr>
                <w:color w:val="000000"/>
                <w:sz w:val="22"/>
                <w:szCs w:val="22"/>
              </w:rPr>
              <w:t>13</w:t>
            </w:r>
          </w:p>
        </w:tc>
        <w:tc>
          <w:tcPr>
            <w:tcW w:w="2693" w:type="dxa"/>
            <w:tcBorders>
              <w:top w:val="nil"/>
              <w:left w:val="nil"/>
              <w:bottom w:val="single" w:sz="4" w:space="0" w:color="auto"/>
              <w:right w:val="single" w:sz="4" w:space="0" w:color="auto"/>
            </w:tcBorders>
            <w:shd w:val="clear" w:color="auto" w:fill="auto"/>
            <w:noWrap/>
            <w:hideMark/>
          </w:tcPr>
          <w:p w14:paraId="5968774A" w14:textId="6FDAB513" w:rsidR="00A1662D" w:rsidRPr="00A67F9D" w:rsidRDefault="00A1662D" w:rsidP="0032784D">
            <w:pPr>
              <w:spacing w:line="276" w:lineRule="auto"/>
              <w:rPr>
                <w:color w:val="000000"/>
                <w:sz w:val="22"/>
                <w:szCs w:val="22"/>
              </w:rPr>
            </w:pPr>
            <w:r w:rsidRPr="00D2687C">
              <w:rPr>
                <w:sz w:val="22"/>
                <w:szCs w:val="22"/>
              </w:rPr>
              <w:t>Low emission poultry housing</w:t>
            </w:r>
          </w:p>
        </w:tc>
        <w:tc>
          <w:tcPr>
            <w:tcW w:w="3969" w:type="dxa"/>
            <w:tcBorders>
              <w:top w:val="nil"/>
              <w:left w:val="nil"/>
              <w:bottom w:val="single" w:sz="4" w:space="0" w:color="auto"/>
              <w:right w:val="single" w:sz="4" w:space="0" w:color="auto"/>
            </w:tcBorders>
            <w:shd w:val="clear" w:color="auto" w:fill="auto"/>
            <w:hideMark/>
          </w:tcPr>
          <w:p w14:paraId="17B52F2C" w14:textId="72CAA0D5" w:rsidR="00A1662D" w:rsidRPr="00A67F9D" w:rsidRDefault="00A1662D" w:rsidP="0032784D">
            <w:pPr>
              <w:spacing w:line="276" w:lineRule="auto"/>
              <w:rPr>
                <w:color w:val="000000"/>
                <w:sz w:val="22"/>
                <w:szCs w:val="22"/>
              </w:rPr>
            </w:pPr>
            <w:r w:rsidRPr="00D2687C">
              <w:rPr>
                <w:sz w:val="22"/>
                <w:szCs w:val="22"/>
              </w:rPr>
              <w:t>60% acid scrubbers for layers</w:t>
            </w:r>
          </w:p>
        </w:tc>
      </w:tr>
      <w:tr w:rsidR="00A1662D" w:rsidRPr="00A67F9D" w14:paraId="2E9BED0C" w14:textId="77777777" w:rsidTr="00A1662D">
        <w:trPr>
          <w:trHeight w:val="285"/>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11078B" w14:textId="77777777" w:rsidR="00A1662D" w:rsidRPr="00A67F9D" w:rsidRDefault="00A1662D" w:rsidP="0032784D">
            <w:pPr>
              <w:spacing w:line="276" w:lineRule="auto"/>
              <w:jc w:val="center"/>
              <w:rPr>
                <w:color w:val="000000"/>
                <w:sz w:val="22"/>
                <w:szCs w:val="22"/>
              </w:rPr>
            </w:pPr>
            <w:r w:rsidRPr="00A67F9D">
              <w:rPr>
                <w:color w:val="000000"/>
                <w:sz w:val="22"/>
                <w:szCs w:val="22"/>
              </w:rPr>
              <w:t>14</w:t>
            </w:r>
          </w:p>
        </w:tc>
        <w:tc>
          <w:tcPr>
            <w:tcW w:w="2693" w:type="dxa"/>
            <w:tcBorders>
              <w:top w:val="nil"/>
              <w:left w:val="nil"/>
              <w:bottom w:val="single" w:sz="4" w:space="0" w:color="auto"/>
              <w:right w:val="single" w:sz="4" w:space="0" w:color="auto"/>
            </w:tcBorders>
            <w:shd w:val="clear" w:color="auto" w:fill="auto"/>
            <w:noWrap/>
            <w:vAlign w:val="bottom"/>
            <w:hideMark/>
          </w:tcPr>
          <w:p w14:paraId="3C5B22B5" w14:textId="77777777" w:rsidR="00A1662D" w:rsidRPr="00A67F9D" w:rsidRDefault="00A1662D" w:rsidP="0032784D">
            <w:pPr>
              <w:spacing w:line="276" w:lineRule="auto"/>
              <w:rPr>
                <w:color w:val="000000"/>
                <w:sz w:val="22"/>
                <w:szCs w:val="22"/>
              </w:rPr>
            </w:pPr>
            <w:r w:rsidRPr="00A67F9D">
              <w:rPr>
                <w:color w:val="000000"/>
                <w:sz w:val="22"/>
                <w:szCs w:val="22"/>
              </w:rPr>
              <w:t>Comfort slat mats - beef cattle</w:t>
            </w:r>
          </w:p>
        </w:tc>
        <w:tc>
          <w:tcPr>
            <w:tcW w:w="3969" w:type="dxa"/>
            <w:tcBorders>
              <w:top w:val="nil"/>
              <w:left w:val="nil"/>
              <w:bottom w:val="single" w:sz="4" w:space="0" w:color="auto"/>
              <w:right w:val="single" w:sz="4" w:space="0" w:color="auto"/>
            </w:tcBorders>
            <w:shd w:val="clear" w:color="auto" w:fill="auto"/>
            <w:noWrap/>
            <w:vAlign w:val="bottom"/>
            <w:hideMark/>
          </w:tcPr>
          <w:p w14:paraId="0F4F50F9" w14:textId="77777777" w:rsidR="00A1662D" w:rsidRPr="00A67F9D" w:rsidRDefault="00A1662D" w:rsidP="0032784D">
            <w:pPr>
              <w:spacing w:line="276" w:lineRule="auto"/>
              <w:rPr>
                <w:color w:val="000000"/>
                <w:sz w:val="22"/>
                <w:szCs w:val="22"/>
              </w:rPr>
            </w:pPr>
            <w:r w:rsidRPr="00A67F9D">
              <w:rPr>
                <w:color w:val="000000"/>
                <w:sz w:val="22"/>
                <w:szCs w:val="22"/>
              </w:rPr>
              <w:t>30% of beef cattle slurry</w:t>
            </w:r>
          </w:p>
        </w:tc>
      </w:tr>
    </w:tbl>
    <w:p w14:paraId="61BAFD78" w14:textId="77777777" w:rsidR="00A67F9D" w:rsidRPr="00A67F9D" w:rsidRDefault="00A67F9D" w:rsidP="0032784D">
      <w:pPr>
        <w:pStyle w:val="Default"/>
        <w:spacing w:line="276" w:lineRule="auto"/>
        <w:rPr>
          <w:rFonts w:ascii="Arial" w:hAnsi="Arial" w:cs="Arial"/>
          <w:sz w:val="22"/>
          <w:szCs w:val="22"/>
        </w:rPr>
      </w:pPr>
    </w:p>
    <w:p w14:paraId="07F89513" w14:textId="77777777" w:rsidR="00E25D46" w:rsidRPr="00DA3AE2" w:rsidRDefault="00E25D46" w:rsidP="0032784D">
      <w:pPr>
        <w:tabs>
          <w:tab w:val="left" w:pos="7920"/>
        </w:tabs>
        <w:spacing w:line="276" w:lineRule="auto"/>
        <w:rPr>
          <w:sz w:val="22"/>
          <w:szCs w:val="22"/>
        </w:rPr>
      </w:pPr>
    </w:p>
    <w:p w14:paraId="667BA043" w14:textId="19F98DD0" w:rsidR="00E25D46" w:rsidRPr="00DA3AE2" w:rsidRDefault="0035439F" w:rsidP="0032784D">
      <w:pPr>
        <w:tabs>
          <w:tab w:val="left" w:pos="7920"/>
        </w:tabs>
        <w:spacing w:line="276" w:lineRule="auto"/>
        <w:rPr>
          <w:sz w:val="22"/>
          <w:szCs w:val="22"/>
        </w:rPr>
      </w:pPr>
      <w:r w:rsidRPr="00DA3AE2">
        <w:rPr>
          <w:sz w:val="22"/>
          <w:szCs w:val="22"/>
        </w:rPr>
        <w:lastRenderedPageBreak/>
        <w:t xml:space="preserve">Uptake rates for ammonia mitigation measures are the key </w:t>
      </w:r>
      <w:r w:rsidR="00994727" w:rsidRPr="00DA3AE2">
        <w:rPr>
          <w:sz w:val="22"/>
          <w:szCs w:val="22"/>
        </w:rPr>
        <w:t xml:space="preserve">risk factor and </w:t>
      </w:r>
      <w:r w:rsidRPr="00DA3AE2">
        <w:rPr>
          <w:sz w:val="22"/>
          <w:szCs w:val="22"/>
        </w:rPr>
        <w:t xml:space="preserve">determinant of total ammonia reduction. </w:t>
      </w:r>
      <w:r w:rsidR="00E25D46" w:rsidRPr="00DA3AE2">
        <w:rPr>
          <w:sz w:val="22"/>
          <w:szCs w:val="22"/>
        </w:rPr>
        <w:t xml:space="preserve">Changes in economic analysis of cost effectiveness of ammonia reduction measures due to external factors </w:t>
      </w:r>
      <w:r w:rsidR="005B7E1D">
        <w:rPr>
          <w:sz w:val="22"/>
          <w:szCs w:val="22"/>
        </w:rPr>
        <w:t>such as the</w:t>
      </w:r>
      <w:r w:rsidR="00E25D46" w:rsidRPr="00DA3AE2">
        <w:rPr>
          <w:sz w:val="22"/>
          <w:szCs w:val="22"/>
        </w:rPr>
        <w:t xml:space="preserve"> rise in cost of fertiliser and</w:t>
      </w:r>
      <w:r w:rsidR="00994727" w:rsidRPr="00DA3AE2">
        <w:rPr>
          <w:sz w:val="22"/>
          <w:szCs w:val="22"/>
        </w:rPr>
        <w:t xml:space="preserve"> other key agricultural inputs is a significant risk.</w:t>
      </w:r>
    </w:p>
    <w:p w14:paraId="2E892E45" w14:textId="77777777" w:rsidR="00F87832" w:rsidRPr="00DA3AE2" w:rsidRDefault="00F87832" w:rsidP="0032784D">
      <w:pPr>
        <w:tabs>
          <w:tab w:val="left" w:pos="7920"/>
        </w:tabs>
        <w:spacing w:line="276" w:lineRule="auto"/>
        <w:rPr>
          <w:sz w:val="22"/>
          <w:szCs w:val="22"/>
        </w:rPr>
      </w:pPr>
    </w:p>
    <w:p w14:paraId="596593E4" w14:textId="6074B4F5" w:rsidR="00C71DE8" w:rsidRPr="00DA3AE2" w:rsidRDefault="00994727" w:rsidP="0032784D">
      <w:pPr>
        <w:tabs>
          <w:tab w:val="left" w:pos="7920"/>
        </w:tabs>
        <w:spacing w:line="276" w:lineRule="auto"/>
        <w:rPr>
          <w:sz w:val="22"/>
          <w:szCs w:val="22"/>
        </w:rPr>
      </w:pPr>
      <w:r w:rsidRPr="00DA3AE2">
        <w:rPr>
          <w:sz w:val="22"/>
          <w:szCs w:val="22"/>
        </w:rPr>
        <w:t>It is assumed that if</w:t>
      </w:r>
      <w:r w:rsidR="00F87832" w:rsidRPr="00DA3AE2">
        <w:rPr>
          <w:sz w:val="22"/>
          <w:szCs w:val="22"/>
        </w:rPr>
        <w:t xml:space="preserve"> livestock numbers increase, additional effort will be required to reach the targets highlighted in the strategy.</w:t>
      </w:r>
      <w:r w:rsidR="00F215A2" w:rsidRPr="00DA3AE2">
        <w:rPr>
          <w:sz w:val="22"/>
          <w:szCs w:val="22"/>
        </w:rPr>
        <w:t xml:space="preserve"> Similarly, if livestock numbers fall, then reductions in emissions will be achieved and the effort required in relation to ammonia reduction measures may not be as high.</w:t>
      </w:r>
    </w:p>
    <w:p w14:paraId="6914AE0A" w14:textId="77777777" w:rsidR="00C71DE8" w:rsidRPr="00DA3AE2" w:rsidRDefault="00C71DE8" w:rsidP="0032784D">
      <w:pPr>
        <w:tabs>
          <w:tab w:val="left" w:pos="7920"/>
        </w:tabs>
        <w:spacing w:line="276" w:lineRule="auto"/>
        <w:ind w:left="360"/>
        <w:rPr>
          <w:sz w:val="22"/>
          <w:szCs w:val="22"/>
        </w:rPr>
      </w:pPr>
    </w:p>
    <w:p w14:paraId="6ED991EC" w14:textId="1EB748FD" w:rsidR="00D8242E" w:rsidRDefault="00D8242E" w:rsidP="0032784D">
      <w:pPr>
        <w:tabs>
          <w:tab w:val="left" w:pos="7920"/>
        </w:tabs>
        <w:spacing w:line="276" w:lineRule="auto"/>
        <w:ind w:left="360"/>
        <w:rPr>
          <w:sz w:val="22"/>
          <w:szCs w:val="22"/>
        </w:rPr>
      </w:pPr>
    </w:p>
    <w:p w14:paraId="022F934E" w14:textId="7632BC7F" w:rsidR="00C43BA5" w:rsidRDefault="00C43BA5" w:rsidP="0032784D">
      <w:pPr>
        <w:tabs>
          <w:tab w:val="left" w:pos="7920"/>
        </w:tabs>
        <w:spacing w:line="276" w:lineRule="auto"/>
        <w:ind w:left="360"/>
        <w:rPr>
          <w:sz w:val="22"/>
          <w:szCs w:val="22"/>
        </w:rPr>
      </w:pPr>
    </w:p>
    <w:p w14:paraId="137657F1" w14:textId="77777777" w:rsidR="00C43BA5" w:rsidRPr="00DA3AE2" w:rsidRDefault="00C43BA5" w:rsidP="0032784D">
      <w:pPr>
        <w:tabs>
          <w:tab w:val="left" w:pos="7920"/>
        </w:tabs>
        <w:spacing w:line="276" w:lineRule="auto"/>
        <w:ind w:left="360"/>
        <w:rPr>
          <w:sz w:val="22"/>
          <w:szCs w:val="22"/>
        </w:rPr>
      </w:pPr>
    </w:p>
    <w:p w14:paraId="7EF8CCCC" w14:textId="68A63ABA" w:rsidR="00720F35" w:rsidRPr="00DA3AE2" w:rsidRDefault="00720F35" w:rsidP="0032784D">
      <w:pPr>
        <w:numPr>
          <w:ilvl w:val="0"/>
          <w:numId w:val="1"/>
        </w:numPr>
        <w:tabs>
          <w:tab w:val="left" w:pos="7920"/>
        </w:tabs>
        <w:spacing w:line="276" w:lineRule="auto"/>
        <w:rPr>
          <w:b/>
          <w:sz w:val="22"/>
          <w:szCs w:val="22"/>
        </w:rPr>
      </w:pPr>
      <w:r w:rsidRPr="00DA3AE2">
        <w:rPr>
          <w:b/>
          <w:sz w:val="22"/>
          <w:szCs w:val="22"/>
        </w:rPr>
        <w:t>Direct costs and benefits to business</w:t>
      </w:r>
    </w:p>
    <w:p w14:paraId="354D3AE7" w14:textId="77777777" w:rsidR="00D8242E" w:rsidRPr="00DA3AE2" w:rsidRDefault="00D8242E" w:rsidP="0032784D">
      <w:pPr>
        <w:tabs>
          <w:tab w:val="left" w:pos="7920"/>
        </w:tabs>
        <w:spacing w:line="276" w:lineRule="auto"/>
        <w:rPr>
          <w:b/>
          <w:sz w:val="22"/>
          <w:szCs w:val="22"/>
        </w:rPr>
      </w:pPr>
    </w:p>
    <w:p w14:paraId="28E77F00" w14:textId="77777777" w:rsidR="00C71DE8" w:rsidRPr="00DA3AE2" w:rsidRDefault="00C71DE8" w:rsidP="0032784D">
      <w:pPr>
        <w:tabs>
          <w:tab w:val="left" w:pos="7920"/>
        </w:tabs>
        <w:spacing w:line="276" w:lineRule="auto"/>
        <w:rPr>
          <w:sz w:val="22"/>
          <w:szCs w:val="22"/>
        </w:rPr>
      </w:pPr>
    </w:p>
    <w:p w14:paraId="1B805AF6" w14:textId="1C809E79" w:rsidR="00C71DE8" w:rsidRDefault="00C71DE8" w:rsidP="0032784D">
      <w:pPr>
        <w:tabs>
          <w:tab w:val="left" w:pos="7920"/>
        </w:tabs>
        <w:spacing w:line="276" w:lineRule="auto"/>
        <w:rPr>
          <w:sz w:val="22"/>
          <w:szCs w:val="22"/>
        </w:rPr>
      </w:pPr>
      <w:r w:rsidRPr="00DA3AE2">
        <w:rPr>
          <w:sz w:val="22"/>
          <w:szCs w:val="22"/>
        </w:rPr>
        <w:t xml:space="preserve">The </w:t>
      </w:r>
      <w:r w:rsidR="00DA3AE2">
        <w:rPr>
          <w:sz w:val="22"/>
          <w:szCs w:val="22"/>
        </w:rPr>
        <w:t>A</w:t>
      </w:r>
      <w:r w:rsidRPr="00DA3AE2">
        <w:rPr>
          <w:sz w:val="22"/>
          <w:szCs w:val="22"/>
        </w:rPr>
        <w:t xml:space="preserve">mmonia </w:t>
      </w:r>
      <w:r w:rsidR="00DA3AE2">
        <w:rPr>
          <w:sz w:val="22"/>
          <w:szCs w:val="22"/>
        </w:rPr>
        <w:t>S</w:t>
      </w:r>
      <w:r w:rsidRPr="00DA3AE2">
        <w:rPr>
          <w:sz w:val="22"/>
          <w:szCs w:val="22"/>
        </w:rPr>
        <w:t xml:space="preserve">trategy is a plan for addressing the challenge of ammonia emissions in Northern Ireland. While the above information provides a summary analysis of the likely costs and benefits of the various ammonia measures, DAERA recognises that regulation to implement specific ammonia reduction measures will require bespoke analysis to identify the direct costs and benefits to business of each measure. This RIA will be updated in advance of finalisation of the </w:t>
      </w:r>
      <w:r w:rsidR="00DA3AE2">
        <w:rPr>
          <w:sz w:val="22"/>
          <w:szCs w:val="22"/>
        </w:rPr>
        <w:t>A</w:t>
      </w:r>
      <w:r w:rsidRPr="00DA3AE2">
        <w:rPr>
          <w:sz w:val="22"/>
          <w:szCs w:val="22"/>
        </w:rPr>
        <w:t xml:space="preserve">mmonia </w:t>
      </w:r>
      <w:r w:rsidR="00DA3AE2">
        <w:rPr>
          <w:sz w:val="22"/>
          <w:szCs w:val="22"/>
        </w:rPr>
        <w:t>S</w:t>
      </w:r>
      <w:r w:rsidRPr="00DA3AE2">
        <w:rPr>
          <w:sz w:val="22"/>
          <w:szCs w:val="22"/>
        </w:rPr>
        <w:t>trategy</w:t>
      </w:r>
      <w:r w:rsidR="00A67AC7">
        <w:rPr>
          <w:sz w:val="22"/>
          <w:szCs w:val="22"/>
        </w:rPr>
        <w:t xml:space="preserve"> to </w:t>
      </w:r>
      <w:proofErr w:type="gramStart"/>
      <w:r w:rsidR="00A67AC7">
        <w:rPr>
          <w:sz w:val="22"/>
          <w:szCs w:val="22"/>
        </w:rPr>
        <w:t>take into account</w:t>
      </w:r>
      <w:proofErr w:type="gramEnd"/>
      <w:r w:rsidR="00A67AC7">
        <w:rPr>
          <w:sz w:val="22"/>
          <w:szCs w:val="22"/>
        </w:rPr>
        <w:t xml:space="preserve"> the specific suit of measures agreed following consultation</w:t>
      </w:r>
      <w:r w:rsidRPr="00DA3AE2">
        <w:rPr>
          <w:sz w:val="22"/>
          <w:szCs w:val="22"/>
        </w:rPr>
        <w:t xml:space="preserve">. </w:t>
      </w:r>
    </w:p>
    <w:p w14:paraId="0D4C4D6B" w14:textId="4342C3F5" w:rsidR="009211B3" w:rsidRDefault="009211B3" w:rsidP="0032784D">
      <w:pPr>
        <w:tabs>
          <w:tab w:val="left" w:pos="7920"/>
        </w:tabs>
        <w:spacing w:line="276" w:lineRule="auto"/>
        <w:rPr>
          <w:sz w:val="22"/>
          <w:szCs w:val="22"/>
        </w:rPr>
      </w:pPr>
    </w:p>
    <w:p w14:paraId="73646FC8" w14:textId="6F214D6E" w:rsidR="009211B3" w:rsidRDefault="009211B3" w:rsidP="0032784D">
      <w:pPr>
        <w:tabs>
          <w:tab w:val="left" w:pos="7920"/>
        </w:tabs>
        <w:spacing w:line="276" w:lineRule="auto"/>
        <w:rPr>
          <w:sz w:val="22"/>
          <w:szCs w:val="22"/>
        </w:rPr>
      </w:pPr>
    </w:p>
    <w:p w14:paraId="77FA0263" w14:textId="77777777" w:rsidR="009211B3" w:rsidRDefault="009211B3" w:rsidP="009211B3">
      <w:pPr>
        <w:rPr>
          <w:sz w:val="22"/>
          <w:szCs w:val="22"/>
        </w:rPr>
        <w:sectPr w:rsidR="009211B3" w:rsidSect="00D2687C">
          <w:pgSz w:w="11906" w:h="16838"/>
          <w:pgMar w:top="720" w:right="900" w:bottom="540" w:left="926" w:header="708" w:footer="708" w:gutter="0"/>
          <w:cols w:space="708"/>
          <w:docGrid w:linePitch="360"/>
        </w:sectPr>
      </w:pPr>
    </w:p>
    <w:p w14:paraId="20B10B1A" w14:textId="1DB9D856" w:rsidR="009211B3" w:rsidRPr="009211B3" w:rsidRDefault="009211B3" w:rsidP="009211B3">
      <w:pPr>
        <w:rPr>
          <w:b/>
          <w:bCs/>
          <w:sz w:val="22"/>
          <w:szCs w:val="22"/>
        </w:rPr>
      </w:pPr>
      <w:r w:rsidRPr="009211B3">
        <w:rPr>
          <w:b/>
          <w:bCs/>
          <w:sz w:val="22"/>
          <w:szCs w:val="22"/>
        </w:rPr>
        <w:lastRenderedPageBreak/>
        <w:t>Annex A</w:t>
      </w:r>
    </w:p>
    <w:p w14:paraId="7894F765" w14:textId="05E3C58C" w:rsidR="009211B3" w:rsidRDefault="009211B3" w:rsidP="0032784D">
      <w:pPr>
        <w:tabs>
          <w:tab w:val="left" w:pos="7920"/>
        </w:tabs>
        <w:spacing w:line="276" w:lineRule="auto"/>
        <w:rPr>
          <w:sz w:val="22"/>
          <w:szCs w:val="22"/>
        </w:rPr>
      </w:pPr>
    </w:p>
    <w:p w14:paraId="0E1E360C" w14:textId="507F3A5A" w:rsidR="009211B3" w:rsidRDefault="009211B3" w:rsidP="0032784D">
      <w:pPr>
        <w:tabs>
          <w:tab w:val="left" w:pos="7920"/>
        </w:tabs>
        <w:spacing w:line="276" w:lineRule="auto"/>
        <w:rPr>
          <w:sz w:val="22"/>
          <w:szCs w:val="22"/>
        </w:rPr>
      </w:pPr>
      <w:r>
        <w:rPr>
          <w:sz w:val="22"/>
          <w:szCs w:val="22"/>
        </w:rPr>
        <w:t>Calculation of the benefits of Options using the damage costs avoided approach.</w:t>
      </w:r>
      <w:r>
        <w:rPr>
          <w:rStyle w:val="FootnoteReference"/>
          <w:sz w:val="22"/>
          <w:szCs w:val="22"/>
        </w:rPr>
        <w:footnoteReference w:id="7"/>
      </w:r>
    </w:p>
    <w:p w14:paraId="1F5775FB" w14:textId="7955DC98" w:rsidR="009211B3" w:rsidRDefault="009211B3" w:rsidP="0032784D">
      <w:pPr>
        <w:tabs>
          <w:tab w:val="left" w:pos="7920"/>
        </w:tabs>
        <w:spacing w:line="276" w:lineRule="auto"/>
        <w:rPr>
          <w:sz w:val="22"/>
          <w:szCs w:val="22"/>
        </w:rPr>
      </w:pPr>
    </w:p>
    <w:p w14:paraId="6DFCBF2F" w14:textId="77777777" w:rsidR="009211B3" w:rsidRPr="00DA3AE2" w:rsidRDefault="009211B3" w:rsidP="0032784D">
      <w:pPr>
        <w:tabs>
          <w:tab w:val="left" w:pos="7920"/>
        </w:tabs>
        <w:spacing w:line="276" w:lineRule="auto"/>
        <w:rPr>
          <w:sz w:val="22"/>
          <w:szCs w:val="22"/>
        </w:rPr>
      </w:pPr>
    </w:p>
    <w:p w14:paraId="16DEFF57" w14:textId="3D4BD72F" w:rsidR="009211B3" w:rsidRDefault="009211B3" w:rsidP="00C71DE8">
      <w:pPr>
        <w:tabs>
          <w:tab w:val="left" w:pos="7920"/>
        </w:tabs>
        <w:rPr>
          <w:rFonts w:ascii="Times New Roman" w:hAnsi="Times New Roman" w:cs="Times New Roman"/>
          <w:sz w:val="20"/>
        </w:rPr>
      </w:pPr>
      <w:r>
        <w:fldChar w:fldCharType="begin"/>
      </w:r>
      <w:r>
        <w:instrText xml:space="preserve"> LINK Excel.Sheet.12 "C:\\Users\\1214547\\RECORDS-NI_7.1.2\\Offline Records (RN)\\Development ~ Services - Policy - Environmental Sustainability - Ammonia\\RIA Draft Ammonia Strategy - Figures 20 10 22.xlsx.XLSX" "Refs - calcs!R2C1:R7C6" \a \f 4 \h  \* MERGEFORMAT </w:instrText>
      </w:r>
      <w:r>
        <w:fldChar w:fldCharType="separate"/>
      </w:r>
    </w:p>
    <w:tbl>
      <w:tblPr>
        <w:tblW w:w="14480" w:type="dxa"/>
        <w:tblLook w:val="04A0" w:firstRow="1" w:lastRow="0" w:firstColumn="1" w:lastColumn="0" w:noHBand="0" w:noVBand="1"/>
      </w:tblPr>
      <w:tblGrid>
        <w:gridCol w:w="2120"/>
        <w:gridCol w:w="2740"/>
        <w:gridCol w:w="2320"/>
        <w:gridCol w:w="2440"/>
        <w:gridCol w:w="2420"/>
        <w:gridCol w:w="2440"/>
      </w:tblGrid>
      <w:tr w:rsidR="009211B3" w:rsidRPr="009211B3" w14:paraId="57D004D4" w14:textId="77777777" w:rsidTr="009211B3">
        <w:trPr>
          <w:trHeight w:val="42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E3EC" w14:textId="218AFA85" w:rsidR="009211B3" w:rsidRPr="009211B3" w:rsidRDefault="009211B3" w:rsidP="009211B3">
            <w:pPr>
              <w:jc w:val="center"/>
              <w:rPr>
                <w:b/>
                <w:bCs/>
                <w:color w:val="000000"/>
                <w:sz w:val="22"/>
                <w:szCs w:val="22"/>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41E9C5D" w14:textId="77777777" w:rsidR="009211B3" w:rsidRPr="009211B3" w:rsidRDefault="009211B3" w:rsidP="009211B3">
            <w:pPr>
              <w:jc w:val="center"/>
              <w:rPr>
                <w:b/>
                <w:bCs/>
                <w:color w:val="000000"/>
                <w:sz w:val="22"/>
                <w:szCs w:val="22"/>
              </w:rPr>
            </w:pPr>
            <w:r w:rsidRPr="009211B3">
              <w:rPr>
                <w:b/>
                <w:bCs/>
                <w:color w:val="000000"/>
                <w:sz w:val="22"/>
                <w:szCs w:val="22"/>
              </w:rPr>
              <w:t>ammonia reduction kt (%)</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05618E81" w14:textId="77777777" w:rsidR="009211B3" w:rsidRPr="009211B3" w:rsidRDefault="009211B3" w:rsidP="009211B3">
            <w:pPr>
              <w:jc w:val="center"/>
              <w:rPr>
                <w:b/>
                <w:bCs/>
                <w:color w:val="000000"/>
                <w:sz w:val="22"/>
                <w:szCs w:val="22"/>
              </w:rPr>
            </w:pPr>
            <w:r w:rsidRPr="009211B3">
              <w:rPr>
                <w:b/>
                <w:bCs/>
                <w:color w:val="000000"/>
                <w:sz w:val="22"/>
                <w:szCs w:val="22"/>
              </w:rPr>
              <w:t>1.87 (5.9)</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0AA4A1DD" w14:textId="77777777" w:rsidR="009211B3" w:rsidRPr="009211B3" w:rsidRDefault="009211B3" w:rsidP="009211B3">
            <w:pPr>
              <w:jc w:val="center"/>
              <w:rPr>
                <w:b/>
                <w:bCs/>
                <w:color w:val="000000"/>
                <w:sz w:val="22"/>
                <w:szCs w:val="22"/>
              </w:rPr>
            </w:pPr>
            <w:r w:rsidRPr="009211B3">
              <w:rPr>
                <w:b/>
                <w:bCs/>
                <w:color w:val="000000"/>
                <w:sz w:val="22"/>
                <w:szCs w:val="22"/>
              </w:rPr>
              <w:t>6.5 (21)</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8E25B32" w14:textId="77777777" w:rsidR="009211B3" w:rsidRPr="009211B3" w:rsidRDefault="009211B3" w:rsidP="009211B3">
            <w:pPr>
              <w:jc w:val="center"/>
              <w:rPr>
                <w:b/>
                <w:bCs/>
                <w:color w:val="000000"/>
                <w:sz w:val="22"/>
                <w:szCs w:val="22"/>
              </w:rPr>
            </w:pPr>
            <w:r w:rsidRPr="009211B3">
              <w:rPr>
                <w:b/>
                <w:bCs/>
                <w:color w:val="000000"/>
                <w:sz w:val="22"/>
                <w:szCs w:val="22"/>
              </w:rPr>
              <w:t>8 (24.9)</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4ED18B0B" w14:textId="77777777" w:rsidR="009211B3" w:rsidRPr="009211B3" w:rsidRDefault="009211B3" w:rsidP="009211B3">
            <w:pPr>
              <w:jc w:val="center"/>
              <w:rPr>
                <w:b/>
                <w:bCs/>
                <w:color w:val="000000"/>
                <w:sz w:val="22"/>
                <w:szCs w:val="22"/>
              </w:rPr>
            </w:pPr>
            <w:r w:rsidRPr="009211B3">
              <w:rPr>
                <w:b/>
                <w:bCs/>
                <w:color w:val="000000"/>
                <w:sz w:val="22"/>
                <w:szCs w:val="22"/>
              </w:rPr>
              <w:t>8.9 (28)</w:t>
            </w:r>
          </w:p>
        </w:tc>
      </w:tr>
      <w:tr w:rsidR="009211B3" w:rsidRPr="009211B3" w14:paraId="638A28CF" w14:textId="77777777" w:rsidTr="009211B3">
        <w:trPr>
          <w:trHeight w:val="1215"/>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62561F11" w14:textId="77777777" w:rsidR="009211B3" w:rsidRPr="009211B3" w:rsidRDefault="009211B3" w:rsidP="009211B3">
            <w:pPr>
              <w:rPr>
                <w:b/>
                <w:bCs/>
                <w:color w:val="000000"/>
                <w:sz w:val="22"/>
                <w:szCs w:val="22"/>
              </w:rPr>
            </w:pPr>
            <w:r w:rsidRPr="009211B3">
              <w:rPr>
                <w:b/>
                <w:bCs/>
                <w:color w:val="000000"/>
                <w:sz w:val="22"/>
                <w:szCs w:val="22"/>
              </w:rPr>
              <w:t xml:space="preserve">Ricardo paper: damage costs of air quality at UK level </w:t>
            </w:r>
          </w:p>
        </w:tc>
        <w:tc>
          <w:tcPr>
            <w:tcW w:w="2740" w:type="dxa"/>
            <w:tcBorders>
              <w:top w:val="nil"/>
              <w:left w:val="nil"/>
              <w:bottom w:val="single" w:sz="4" w:space="0" w:color="auto"/>
              <w:right w:val="single" w:sz="4" w:space="0" w:color="auto"/>
            </w:tcBorders>
            <w:shd w:val="clear" w:color="auto" w:fill="auto"/>
            <w:vAlign w:val="bottom"/>
            <w:hideMark/>
          </w:tcPr>
          <w:p w14:paraId="1CF2B827" w14:textId="77777777" w:rsidR="009211B3" w:rsidRPr="009211B3" w:rsidRDefault="009211B3" w:rsidP="009211B3">
            <w:pPr>
              <w:jc w:val="center"/>
              <w:rPr>
                <w:b/>
                <w:bCs/>
                <w:color w:val="000000"/>
                <w:sz w:val="22"/>
                <w:szCs w:val="22"/>
              </w:rPr>
            </w:pPr>
            <w:r w:rsidRPr="009211B3">
              <w:rPr>
                <w:b/>
                <w:bCs/>
                <w:color w:val="000000"/>
                <w:sz w:val="22"/>
                <w:szCs w:val="22"/>
              </w:rPr>
              <w:t xml:space="preserve">£/tonne </w:t>
            </w:r>
            <w:proofErr w:type="gramStart"/>
            <w:r w:rsidRPr="009211B3">
              <w:rPr>
                <w:b/>
                <w:bCs/>
                <w:color w:val="000000"/>
                <w:sz w:val="22"/>
                <w:szCs w:val="22"/>
              </w:rPr>
              <w:t>i.e.</w:t>
            </w:r>
            <w:proofErr w:type="gramEnd"/>
            <w:r w:rsidRPr="009211B3">
              <w:rPr>
                <w:b/>
                <w:bCs/>
                <w:color w:val="000000"/>
                <w:sz w:val="22"/>
                <w:szCs w:val="22"/>
              </w:rPr>
              <w:t xml:space="preserve"> ammonia damage costs avoided</w:t>
            </w:r>
          </w:p>
        </w:tc>
        <w:tc>
          <w:tcPr>
            <w:tcW w:w="2320" w:type="dxa"/>
            <w:tcBorders>
              <w:top w:val="nil"/>
              <w:left w:val="nil"/>
              <w:bottom w:val="single" w:sz="4" w:space="0" w:color="auto"/>
              <w:right w:val="single" w:sz="4" w:space="0" w:color="auto"/>
            </w:tcBorders>
            <w:shd w:val="clear" w:color="auto" w:fill="auto"/>
            <w:vAlign w:val="bottom"/>
            <w:hideMark/>
          </w:tcPr>
          <w:p w14:paraId="268F7601" w14:textId="77777777" w:rsidR="009211B3" w:rsidRPr="009211B3" w:rsidRDefault="009211B3" w:rsidP="009211B3">
            <w:pPr>
              <w:jc w:val="center"/>
              <w:rPr>
                <w:b/>
                <w:bCs/>
                <w:color w:val="000000"/>
                <w:sz w:val="22"/>
                <w:szCs w:val="22"/>
              </w:rPr>
            </w:pPr>
            <w:r w:rsidRPr="009211B3">
              <w:rPr>
                <w:b/>
                <w:bCs/>
                <w:color w:val="000000"/>
                <w:sz w:val="22"/>
                <w:szCs w:val="22"/>
              </w:rPr>
              <w:t>Option 1 benefits (£m)</w:t>
            </w:r>
          </w:p>
        </w:tc>
        <w:tc>
          <w:tcPr>
            <w:tcW w:w="2440" w:type="dxa"/>
            <w:tcBorders>
              <w:top w:val="nil"/>
              <w:left w:val="nil"/>
              <w:bottom w:val="single" w:sz="4" w:space="0" w:color="auto"/>
              <w:right w:val="single" w:sz="4" w:space="0" w:color="auto"/>
            </w:tcBorders>
            <w:shd w:val="clear" w:color="auto" w:fill="auto"/>
            <w:vAlign w:val="bottom"/>
            <w:hideMark/>
          </w:tcPr>
          <w:p w14:paraId="68AEC2ED" w14:textId="77777777" w:rsidR="009211B3" w:rsidRPr="009211B3" w:rsidRDefault="009211B3" w:rsidP="009211B3">
            <w:pPr>
              <w:jc w:val="center"/>
              <w:rPr>
                <w:b/>
                <w:bCs/>
                <w:color w:val="000000"/>
                <w:sz w:val="22"/>
                <w:szCs w:val="22"/>
              </w:rPr>
            </w:pPr>
            <w:r w:rsidRPr="009211B3">
              <w:rPr>
                <w:b/>
                <w:bCs/>
                <w:color w:val="000000"/>
                <w:sz w:val="22"/>
                <w:szCs w:val="22"/>
              </w:rPr>
              <w:t>Option 2 benefits (£m)</w:t>
            </w:r>
          </w:p>
        </w:tc>
        <w:tc>
          <w:tcPr>
            <w:tcW w:w="2420" w:type="dxa"/>
            <w:tcBorders>
              <w:top w:val="nil"/>
              <w:left w:val="nil"/>
              <w:bottom w:val="single" w:sz="4" w:space="0" w:color="auto"/>
              <w:right w:val="single" w:sz="4" w:space="0" w:color="auto"/>
            </w:tcBorders>
            <w:shd w:val="clear" w:color="auto" w:fill="auto"/>
            <w:vAlign w:val="bottom"/>
            <w:hideMark/>
          </w:tcPr>
          <w:p w14:paraId="1378F1A4" w14:textId="77777777" w:rsidR="009211B3" w:rsidRPr="009211B3" w:rsidRDefault="009211B3" w:rsidP="009211B3">
            <w:pPr>
              <w:jc w:val="center"/>
              <w:rPr>
                <w:b/>
                <w:bCs/>
                <w:color w:val="000000"/>
                <w:sz w:val="22"/>
                <w:szCs w:val="22"/>
              </w:rPr>
            </w:pPr>
            <w:r w:rsidRPr="009211B3">
              <w:rPr>
                <w:b/>
                <w:bCs/>
                <w:color w:val="000000"/>
                <w:sz w:val="22"/>
                <w:szCs w:val="22"/>
              </w:rPr>
              <w:t>Option 3 benefits (£m)</w:t>
            </w:r>
          </w:p>
        </w:tc>
        <w:tc>
          <w:tcPr>
            <w:tcW w:w="2440" w:type="dxa"/>
            <w:tcBorders>
              <w:top w:val="nil"/>
              <w:left w:val="nil"/>
              <w:bottom w:val="single" w:sz="4" w:space="0" w:color="auto"/>
              <w:right w:val="single" w:sz="4" w:space="0" w:color="auto"/>
            </w:tcBorders>
            <w:shd w:val="clear" w:color="auto" w:fill="auto"/>
            <w:vAlign w:val="bottom"/>
            <w:hideMark/>
          </w:tcPr>
          <w:p w14:paraId="21DAD781" w14:textId="77777777" w:rsidR="009211B3" w:rsidRPr="009211B3" w:rsidRDefault="009211B3" w:rsidP="009211B3">
            <w:pPr>
              <w:jc w:val="center"/>
              <w:rPr>
                <w:b/>
                <w:bCs/>
                <w:color w:val="000000"/>
                <w:sz w:val="22"/>
                <w:szCs w:val="22"/>
              </w:rPr>
            </w:pPr>
            <w:r w:rsidRPr="009211B3">
              <w:rPr>
                <w:b/>
                <w:bCs/>
                <w:color w:val="000000"/>
                <w:sz w:val="22"/>
                <w:szCs w:val="22"/>
              </w:rPr>
              <w:t>Option 3 benefits (£m)</w:t>
            </w:r>
          </w:p>
        </w:tc>
      </w:tr>
      <w:tr w:rsidR="009211B3" w:rsidRPr="009211B3" w14:paraId="2A718C22" w14:textId="77777777" w:rsidTr="009211B3">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464C68D6" w14:textId="77777777" w:rsidR="009211B3" w:rsidRPr="009211B3" w:rsidRDefault="009211B3" w:rsidP="009211B3">
            <w:pPr>
              <w:jc w:val="center"/>
              <w:rPr>
                <w:b/>
                <w:bCs/>
                <w:color w:val="000000"/>
                <w:sz w:val="22"/>
                <w:szCs w:val="22"/>
              </w:rPr>
            </w:pPr>
            <w:r w:rsidRPr="009211B3">
              <w:rPr>
                <w:b/>
                <w:bCs/>
                <w:color w:val="000000"/>
                <w:sz w:val="22"/>
                <w:szCs w:val="22"/>
              </w:rPr>
              <w:t>low</w:t>
            </w:r>
          </w:p>
        </w:tc>
        <w:tc>
          <w:tcPr>
            <w:tcW w:w="2740" w:type="dxa"/>
            <w:tcBorders>
              <w:top w:val="nil"/>
              <w:left w:val="nil"/>
              <w:bottom w:val="single" w:sz="4" w:space="0" w:color="auto"/>
              <w:right w:val="single" w:sz="4" w:space="0" w:color="auto"/>
            </w:tcBorders>
            <w:shd w:val="clear" w:color="auto" w:fill="auto"/>
            <w:noWrap/>
            <w:vAlign w:val="bottom"/>
            <w:hideMark/>
          </w:tcPr>
          <w:p w14:paraId="7C5EB933" w14:textId="77777777" w:rsidR="009211B3" w:rsidRPr="009211B3" w:rsidRDefault="009211B3" w:rsidP="009211B3">
            <w:pPr>
              <w:jc w:val="center"/>
              <w:rPr>
                <w:b/>
                <w:bCs/>
                <w:color w:val="000000"/>
                <w:sz w:val="22"/>
                <w:szCs w:val="22"/>
              </w:rPr>
            </w:pPr>
            <w:r w:rsidRPr="009211B3">
              <w:rPr>
                <w:b/>
                <w:bCs/>
                <w:color w:val="000000"/>
                <w:sz w:val="22"/>
                <w:szCs w:val="22"/>
              </w:rPr>
              <w:t>1,521</w:t>
            </w:r>
          </w:p>
        </w:tc>
        <w:tc>
          <w:tcPr>
            <w:tcW w:w="2320" w:type="dxa"/>
            <w:tcBorders>
              <w:top w:val="nil"/>
              <w:left w:val="nil"/>
              <w:bottom w:val="single" w:sz="4" w:space="0" w:color="auto"/>
              <w:right w:val="single" w:sz="4" w:space="0" w:color="auto"/>
            </w:tcBorders>
            <w:shd w:val="clear" w:color="auto" w:fill="auto"/>
            <w:noWrap/>
            <w:vAlign w:val="bottom"/>
            <w:hideMark/>
          </w:tcPr>
          <w:p w14:paraId="58F3C31A" w14:textId="77777777" w:rsidR="009211B3" w:rsidRPr="009211B3" w:rsidRDefault="009211B3" w:rsidP="009211B3">
            <w:pPr>
              <w:jc w:val="center"/>
              <w:rPr>
                <w:b/>
                <w:bCs/>
                <w:color w:val="000000"/>
                <w:sz w:val="22"/>
                <w:szCs w:val="22"/>
              </w:rPr>
            </w:pPr>
            <w:r w:rsidRPr="009211B3">
              <w:rPr>
                <w:b/>
                <w:bCs/>
                <w:color w:val="000000"/>
                <w:sz w:val="22"/>
                <w:szCs w:val="22"/>
              </w:rPr>
              <w:t>2.84</w:t>
            </w:r>
          </w:p>
        </w:tc>
        <w:tc>
          <w:tcPr>
            <w:tcW w:w="2440" w:type="dxa"/>
            <w:tcBorders>
              <w:top w:val="nil"/>
              <w:left w:val="nil"/>
              <w:bottom w:val="single" w:sz="4" w:space="0" w:color="auto"/>
              <w:right w:val="single" w:sz="4" w:space="0" w:color="auto"/>
            </w:tcBorders>
            <w:shd w:val="clear" w:color="auto" w:fill="auto"/>
            <w:noWrap/>
            <w:vAlign w:val="bottom"/>
            <w:hideMark/>
          </w:tcPr>
          <w:p w14:paraId="1A9093BD" w14:textId="77777777" w:rsidR="009211B3" w:rsidRPr="009211B3" w:rsidRDefault="009211B3" w:rsidP="009211B3">
            <w:pPr>
              <w:jc w:val="center"/>
              <w:rPr>
                <w:b/>
                <w:bCs/>
                <w:color w:val="000000"/>
                <w:sz w:val="22"/>
                <w:szCs w:val="22"/>
              </w:rPr>
            </w:pPr>
            <w:r w:rsidRPr="009211B3">
              <w:rPr>
                <w:b/>
                <w:bCs/>
                <w:color w:val="000000"/>
                <w:sz w:val="22"/>
                <w:szCs w:val="22"/>
              </w:rPr>
              <w:t>9.89</w:t>
            </w:r>
          </w:p>
        </w:tc>
        <w:tc>
          <w:tcPr>
            <w:tcW w:w="2420" w:type="dxa"/>
            <w:tcBorders>
              <w:top w:val="nil"/>
              <w:left w:val="nil"/>
              <w:bottom w:val="single" w:sz="4" w:space="0" w:color="auto"/>
              <w:right w:val="single" w:sz="4" w:space="0" w:color="auto"/>
            </w:tcBorders>
            <w:shd w:val="clear" w:color="auto" w:fill="auto"/>
            <w:noWrap/>
            <w:vAlign w:val="bottom"/>
            <w:hideMark/>
          </w:tcPr>
          <w:p w14:paraId="37808497" w14:textId="77777777" w:rsidR="009211B3" w:rsidRPr="009211B3" w:rsidRDefault="009211B3" w:rsidP="009211B3">
            <w:pPr>
              <w:jc w:val="center"/>
              <w:rPr>
                <w:b/>
                <w:bCs/>
                <w:color w:val="000000"/>
                <w:sz w:val="22"/>
                <w:szCs w:val="22"/>
              </w:rPr>
            </w:pPr>
            <w:r w:rsidRPr="009211B3">
              <w:rPr>
                <w:b/>
                <w:bCs/>
                <w:color w:val="000000"/>
                <w:sz w:val="22"/>
                <w:szCs w:val="22"/>
              </w:rPr>
              <w:t>12.17</w:t>
            </w:r>
          </w:p>
        </w:tc>
        <w:tc>
          <w:tcPr>
            <w:tcW w:w="2440" w:type="dxa"/>
            <w:tcBorders>
              <w:top w:val="nil"/>
              <w:left w:val="nil"/>
              <w:bottom w:val="single" w:sz="4" w:space="0" w:color="auto"/>
              <w:right w:val="single" w:sz="4" w:space="0" w:color="auto"/>
            </w:tcBorders>
            <w:shd w:val="clear" w:color="auto" w:fill="auto"/>
            <w:noWrap/>
            <w:vAlign w:val="bottom"/>
            <w:hideMark/>
          </w:tcPr>
          <w:p w14:paraId="586B60E8" w14:textId="77777777" w:rsidR="009211B3" w:rsidRPr="009211B3" w:rsidRDefault="009211B3" w:rsidP="009211B3">
            <w:pPr>
              <w:jc w:val="center"/>
              <w:rPr>
                <w:b/>
                <w:bCs/>
                <w:color w:val="000000"/>
                <w:sz w:val="22"/>
                <w:szCs w:val="22"/>
              </w:rPr>
            </w:pPr>
            <w:r w:rsidRPr="009211B3">
              <w:rPr>
                <w:b/>
                <w:bCs/>
                <w:color w:val="000000"/>
                <w:sz w:val="22"/>
                <w:szCs w:val="22"/>
              </w:rPr>
              <w:t>13.54</w:t>
            </w:r>
          </w:p>
        </w:tc>
      </w:tr>
      <w:tr w:rsidR="009211B3" w:rsidRPr="009211B3" w14:paraId="361E6792" w14:textId="77777777" w:rsidTr="009211B3">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6119C4BF" w14:textId="6BB98EFD" w:rsidR="009211B3" w:rsidRPr="009211B3" w:rsidRDefault="009211B3" w:rsidP="009211B3">
            <w:pPr>
              <w:jc w:val="center"/>
              <w:rPr>
                <w:b/>
                <w:bCs/>
                <w:color w:val="000000"/>
                <w:sz w:val="22"/>
                <w:szCs w:val="22"/>
              </w:rPr>
            </w:pPr>
            <w:r w:rsidRPr="009211B3">
              <w:rPr>
                <w:b/>
                <w:bCs/>
                <w:color w:val="000000"/>
                <w:sz w:val="22"/>
                <w:szCs w:val="22"/>
              </w:rPr>
              <w:t>med</w:t>
            </w:r>
          </w:p>
        </w:tc>
        <w:tc>
          <w:tcPr>
            <w:tcW w:w="2740" w:type="dxa"/>
            <w:tcBorders>
              <w:top w:val="nil"/>
              <w:left w:val="nil"/>
              <w:bottom w:val="single" w:sz="4" w:space="0" w:color="auto"/>
              <w:right w:val="single" w:sz="4" w:space="0" w:color="auto"/>
            </w:tcBorders>
            <w:shd w:val="clear" w:color="auto" w:fill="auto"/>
            <w:noWrap/>
            <w:vAlign w:val="bottom"/>
            <w:hideMark/>
          </w:tcPr>
          <w:p w14:paraId="349DCFC5" w14:textId="77777777" w:rsidR="009211B3" w:rsidRPr="009211B3" w:rsidRDefault="009211B3" w:rsidP="009211B3">
            <w:pPr>
              <w:jc w:val="center"/>
              <w:rPr>
                <w:b/>
                <w:bCs/>
                <w:color w:val="000000"/>
                <w:sz w:val="22"/>
                <w:szCs w:val="22"/>
              </w:rPr>
            </w:pPr>
            <w:r w:rsidRPr="009211B3">
              <w:rPr>
                <w:b/>
                <w:bCs/>
                <w:color w:val="000000"/>
                <w:sz w:val="22"/>
                <w:szCs w:val="22"/>
              </w:rPr>
              <w:t>7,923</w:t>
            </w:r>
          </w:p>
        </w:tc>
        <w:tc>
          <w:tcPr>
            <w:tcW w:w="2320" w:type="dxa"/>
            <w:tcBorders>
              <w:top w:val="nil"/>
              <w:left w:val="nil"/>
              <w:bottom w:val="single" w:sz="4" w:space="0" w:color="auto"/>
              <w:right w:val="single" w:sz="4" w:space="0" w:color="auto"/>
            </w:tcBorders>
            <w:shd w:val="clear" w:color="auto" w:fill="auto"/>
            <w:noWrap/>
            <w:vAlign w:val="bottom"/>
            <w:hideMark/>
          </w:tcPr>
          <w:p w14:paraId="25388020" w14:textId="77777777" w:rsidR="009211B3" w:rsidRPr="009211B3" w:rsidRDefault="009211B3" w:rsidP="009211B3">
            <w:pPr>
              <w:jc w:val="center"/>
              <w:rPr>
                <w:b/>
                <w:bCs/>
                <w:color w:val="000000"/>
                <w:sz w:val="22"/>
                <w:szCs w:val="22"/>
              </w:rPr>
            </w:pPr>
            <w:r w:rsidRPr="009211B3">
              <w:rPr>
                <w:b/>
                <w:bCs/>
                <w:color w:val="000000"/>
                <w:sz w:val="22"/>
                <w:szCs w:val="22"/>
              </w:rPr>
              <w:t>14.82</w:t>
            </w:r>
          </w:p>
        </w:tc>
        <w:tc>
          <w:tcPr>
            <w:tcW w:w="2440" w:type="dxa"/>
            <w:tcBorders>
              <w:top w:val="nil"/>
              <w:left w:val="nil"/>
              <w:bottom w:val="single" w:sz="4" w:space="0" w:color="auto"/>
              <w:right w:val="single" w:sz="4" w:space="0" w:color="auto"/>
            </w:tcBorders>
            <w:shd w:val="clear" w:color="auto" w:fill="auto"/>
            <w:noWrap/>
            <w:vAlign w:val="bottom"/>
            <w:hideMark/>
          </w:tcPr>
          <w:p w14:paraId="03981103" w14:textId="77777777" w:rsidR="009211B3" w:rsidRPr="009211B3" w:rsidRDefault="009211B3" w:rsidP="009211B3">
            <w:pPr>
              <w:jc w:val="center"/>
              <w:rPr>
                <w:b/>
                <w:bCs/>
                <w:color w:val="000000"/>
                <w:sz w:val="22"/>
                <w:szCs w:val="22"/>
              </w:rPr>
            </w:pPr>
            <w:r w:rsidRPr="009211B3">
              <w:rPr>
                <w:b/>
                <w:bCs/>
                <w:color w:val="000000"/>
                <w:sz w:val="22"/>
                <w:szCs w:val="22"/>
              </w:rPr>
              <w:t>51.50</w:t>
            </w:r>
          </w:p>
        </w:tc>
        <w:tc>
          <w:tcPr>
            <w:tcW w:w="2420" w:type="dxa"/>
            <w:tcBorders>
              <w:top w:val="nil"/>
              <w:left w:val="nil"/>
              <w:bottom w:val="single" w:sz="4" w:space="0" w:color="auto"/>
              <w:right w:val="single" w:sz="4" w:space="0" w:color="auto"/>
            </w:tcBorders>
            <w:shd w:val="clear" w:color="auto" w:fill="auto"/>
            <w:noWrap/>
            <w:vAlign w:val="bottom"/>
            <w:hideMark/>
          </w:tcPr>
          <w:p w14:paraId="7BD15B34" w14:textId="77777777" w:rsidR="009211B3" w:rsidRPr="009211B3" w:rsidRDefault="009211B3" w:rsidP="009211B3">
            <w:pPr>
              <w:jc w:val="center"/>
              <w:rPr>
                <w:b/>
                <w:bCs/>
                <w:color w:val="000000"/>
                <w:sz w:val="22"/>
                <w:szCs w:val="22"/>
              </w:rPr>
            </w:pPr>
            <w:r w:rsidRPr="009211B3">
              <w:rPr>
                <w:b/>
                <w:bCs/>
                <w:color w:val="000000"/>
                <w:sz w:val="22"/>
                <w:szCs w:val="22"/>
              </w:rPr>
              <w:t>63.38</w:t>
            </w:r>
          </w:p>
        </w:tc>
        <w:tc>
          <w:tcPr>
            <w:tcW w:w="2440" w:type="dxa"/>
            <w:tcBorders>
              <w:top w:val="nil"/>
              <w:left w:val="nil"/>
              <w:bottom w:val="single" w:sz="4" w:space="0" w:color="auto"/>
              <w:right w:val="single" w:sz="4" w:space="0" w:color="auto"/>
            </w:tcBorders>
            <w:shd w:val="clear" w:color="auto" w:fill="auto"/>
            <w:noWrap/>
            <w:vAlign w:val="bottom"/>
            <w:hideMark/>
          </w:tcPr>
          <w:p w14:paraId="29A4E628" w14:textId="77777777" w:rsidR="009211B3" w:rsidRPr="009211B3" w:rsidRDefault="009211B3" w:rsidP="009211B3">
            <w:pPr>
              <w:jc w:val="center"/>
              <w:rPr>
                <w:b/>
                <w:bCs/>
                <w:color w:val="000000"/>
                <w:sz w:val="22"/>
                <w:szCs w:val="22"/>
              </w:rPr>
            </w:pPr>
            <w:r w:rsidRPr="009211B3">
              <w:rPr>
                <w:b/>
                <w:bCs/>
                <w:color w:val="000000"/>
                <w:sz w:val="22"/>
                <w:szCs w:val="22"/>
              </w:rPr>
              <w:t>70.51</w:t>
            </w:r>
          </w:p>
        </w:tc>
      </w:tr>
      <w:tr w:rsidR="009211B3" w:rsidRPr="009211B3" w14:paraId="4380B2F8" w14:textId="77777777" w:rsidTr="009211B3">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47781A1D" w14:textId="77777777" w:rsidR="009211B3" w:rsidRPr="009211B3" w:rsidRDefault="009211B3" w:rsidP="009211B3">
            <w:pPr>
              <w:jc w:val="center"/>
              <w:rPr>
                <w:b/>
                <w:bCs/>
                <w:color w:val="000000"/>
                <w:sz w:val="22"/>
                <w:szCs w:val="22"/>
              </w:rPr>
            </w:pPr>
            <w:r w:rsidRPr="009211B3">
              <w:rPr>
                <w:b/>
                <w:bCs/>
                <w:color w:val="000000"/>
                <w:sz w:val="22"/>
                <w:szCs w:val="22"/>
              </w:rPr>
              <w:t>high</w:t>
            </w:r>
          </w:p>
        </w:tc>
        <w:tc>
          <w:tcPr>
            <w:tcW w:w="2740" w:type="dxa"/>
            <w:tcBorders>
              <w:top w:val="nil"/>
              <w:left w:val="nil"/>
              <w:bottom w:val="single" w:sz="4" w:space="0" w:color="auto"/>
              <w:right w:val="single" w:sz="4" w:space="0" w:color="auto"/>
            </w:tcBorders>
            <w:shd w:val="clear" w:color="auto" w:fill="auto"/>
            <w:noWrap/>
            <w:vAlign w:val="bottom"/>
            <w:hideMark/>
          </w:tcPr>
          <w:p w14:paraId="658EAEB6" w14:textId="77777777" w:rsidR="009211B3" w:rsidRPr="009211B3" w:rsidRDefault="009211B3" w:rsidP="009211B3">
            <w:pPr>
              <w:jc w:val="center"/>
              <w:rPr>
                <w:b/>
                <w:bCs/>
                <w:color w:val="000000"/>
                <w:sz w:val="22"/>
                <w:szCs w:val="22"/>
              </w:rPr>
            </w:pPr>
            <w:r w:rsidRPr="009211B3">
              <w:rPr>
                <w:b/>
                <w:bCs/>
                <w:color w:val="000000"/>
                <w:sz w:val="22"/>
                <w:szCs w:val="22"/>
              </w:rPr>
              <w:t>24,467</w:t>
            </w:r>
          </w:p>
        </w:tc>
        <w:tc>
          <w:tcPr>
            <w:tcW w:w="2320" w:type="dxa"/>
            <w:tcBorders>
              <w:top w:val="nil"/>
              <w:left w:val="nil"/>
              <w:bottom w:val="single" w:sz="4" w:space="0" w:color="auto"/>
              <w:right w:val="single" w:sz="4" w:space="0" w:color="auto"/>
            </w:tcBorders>
            <w:shd w:val="clear" w:color="auto" w:fill="auto"/>
            <w:noWrap/>
            <w:vAlign w:val="bottom"/>
            <w:hideMark/>
          </w:tcPr>
          <w:p w14:paraId="2DD176B4" w14:textId="77777777" w:rsidR="009211B3" w:rsidRPr="009211B3" w:rsidRDefault="009211B3" w:rsidP="009211B3">
            <w:pPr>
              <w:jc w:val="center"/>
              <w:rPr>
                <w:b/>
                <w:bCs/>
                <w:color w:val="000000"/>
                <w:sz w:val="22"/>
                <w:szCs w:val="22"/>
              </w:rPr>
            </w:pPr>
            <w:r w:rsidRPr="009211B3">
              <w:rPr>
                <w:b/>
                <w:bCs/>
                <w:color w:val="000000"/>
                <w:sz w:val="22"/>
                <w:szCs w:val="22"/>
              </w:rPr>
              <w:t>45.75</w:t>
            </w:r>
          </w:p>
        </w:tc>
        <w:tc>
          <w:tcPr>
            <w:tcW w:w="2440" w:type="dxa"/>
            <w:tcBorders>
              <w:top w:val="nil"/>
              <w:left w:val="nil"/>
              <w:bottom w:val="single" w:sz="4" w:space="0" w:color="auto"/>
              <w:right w:val="single" w:sz="4" w:space="0" w:color="auto"/>
            </w:tcBorders>
            <w:shd w:val="clear" w:color="auto" w:fill="auto"/>
            <w:noWrap/>
            <w:vAlign w:val="bottom"/>
            <w:hideMark/>
          </w:tcPr>
          <w:p w14:paraId="57C39129" w14:textId="77777777" w:rsidR="009211B3" w:rsidRPr="009211B3" w:rsidRDefault="009211B3" w:rsidP="009211B3">
            <w:pPr>
              <w:jc w:val="center"/>
              <w:rPr>
                <w:b/>
                <w:bCs/>
                <w:color w:val="000000"/>
                <w:sz w:val="22"/>
                <w:szCs w:val="22"/>
              </w:rPr>
            </w:pPr>
            <w:r w:rsidRPr="009211B3">
              <w:rPr>
                <w:b/>
                <w:bCs/>
                <w:color w:val="000000"/>
                <w:sz w:val="22"/>
                <w:szCs w:val="22"/>
              </w:rPr>
              <w:t>159.04</w:t>
            </w:r>
          </w:p>
        </w:tc>
        <w:tc>
          <w:tcPr>
            <w:tcW w:w="2420" w:type="dxa"/>
            <w:tcBorders>
              <w:top w:val="nil"/>
              <w:left w:val="nil"/>
              <w:bottom w:val="single" w:sz="4" w:space="0" w:color="auto"/>
              <w:right w:val="single" w:sz="4" w:space="0" w:color="auto"/>
            </w:tcBorders>
            <w:shd w:val="clear" w:color="auto" w:fill="auto"/>
            <w:noWrap/>
            <w:vAlign w:val="bottom"/>
            <w:hideMark/>
          </w:tcPr>
          <w:p w14:paraId="04A4AD76" w14:textId="77777777" w:rsidR="009211B3" w:rsidRPr="009211B3" w:rsidRDefault="009211B3" w:rsidP="009211B3">
            <w:pPr>
              <w:jc w:val="center"/>
              <w:rPr>
                <w:b/>
                <w:bCs/>
                <w:color w:val="000000"/>
                <w:sz w:val="22"/>
                <w:szCs w:val="22"/>
              </w:rPr>
            </w:pPr>
            <w:r w:rsidRPr="009211B3">
              <w:rPr>
                <w:b/>
                <w:bCs/>
                <w:color w:val="000000"/>
                <w:sz w:val="22"/>
                <w:szCs w:val="22"/>
              </w:rPr>
              <w:t>195.74</w:t>
            </w:r>
          </w:p>
        </w:tc>
        <w:tc>
          <w:tcPr>
            <w:tcW w:w="2440" w:type="dxa"/>
            <w:tcBorders>
              <w:top w:val="nil"/>
              <w:left w:val="nil"/>
              <w:bottom w:val="single" w:sz="4" w:space="0" w:color="auto"/>
              <w:right w:val="single" w:sz="4" w:space="0" w:color="auto"/>
            </w:tcBorders>
            <w:shd w:val="clear" w:color="auto" w:fill="auto"/>
            <w:noWrap/>
            <w:vAlign w:val="bottom"/>
            <w:hideMark/>
          </w:tcPr>
          <w:p w14:paraId="3C9F39FF" w14:textId="77777777" w:rsidR="009211B3" w:rsidRPr="009211B3" w:rsidRDefault="009211B3" w:rsidP="009211B3">
            <w:pPr>
              <w:jc w:val="center"/>
              <w:rPr>
                <w:b/>
                <w:bCs/>
                <w:color w:val="000000"/>
                <w:sz w:val="22"/>
                <w:szCs w:val="22"/>
              </w:rPr>
            </w:pPr>
            <w:r w:rsidRPr="009211B3">
              <w:rPr>
                <w:b/>
                <w:bCs/>
                <w:color w:val="000000"/>
                <w:sz w:val="22"/>
                <w:szCs w:val="22"/>
              </w:rPr>
              <w:t>217.76</w:t>
            </w:r>
          </w:p>
        </w:tc>
      </w:tr>
    </w:tbl>
    <w:p w14:paraId="53FFEF6D" w14:textId="3B5EAAF0" w:rsidR="00C71DE8" w:rsidRPr="00DA3AE2" w:rsidRDefault="009211B3" w:rsidP="00C71DE8">
      <w:pPr>
        <w:tabs>
          <w:tab w:val="left" w:pos="7920"/>
        </w:tabs>
        <w:rPr>
          <w:sz w:val="22"/>
          <w:szCs w:val="22"/>
        </w:rPr>
      </w:pPr>
      <w:r>
        <w:rPr>
          <w:sz w:val="22"/>
          <w:szCs w:val="22"/>
        </w:rPr>
        <w:fldChar w:fldCharType="end"/>
      </w:r>
    </w:p>
    <w:sectPr w:rsidR="00C71DE8" w:rsidRPr="00DA3AE2" w:rsidSect="009211B3">
      <w:pgSz w:w="16838" w:h="11906" w:orient="landscape"/>
      <w:pgMar w:top="926" w:right="720" w:bottom="900" w:left="5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FA10" w14:textId="77777777" w:rsidR="005F4067" w:rsidRDefault="005F4067" w:rsidP="005B4AC5">
      <w:r>
        <w:separator/>
      </w:r>
    </w:p>
  </w:endnote>
  <w:endnote w:type="continuationSeparator" w:id="0">
    <w:p w14:paraId="6F4B3308" w14:textId="77777777" w:rsidR="005F4067" w:rsidRDefault="005F4067" w:rsidP="005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F1D4" w14:textId="77777777" w:rsidR="005F4067" w:rsidRDefault="005F4067" w:rsidP="005B4AC5">
      <w:r>
        <w:separator/>
      </w:r>
    </w:p>
  </w:footnote>
  <w:footnote w:type="continuationSeparator" w:id="0">
    <w:p w14:paraId="4E1176F0" w14:textId="77777777" w:rsidR="005F4067" w:rsidRDefault="005F4067" w:rsidP="005B4AC5">
      <w:r>
        <w:continuationSeparator/>
      </w:r>
    </w:p>
  </w:footnote>
  <w:footnote w:id="1">
    <w:p w14:paraId="422B2D3D" w14:textId="3E403DEB" w:rsidR="00E54A91" w:rsidRDefault="00E54A91">
      <w:pPr>
        <w:pStyle w:val="FootnoteText"/>
      </w:pPr>
      <w:r>
        <w:rPr>
          <w:rStyle w:val="FootnoteReference"/>
        </w:rPr>
        <w:footnoteRef/>
      </w:r>
      <w:r>
        <w:t xml:space="preserve"> </w:t>
      </w:r>
      <w:hyperlink r:id="rId1" w:history="1">
        <w:r w:rsidRPr="00257029">
          <w:rPr>
            <w:rStyle w:val="Hyperlink"/>
          </w:rPr>
          <w:t>https://uk-air.defra.gov.uk/assets/documents/reports/cat09/2007031424_Damage_cost_update_2020_FINAL.pdf</w:t>
        </w:r>
      </w:hyperlink>
      <w:r>
        <w:t xml:space="preserve"> </w:t>
      </w:r>
    </w:p>
  </w:footnote>
  <w:footnote w:id="2">
    <w:p w14:paraId="052AB321" w14:textId="2A0A21EC" w:rsidR="00405068" w:rsidRDefault="00405068">
      <w:pPr>
        <w:pStyle w:val="FootnoteText"/>
      </w:pPr>
      <w:r>
        <w:rPr>
          <w:rStyle w:val="FootnoteReference"/>
        </w:rPr>
        <w:footnoteRef/>
      </w:r>
      <w:r>
        <w:t xml:space="preserve"> </w:t>
      </w:r>
      <w:hyperlink r:id="rId2" w:history="1">
        <w:r w:rsidRPr="00421BD7">
          <w:rPr>
            <w:rStyle w:val="Hyperlink"/>
          </w:rPr>
          <w:t>https://www.teagasc.ie/media/website/publications/2020/NH3-Ammonia-MACC.pdf</w:t>
        </w:r>
      </w:hyperlink>
      <w:r>
        <w:t xml:space="preserve"> </w:t>
      </w:r>
    </w:p>
  </w:footnote>
  <w:footnote w:id="3">
    <w:p w14:paraId="1E3390ED" w14:textId="0EF82F08" w:rsidR="00405068" w:rsidRPr="00454A20" w:rsidRDefault="00405068">
      <w:pPr>
        <w:pStyle w:val="FootnoteText"/>
        <w:rPr>
          <w:sz w:val="16"/>
        </w:rPr>
      </w:pPr>
      <w:r w:rsidRPr="00454A20">
        <w:rPr>
          <w:rStyle w:val="FootnoteReference"/>
          <w:sz w:val="16"/>
        </w:rPr>
        <w:footnoteRef/>
      </w:r>
      <w:r w:rsidRPr="00454A20">
        <w:rPr>
          <w:sz w:val="16"/>
        </w:rPr>
        <w:t xml:space="preserve"> Air Pollutant Inventories for England, Scotland, Wales, and Northern Ireland: 2005-2019</w:t>
      </w:r>
      <w:r w:rsidR="005B7E1D">
        <w:rPr>
          <w:sz w:val="16"/>
        </w:rPr>
        <w:t xml:space="preserve"> NB Figures may not add up exactly due to rounding.</w:t>
      </w:r>
    </w:p>
  </w:footnote>
  <w:footnote w:id="4">
    <w:p w14:paraId="43B2EE7B" w14:textId="2EF979F7" w:rsidR="00405068" w:rsidRDefault="00405068" w:rsidP="00475C21">
      <w:pPr>
        <w:autoSpaceDE w:val="0"/>
        <w:autoSpaceDN w:val="0"/>
        <w:adjustRightInd w:val="0"/>
      </w:pPr>
      <w:r>
        <w:rPr>
          <w:rStyle w:val="FootnoteReference"/>
        </w:rPr>
        <w:footnoteRef/>
      </w:r>
      <w:r>
        <w:t xml:space="preserve"> </w:t>
      </w:r>
      <w:r w:rsidR="0082614F" w:rsidRPr="0082614F">
        <w:rPr>
          <w:rFonts w:ascii="Helvetica" w:hAnsi="Helvetica" w:cs="Helvetica"/>
          <w:sz w:val="16"/>
          <w:szCs w:val="16"/>
        </w:rPr>
        <w:t>https://uk-air.defra.gov.uk/assets/documents/reports/cat09/2208301034_Trends_Report_2022.pdf</w:t>
      </w:r>
    </w:p>
  </w:footnote>
  <w:footnote w:id="5">
    <w:p w14:paraId="4B9F88E1" w14:textId="77777777" w:rsidR="00405068" w:rsidRDefault="00405068" w:rsidP="000840B1">
      <w:pPr>
        <w:pStyle w:val="FootnoteText"/>
      </w:pPr>
      <w:r>
        <w:rPr>
          <w:rStyle w:val="FootnoteReference"/>
        </w:rPr>
        <w:footnoteRef/>
      </w:r>
      <w:r>
        <w:t xml:space="preserve"> </w:t>
      </w:r>
      <w:r w:rsidRPr="001C766D">
        <w:t>https://uk-air.defra.gov.uk/assets/documents/reports/cat09/2007031424_Damage_cost_update_2020_FINAL.pdf</w:t>
      </w:r>
    </w:p>
  </w:footnote>
  <w:footnote w:id="6">
    <w:p w14:paraId="35CF722D" w14:textId="558586B6" w:rsidR="00405068" w:rsidRDefault="00405068">
      <w:pPr>
        <w:pStyle w:val="FootnoteText"/>
      </w:pPr>
      <w:r w:rsidRPr="000B5188">
        <w:rPr>
          <w:rStyle w:val="FootnoteReference"/>
          <w:sz w:val="16"/>
        </w:rPr>
        <w:footnoteRef/>
      </w:r>
      <w:r w:rsidRPr="000B5188">
        <w:rPr>
          <w:sz w:val="16"/>
        </w:rPr>
        <w:t xml:space="preserve"> </w:t>
      </w:r>
      <w:hyperlink r:id="rId3" w:history="1">
        <w:r w:rsidR="0041366D" w:rsidRPr="00B2476F">
          <w:rPr>
            <w:rStyle w:val="Hyperlink"/>
            <w:sz w:val="16"/>
          </w:rPr>
          <w:t>https://www.daera-ni.gov.uk/articles/ammonia-emissions-northern-ireland</w:t>
        </w:r>
      </w:hyperlink>
      <w:r w:rsidR="0041366D">
        <w:rPr>
          <w:sz w:val="16"/>
        </w:rPr>
        <w:t xml:space="preserve"> </w:t>
      </w:r>
    </w:p>
  </w:footnote>
  <w:footnote w:id="7">
    <w:p w14:paraId="56D468D4" w14:textId="15E2E6CF" w:rsidR="009211B3" w:rsidRDefault="009211B3">
      <w:pPr>
        <w:pStyle w:val="FootnoteText"/>
      </w:pPr>
      <w:r>
        <w:rPr>
          <w:rStyle w:val="FootnoteReference"/>
        </w:rPr>
        <w:footnoteRef/>
      </w:r>
      <w:r>
        <w:t xml:space="preserve"> </w:t>
      </w:r>
      <w:hyperlink r:id="rId4" w:history="1">
        <w:r w:rsidRPr="00392D04">
          <w:rPr>
            <w:rStyle w:val="Hyperlink"/>
          </w:rPr>
          <w:t>https://uk-air.defra.gov.uk/assets/documents/reports/cat09/2007031424_Damage_cost_update_2020_FINAL.pdf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02D"/>
    <w:multiLevelType w:val="hybridMultilevel"/>
    <w:tmpl w:val="54105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D2CE7"/>
    <w:multiLevelType w:val="hybridMultilevel"/>
    <w:tmpl w:val="AF8E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26CB9"/>
    <w:multiLevelType w:val="hybridMultilevel"/>
    <w:tmpl w:val="63AC5530"/>
    <w:lvl w:ilvl="0" w:tplc="DF0C78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F4BB0"/>
    <w:multiLevelType w:val="hybridMultilevel"/>
    <w:tmpl w:val="C71C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92C5B"/>
    <w:multiLevelType w:val="hybridMultilevel"/>
    <w:tmpl w:val="C562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445D2"/>
    <w:multiLevelType w:val="hybridMultilevel"/>
    <w:tmpl w:val="CB5E59D6"/>
    <w:lvl w:ilvl="0" w:tplc="B9CA07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07F1B"/>
    <w:multiLevelType w:val="hybridMultilevel"/>
    <w:tmpl w:val="255E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84785"/>
    <w:multiLevelType w:val="hybridMultilevel"/>
    <w:tmpl w:val="E0187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A60BD"/>
    <w:multiLevelType w:val="hybridMultilevel"/>
    <w:tmpl w:val="6DE67060"/>
    <w:lvl w:ilvl="0" w:tplc="8954F1E4">
      <w:start w:val="1"/>
      <w:numFmt w:val="bullet"/>
      <w:lvlText w:val=""/>
      <w:lvlJc w:val="left"/>
      <w:pPr>
        <w:ind w:left="284" w:firstLine="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D22DB"/>
    <w:multiLevelType w:val="hybridMultilevel"/>
    <w:tmpl w:val="C5B40E76"/>
    <w:lvl w:ilvl="0" w:tplc="DA70A080">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0" w15:restartNumberingAfterBreak="0">
    <w:nsid w:val="31D573BA"/>
    <w:multiLevelType w:val="hybridMultilevel"/>
    <w:tmpl w:val="F9666B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D751D"/>
    <w:multiLevelType w:val="hybridMultilevel"/>
    <w:tmpl w:val="41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456AA"/>
    <w:multiLevelType w:val="hybridMultilevel"/>
    <w:tmpl w:val="CB9C9B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D6168"/>
    <w:multiLevelType w:val="hybridMultilevel"/>
    <w:tmpl w:val="345A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B576F"/>
    <w:multiLevelType w:val="hybridMultilevel"/>
    <w:tmpl w:val="2D1E4D5E"/>
    <w:lvl w:ilvl="0" w:tplc="F7E013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1D1A"/>
    <w:multiLevelType w:val="hybridMultilevel"/>
    <w:tmpl w:val="3E6AC3D0"/>
    <w:lvl w:ilvl="0" w:tplc="B9CA07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D33F1"/>
    <w:multiLevelType w:val="hybridMultilevel"/>
    <w:tmpl w:val="B9B8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B25BEC"/>
    <w:multiLevelType w:val="hybridMultilevel"/>
    <w:tmpl w:val="638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80353"/>
    <w:multiLevelType w:val="hybridMultilevel"/>
    <w:tmpl w:val="88CEBC8A"/>
    <w:lvl w:ilvl="0" w:tplc="95C2BA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D5D3D"/>
    <w:multiLevelType w:val="hybridMultilevel"/>
    <w:tmpl w:val="7E6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D5843"/>
    <w:multiLevelType w:val="hybridMultilevel"/>
    <w:tmpl w:val="8E444D04"/>
    <w:lvl w:ilvl="0" w:tplc="F2B222C2">
      <w:start w:val="1"/>
      <w:numFmt w:val="decimal"/>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C136D51"/>
    <w:multiLevelType w:val="hybridMultilevel"/>
    <w:tmpl w:val="FF9A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26A42"/>
    <w:multiLevelType w:val="hybridMultilevel"/>
    <w:tmpl w:val="61C8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D701CD"/>
    <w:multiLevelType w:val="hybridMultilevel"/>
    <w:tmpl w:val="8A8EDCF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7C395D80"/>
    <w:multiLevelType w:val="hybridMultilevel"/>
    <w:tmpl w:val="729E8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FD20BF"/>
    <w:multiLevelType w:val="hybridMultilevel"/>
    <w:tmpl w:val="C99AD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BC5600"/>
    <w:multiLevelType w:val="hybridMultilevel"/>
    <w:tmpl w:val="13B0C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0578327">
    <w:abstractNumId w:val="20"/>
  </w:num>
  <w:num w:numId="2" w16cid:durableId="1901280979">
    <w:abstractNumId w:val="13"/>
  </w:num>
  <w:num w:numId="3" w16cid:durableId="912200802">
    <w:abstractNumId w:val="8"/>
  </w:num>
  <w:num w:numId="4" w16cid:durableId="952135672">
    <w:abstractNumId w:val="14"/>
  </w:num>
  <w:num w:numId="5" w16cid:durableId="745882076">
    <w:abstractNumId w:val="9"/>
  </w:num>
  <w:num w:numId="6" w16cid:durableId="1108042723">
    <w:abstractNumId w:val="21"/>
  </w:num>
  <w:num w:numId="7" w16cid:durableId="1676616368">
    <w:abstractNumId w:val="12"/>
  </w:num>
  <w:num w:numId="8" w16cid:durableId="1048384211">
    <w:abstractNumId w:val="24"/>
  </w:num>
  <w:num w:numId="9" w16cid:durableId="1987510706">
    <w:abstractNumId w:val="7"/>
  </w:num>
  <w:num w:numId="10" w16cid:durableId="1970084108">
    <w:abstractNumId w:val="4"/>
  </w:num>
  <w:num w:numId="11" w16cid:durableId="2101177588">
    <w:abstractNumId w:val="2"/>
  </w:num>
  <w:num w:numId="12" w16cid:durableId="1892112080">
    <w:abstractNumId w:val="1"/>
  </w:num>
  <w:num w:numId="13" w16cid:durableId="1941646736">
    <w:abstractNumId w:val="27"/>
  </w:num>
  <w:num w:numId="14" w16cid:durableId="1465081978">
    <w:abstractNumId w:val="16"/>
  </w:num>
  <w:num w:numId="15" w16cid:durableId="1702315180">
    <w:abstractNumId w:val="5"/>
  </w:num>
  <w:num w:numId="16" w16cid:durableId="1774088177">
    <w:abstractNumId w:val="15"/>
  </w:num>
  <w:num w:numId="17" w16cid:durableId="404960754">
    <w:abstractNumId w:val="23"/>
  </w:num>
  <w:num w:numId="18" w16cid:durableId="1322999923">
    <w:abstractNumId w:val="18"/>
  </w:num>
  <w:num w:numId="19" w16cid:durableId="1341589541">
    <w:abstractNumId w:val="0"/>
  </w:num>
  <w:num w:numId="20" w16cid:durableId="1783382926">
    <w:abstractNumId w:val="10"/>
  </w:num>
  <w:num w:numId="21" w16cid:durableId="1863206213">
    <w:abstractNumId w:val="19"/>
  </w:num>
  <w:num w:numId="22" w16cid:durableId="1469471484">
    <w:abstractNumId w:val="17"/>
  </w:num>
  <w:num w:numId="23" w16cid:durableId="1328360989">
    <w:abstractNumId w:val="6"/>
  </w:num>
  <w:num w:numId="24" w16cid:durableId="1237664506">
    <w:abstractNumId w:val="11"/>
  </w:num>
  <w:num w:numId="25" w16cid:durableId="676730380">
    <w:abstractNumId w:val="22"/>
  </w:num>
  <w:num w:numId="26" w16cid:durableId="1543905828">
    <w:abstractNumId w:val="3"/>
  </w:num>
  <w:num w:numId="27" w16cid:durableId="666520749">
    <w:abstractNumId w:val="26"/>
  </w:num>
  <w:num w:numId="28" w16cid:durableId="795252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F0"/>
    <w:rsid w:val="00004EC8"/>
    <w:rsid w:val="00011879"/>
    <w:rsid w:val="00011E5A"/>
    <w:rsid w:val="0001683D"/>
    <w:rsid w:val="000209F4"/>
    <w:rsid w:val="00021B02"/>
    <w:rsid w:val="00022A79"/>
    <w:rsid w:val="00040795"/>
    <w:rsid w:val="000443EE"/>
    <w:rsid w:val="00046B28"/>
    <w:rsid w:val="00046E87"/>
    <w:rsid w:val="000604F0"/>
    <w:rsid w:val="00071366"/>
    <w:rsid w:val="00072E56"/>
    <w:rsid w:val="000840B1"/>
    <w:rsid w:val="000846DA"/>
    <w:rsid w:val="00092310"/>
    <w:rsid w:val="0009497A"/>
    <w:rsid w:val="000963BB"/>
    <w:rsid w:val="000B157C"/>
    <w:rsid w:val="000B5188"/>
    <w:rsid w:val="000C0433"/>
    <w:rsid w:val="000D0C3F"/>
    <w:rsid w:val="000D5FA3"/>
    <w:rsid w:val="000D6763"/>
    <w:rsid w:val="000E445B"/>
    <w:rsid w:val="00106EFF"/>
    <w:rsid w:val="001073AF"/>
    <w:rsid w:val="00126611"/>
    <w:rsid w:val="00137B08"/>
    <w:rsid w:val="001429A7"/>
    <w:rsid w:val="00146211"/>
    <w:rsid w:val="00150B38"/>
    <w:rsid w:val="001577E1"/>
    <w:rsid w:val="00161061"/>
    <w:rsid w:val="001641CF"/>
    <w:rsid w:val="001754A3"/>
    <w:rsid w:val="00175AB0"/>
    <w:rsid w:val="00180789"/>
    <w:rsid w:val="001948A2"/>
    <w:rsid w:val="001A00B8"/>
    <w:rsid w:val="001A0A55"/>
    <w:rsid w:val="001A6229"/>
    <w:rsid w:val="001B1171"/>
    <w:rsid w:val="001C766D"/>
    <w:rsid w:val="001D0958"/>
    <w:rsid w:val="001D5AC9"/>
    <w:rsid w:val="001E1CF0"/>
    <w:rsid w:val="001E3030"/>
    <w:rsid w:val="001E4F88"/>
    <w:rsid w:val="00202BE7"/>
    <w:rsid w:val="002144B3"/>
    <w:rsid w:val="00214FAC"/>
    <w:rsid w:val="0023495C"/>
    <w:rsid w:val="00240A1A"/>
    <w:rsid w:val="002441FE"/>
    <w:rsid w:val="00245AFC"/>
    <w:rsid w:val="00247434"/>
    <w:rsid w:val="00256013"/>
    <w:rsid w:val="0026616C"/>
    <w:rsid w:val="00286FB2"/>
    <w:rsid w:val="002949F2"/>
    <w:rsid w:val="002A0561"/>
    <w:rsid w:val="002A14B5"/>
    <w:rsid w:val="002B364D"/>
    <w:rsid w:val="002B5A71"/>
    <w:rsid w:val="002B62B9"/>
    <w:rsid w:val="002C2A1E"/>
    <w:rsid w:val="002C52D2"/>
    <w:rsid w:val="002C6424"/>
    <w:rsid w:val="002C7526"/>
    <w:rsid w:val="002D03C3"/>
    <w:rsid w:val="002D313A"/>
    <w:rsid w:val="002D31F7"/>
    <w:rsid w:val="002D388D"/>
    <w:rsid w:val="002E2C83"/>
    <w:rsid w:val="002F550D"/>
    <w:rsid w:val="00306F6B"/>
    <w:rsid w:val="00316C00"/>
    <w:rsid w:val="00317822"/>
    <w:rsid w:val="0032784D"/>
    <w:rsid w:val="003400CD"/>
    <w:rsid w:val="003403CC"/>
    <w:rsid w:val="00353AED"/>
    <w:rsid w:val="0035439F"/>
    <w:rsid w:val="00363B2F"/>
    <w:rsid w:val="00365E01"/>
    <w:rsid w:val="003706CD"/>
    <w:rsid w:val="0037544D"/>
    <w:rsid w:val="003754BD"/>
    <w:rsid w:val="00383234"/>
    <w:rsid w:val="00397CB6"/>
    <w:rsid w:val="003B1264"/>
    <w:rsid w:val="003C65E9"/>
    <w:rsid w:val="003D6EAD"/>
    <w:rsid w:val="003D6F1D"/>
    <w:rsid w:val="003E302B"/>
    <w:rsid w:val="003F0549"/>
    <w:rsid w:val="00405068"/>
    <w:rsid w:val="00412307"/>
    <w:rsid w:val="0041366D"/>
    <w:rsid w:val="00413BA2"/>
    <w:rsid w:val="004144CF"/>
    <w:rsid w:val="00420CE8"/>
    <w:rsid w:val="00423707"/>
    <w:rsid w:val="00424227"/>
    <w:rsid w:val="00425520"/>
    <w:rsid w:val="004336FC"/>
    <w:rsid w:val="004347FB"/>
    <w:rsid w:val="00435131"/>
    <w:rsid w:val="00437293"/>
    <w:rsid w:val="00441982"/>
    <w:rsid w:val="004432BA"/>
    <w:rsid w:val="00443B9A"/>
    <w:rsid w:val="00453935"/>
    <w:rsid w:val="00454A20"/>
    <w:rsid w:val="00460594"/>
    <w:rsid w:val="00461B8E"/>
    <w:rsid w:val="00463724"/>
    <w:rsid w:val="00475C21"/>
    <w:rsid w:val="00475E8E"/>
    <w:rsid w:val="00482BC0"/>
    <w:rsid w:val="00486344"/>
    <w:rsid w:val="0048690D"/>
    <w:rsid w:val="00487CD1"/>
    <w:rsid w:val="004904DE"/>
    <w:rsid w:val="00494F06"/>
    <w:rsid w:val="004A3782"/>
    <w:rsid w:val="004C1FFC"/>
    <w:rsid w:val="004D7049"/>
    <w:rsid w:val="004E1D67"/>
    <w:rsid w:val="004E2609"/>
    <w:rsid w:val="004E6017"/>
    <w:rsid w:val="00500AB1"/>
    <w:rsid w:val="00501C75"/>
    <w:rsid w:val="005162DF"/>
    <w:rsid w:val="00516B92"/>
    <w:rsid w:val="005170F0"/>
    <w:rsid w:val="0053090F"/>
    <w:rsid w:val="00531264"/>
    <w:rsid w:val="0053314B"/>
    <w:rsid w:val="005345B3"/>
    <w:rsid w:val="0054001B"/>
    <w:rsid w:val="0055278F"/>
    <w:rsid w:val="00553590"/>
    <w:rsid w:val="005663A8"/>
    <w:rsid w:val="00567AA5"/>
    <w:rsid w:val="0057498D"/>
    <w:rsid w:val="005872F9"/>
    <w:rsid w:val="00593B82"/>
    <w:rsid w:val="005A3639"/>
    <w:rsid w:val="005B4AC5"/>
    <w:rsid w:val="005B62DC"/>
    <w:rsid w:val="005B7E1D"/>
    <w:rsid w:val="005C0A3B"/>
    <w:rsid w:val="005D1836"/>
    <w:rsid w:val="005E4C20"/>
    <w:rsid w:val="005E7F55"/>
    <w:rsid w:val="005F4067"/>
    <w:rsid w:val="00601744"/>
    <w:rsid w:val="00603E1E"/>
    <w:rsid w:val="00610455"/>
    <w:rsid w:val="006105CF"/>
    <w:rsid w:val="00611A46"/>
    <w:rsid w:val="00617637"/>
    <w:rsid w:val="00622FF5"/>
    <w:rsid w:val="0064098F"/>
    <w:rsid w:val="006419F6"/>
    <w:rsid w:val="00641F83"/>
    <w:rsid w:val="00650602"/>
    <w:rsid w:val="0065134F"/>
    <w:rsid w:val="006523FD"/>
    <w:rsid w:val="00654AD4"/>
    <w:rsid w:val="00664B5A"/>
    <w:rsid w:val="00671328"/>
    <w:rsid w:val="00675E87"/>
    <w:rsid w:val="00676B70"/>
    <w:rsid w:val="006828A5"/>
    <w:rsid w:val="00685454"/>
    <w:rsid w:val="006905DF"/>
    <w:rsid w:val="00691CAF"/>
    <w:rsid w:val="00694AEF"/>
    <w:rsid w:val="00695537"/>
    <w:rsid w:val="006A1E0C"/>
    <w:rsid w:val="006B5A02"/>
    <w:rsid w:val="006C3708"/>
    <w:rsid w:val="006C4B3D"/>
    <w:rsid w:val="006C603F"/>
    <w:rsid w:val="006D26E7"/>
    <w:rsid w:val="006D2BCF"/>
    <w:rsid w:val="006E4C68"/>
    <w:rsid w:val="006F0C35"/>
    <w:rsid w:val="007100A5"/>
    <w:rsid w:val="007104A8"/>
    <w:rsid w:val="00720F35"/>
    <w:rsid w:val="007216D3"/>
    <w:rsid w:val="0072504E"/>
    <w:rsid w:val="00734200"/>
    <w:rsid w:val="00734AB8"/>
    <w:rsid w:val="0073554C"/>
    <w:rsid w:val="00762DDD"/>
    <w:rsid w:val="007660AD"/>
    <w:rsid w:val="00771D61"/>
    <w:rsid w:val="00782F5C"/>
    <w:rsid w:val="007931FE"/>
    <w:rsid w:val="007B403D"/>
    <w:rsid w:val="007C79DE"/>
    <w:rsid w:val="007D45B3"/>
    <w:rsid w:val="007D4FBB"/>
    <w:rsid w:val="007D6380"/>
    <w:rsid w:val="007D67F6"/>
    <w:rsid w:val="007E1743"/>
    <w:rsid w:val="007E7467"/>
    <w:rsid w:val="007F6771"/>
    <w:rsid w:val="008049AB"/>
    <w:rsid w:val="0081032A"/>
    <w:rsid w:val="00810AE9"/>
    <w:rsid w:val="00814424"/>
    <w:rsid w:val="00820A04"/>
    <w:rsid w:val="00822A8E"/>
    <w:rsid w:val="00824B0C"/>
    <w:rsid w:val="0082614F"/>
    <w:rsid w:val="00827F36"/>
    <w:rsid w:val="0084331B"/>
    <w:rsid w:val="00845D78"/>
    <w:rsid w:val="008509C7"/>
    <w:rsid w:val="008517AA"/>
    <w:rsid w:val="0085668A"/>
    <w:rsid w:val="00890163"/>
    <w:rsid w:val="008A0A20"/>
    <w:rsid w:val="008A17B8"/>
    <w:rsid w:val="008A2AC3"/>
    <w:rsid w:val="008A4EF6"/>
    <w:rsid w:val="008B276E"/>
    <w:rsid w:val="008B64E0"/>
    <w:rsid w:val="008C046B"/>
    <w:rsid w:val="008C2459"/>
    <w:rsid w:val="008C43C5"/>
    <w:rsid w:val="008C79E7"/>
    <w:rsid w:val="00905011"/>
    <w:rsid w:val="00913B62"/>
    <w:rsid w:val="00914473"/>
    <w:rsid w:val="009150B3"/>
    <w:rsid w:val="00915365"/>
    <w:rsid w:val="009211B3"/>
    <w:rsid w:val="00926E01"/>
    <w:rsid w:val="00932167"/>
    <w:rsid w:val="00935750"/>
    <w:rsid w:val="00946AF4"/>
    <w:rsid w:val="009558E3"/>
    <w:rsid w:val="00960894"/>
    <w:rsid w:val="00991AF2"/>
    <w:rsid w:val="00994727"/>
    <w:rsid w:val="009A6F47"/>
    <w:rsid w:val="009D1E72"/>
    <w:rsid w:val="009D209C"/>
    <w:rsid w:val="009D2D1A"/>
    <w:rsid w:val="009D6212"/>
    <w:rsid w:val="009D7F89"/>
    <w:rsid w:val="009E1252"/>
    <w:rsid w:val="009E3084"/>
    <w:rsid w:val="009E58C0"/>
    <w:rsid w:val="00A027B0"/>
    <w:rsid w:val="00A04582"/>
    <w:rsid w:val="00A1662D"/>
    <w:rsid w:val="00A175C5"/>
    <w:rsid w:val="00A20ED2"/>
    <w:rsid w:val="00A2664D"/>
    <w:rsid w:val="00A340DD"/>
    <w:rsid w:val="00A504FC"/>
    <w:rsid w:val="00A52781"/>
    <w:rsid w:val="00A67AC7"/>
    <w:rsid w:val="00A67F9D"/>
    <w:rsid w:val="00A73771"/>
    <w:rsid w:val="00A73C2D"/>
    <w:rsid w:val="00A858FA"/>
    <w:rsid w:val="00A93442"/>
    <w:rsid w:val="00AA4ABF"/>
    <w:rsid w:val="00AB5315"/>
    <w:rsid w:val="00AC1006"/>
    <w:rsid w:val="00AE5886"/>
    <w:rsid w:val="00AE6121"/>
    <w:rsid w:val="00AE6D20"/>
    <w:rsid w:val="00AF22D0"/>
    <w:rsid w:val="00AF7227"/>
    <w:rsid w:val="00B055E2"/>
    <w:rsid w:val="00B202EA"/>
    <w:rsid w:val="00B32086"/>
    <w:rsid w:val="00B34F78"/>
    <w:rsid w:val="00B369DF"/>
    <w:rsid w:val="00B36C5E"/>
    <w:rsid w:val="00B5238E"/>
    <w:rsid w:val="00B62EB2"/>
    <w:rsid w:val="00B71DA1"/>
    <w:rsid w:val="00B73AC8"/>
    <w:rsid w:val="00B7510F"/>
    <w:rsid w:val="00B769D3"/>
    <w:rsid w:val="00B85F4E"/>
    <w:rsid w:val="00B9119B"/>
    <w:rsid w:val="00B91948"/>
    <w:rsid w:val="00B94709"/>
    <w:rsid w:val="00BA0A1E"/>
    <w:rsid w:val="00BB0067"/>
    <w:rsid w:val="00BC6455"/>
    <w:rsid w:val="00BC6829"/>
    <w:rsid w:val="00BD27DD"/>
    <w:rsid w:val="00BE251F"/>
    <w:rsid w:val="00BF563E"/>
    <w:rsid w:val="00C0685E"/>
    <w:rsid w:val="00C06A6E"/>
    <w:rsid w:val="00C31DF0"/>
    <w:rsid w:val="00C401AA"/>
    <w:rsid w:val="00C425BE"/>
    <w:rsid w:val="00C43BA5"/>
    <w:rsid w:val="00C46D29"/>
    <w:rsid w:val="00C526A5"/>
    <w:rsid w:val="00C71DE8"/>
    <w:rsid w:val="00C9633B"/>
    <w:rsid w:val="00C97AC0"/>
    <w:rsid w:val="00CA18E4"/>
    <w:rsid w:val="00CA55D2"/>
    <w:rsid w:val="00CB2AC7"/>
    <w:rsid w:val="00CC0939"/>
    <w:rsid w:val="00CC7337"/>
    <w:rsid w:val="00CE5701"/>
    <w:rsid w:val="00CF1552"/>
    <w:rsid w:val="00D03BE6"/>
    <w:rsid w:val="00D22080"/>
    <w:rsid w:val="00D23B03"/>
    <w:rsid w:val="00D23C57"/>
    <w:rsid w:val="00D2687C"/>
    <w:rsid w:val="00D351B5"/>
    <w:rsid w:val="00D35D92"/>
    <w:rsid w:val="00D360CA"/>
    <w:rsid w:val="00D450E4"/>
    <w:rsid w:val="00D472A0"/>
    <w:rsid w:val="00D6189E"/>
    <w:rsid w:val="00D61B0A"/>
    <w:rsid w:val="00D6467D"/>
    <w:rsid w:val="00D64E9E"/>
    <w:rsid w:val="00D76ABD"/>
    <w:rsid w:val="00D81E42"/>
    <w:rsid w:val="00D8242E"/>
    <w:rsid w:val="00D8498D"/>
    <w:rsid w:val="00DA2380"/>
    <w:rsid w:val="00DA3AE2"/>
    <w:rsid w:val="00DB2A91"/>
    <w:rsid w:val="00DB4CF1"/>
    <w:rsid w:val="00DB6143"/>
    <w:rsid w:val="00DB66B5"/>
    <w:rsid w:val="00DC26AE"/>
    <w:rsid w:val="00DC55BF"/>
    <w:rsid w:val="00DC65F9"/>
    <w:rsid w:val="00DD3B0D"/>
    <w:rsid w:val="00DE76F2"/>
    <w:rsid w:val="00DF68E9"/>
    <w:rsid w:val="00E05BD4"/>
    <w:rsid w:val="00E11C76"/>
    <w:rsid w:val="00E16F4B"/>
    <w:rsid w:val="00E20A29"/>
    <w:rsid w:val="00E25D46"/>
    <w:rsid w:val="00E27E51"/>
    <w:rsid w:val="00E3724A"/>
    <w:rsid w:val="00E415ED"/>
    <w:rsid w:val="00E417B9"/>
    <w:rsid w:val="00E54A91"/>
    <w:rsid w:val="00E6010F"/>
    <w:rsid w:val="00E7238C"/>
    <w:rsid w:val="00E73A39"/>
    <w:rsid w:val="00E83646"/>
    <w:rsid w:val="00E86223"/>
    <w:rsid w:val="00EA71E1"/>
    <w:rsid w:val="00EB03B9"/>
    <w:rsid w:val="00EB3CCE"/>
    <w:rsid w:val="00EC704E"/>
    <w:rsid w:val="00ED0B35"/>
    <w:rsid w:val="00EE7593"/>
    <w:rsid w:val="00EF288F"/>
    <w:rsid w:val="00F171C8"/>
    <w:rsid w:val="00F17DCA"/>
    <w:rsid w:val="00F215A2"/>
    <w:rsid w:val="00F25C80"/>
    <w:rsid w:val="00F276DB"/>
    <w:rsid w:val="00F27FAA"/>
    <w:rsid w:val="00F34AB4"/>
    <w:rsid w:val="00F447F1"/>
    <w:rsid w:val="00F77F41"/>
    <w:rsid w:val="00F87832"/>
    <w:rsid w:val="00F92C90"/>
    <w:rsid w:val="00F93FF6"/>
    <w:rsid w:val="00FA0CA8"/>
    <w:rsid w:val="00FA34BA"/>
    <w:rsid w:val="00FB55E8"/>
    <w:rsid w:val="00FD54B6"/>
    <w:rsid w:val="00FE234D"/>
    <w:rsid w:val="00FE2610"/>
    <w:rsid w:val="00FF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D13BC"/>
  <w15:chartTrackingRefBased/>
  <w15:docId w15:val="{464CCB49-B84B-4072-9F87-A7900380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5E8"/>
    <w:rPr>
      <w:rFonts w:ascii="Arial" w:hAnsi="Arial" w:cs="Arial"/>
      <w:sz w:val="24"/>
    </w:rPr>
  </w:style>
  <w:style w:type="paragraph" w:styleId="Heading1">
    <w:name w:val="heading 1"/>
    <w:basedOn w:val="Normal"/>
    <w:next w:val="Normal"/>
    <w:qFormat/>
    <w:rsid w:val="006105CF"/>
    <w:pPr>
      <w:keepNext/>
      <w:spacing w:before="240" w:after="60"/>
      <w:outlineLvl w:val="0"/>
    </w:pPr>
    <w:rPr>
      <w:b/>
      <w:bCs/>
      <w:kern w:val="32"/>
      <w:sz w:val="32"/>
      <w:szCs w:val="32"/>
    </w:rPr>
  </w:style>
  <w:style w:type="paragraph" w:styleId="Heading2">
    <w:name w:val="heading 2"/>
    <w:basedOn w:val="Normal"/>
    <w:next w:val="Normal"/>
    <w:qFormat/>
    <w:rsid w:val="006105CF"/>
    <w:pPr>
      <w:keepNext/>
      <w:spacing w:before="240" w:after="60"/>
      <w:outlineLvl w:val="1"/>
    </w:pPr>
    <w:rPr>
      <w:b/>
      <w:bCs/>
      <w:i/>
      <w:iCs/>
      <w:sz w:val="28"/>
      <w:szCs w:val="28"/>
    </w:rPr>
  </w:style>
  <w:style w:type="paragraph" w:styleId="Heading3">
    <w:name w:val="heading 3"/>
    <w:basedOn w:val="Normal"/>
    <w:next w:val="Normal"/>
    <w:qFormat/>
    <w:rsid w:val="006105C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MHeading1">
    <w:name w:val="SCM Heading 1"/>
    <w:basedOn w:val="Heading1"/>
    <w:next w:val="Normal"/>
    <w:rsid w:val="006105CF"/>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6105CF"/>
    <w:pPr>
      <w:autoSpaceDE w:val="0"/>
      <w:autoSpaceDN w:val="0"/>
      <w:adjustRightInd w:val="0"/>
    </w:pPr>
    <w:rPr>
      <w:rFonts w:ascii="Arial,Bold" w:hAnsi="Arial,Bold" w:cs="Arial,Bold"/>
      <w:bCs w:val="0"/>
      <w:i w:val="0"/>
      <w:szCs w:val="24"/>
    </w:rPr>
  </w:style>
  <w:style w:type="paragraph" w:customStyle="1" w:styleId="SCMHeading3">
    <w:name w:val="SCM Heading 3"/>
    <w:basedOn w:val="Heading3"/>
    <w:next w:val="Normal"/>
    <w:rsid w:val="006105CF"/>
    <w:pPr>
      <w:autoSpaceDE w:val="0"/>
      <w:autoSpaceDN w:val="0"/>
      <w:adjustRightInd w:val="0"/>
    </w:pPr>
    <w:rPr>
      <w:rFonts w:ascii="Arial,Bold" w:hAnsi="Arial,Bold" w:cs="Arial,Bold"/>
      <w:bCs w:val="0"/>
      <w:szCs w:val="24"/>
    </w:rPr>
  </w:style>
  <w:style w:type="table" w:styleId="TableGrid">
    <w:name w:val="Table Grid"/>
    <w:basedOn w:val="TableNormal"/>
    <w:rsid w:val="0016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5750"/>
    <w:rPr>
      <w:sz w:val="16"/>
      <w:szCs w:val="16"/>
    </w:rPr>
  </w:style>
  <w:style w:type="paragraph" w:styleId="CommentText">
    <w:name w:val="annotation text"/>
    <w:basedOn w:val="Normal"/>
    <w:semiHidden/>
    <w:rsid w:val="00935750"/>
    <w:rPr>
      <w:sz w:val="20"/>
    </w:rPr>
  </w:style>
  <w:style w:type="paragraph" w:styleId="CommentSubject">
    <w:name w:val="annotation subject"/>
    <w:basedOn w:val="CommentText"/>
    <w:next w:val="CommentText"/>
    <w:semiHidden/>
    <w:rsid w:val="00935750"/>
    <w:rPr>
      <w:b/>
      <w:bCs/>
    </w:rPr>
  </w:style>
  <w:style w:type="paragraph" w:styleId="BalloonText">
    <w:name w:val="Balloon Text"/>
    <w:basedOn w:val="Normal"/>
    <w:semiHidden/>
    <w:rsid w:val="00935750"/>
    <w:rPr>
      <w:rFonts w:ascii="Tahoma" w:hAnsi="Tahoma" w:cs="Tahoma"/>
      <w:sz w:val="16"/>
      <w:szCs w:val="16"/>
    </w:rPr>
  </w:style>
  <w:style w:type="character" w:styleId="PlaceholderText">
    <w:name w:val="Placeholder Text"/>
    <w:uiPriority w:val="99"/>
    <w:semiHidden/>
    <w:rsid w:val="00B71DA1"/>
    <w:rPr>
      <w:color w:val="808080"/>
    </w:rPr>
  </w:style>
  <w:style w:type="paragraph" w:styleId="Revision">
    <w:name w:val="Revision"/>
    <w:hidden/>
    <w:uiPriority w:val="99"/>
    <w:semiHidden/>
    <w:rsid w:val="00DF68E9"/>
    <w:rPr>
      <w:rFonts w:ascii="Arial" w:hAnsi="Arial" w:cs="Arial"/>
      <w:sz w:val="24"/>
    </w:rPr>
  </w:style>
  <w:style w:type="paragraph" w:styleId="FootnoteText">
    <w:name w:val="footnote text"/>
    <w:basedOn w:val="Normal"/>
    <w:link w:val="FootnoteTextChar"/>
    <w:rsid w:val="005B4AC5"/>
    <w:rPr>
      <w:sz w:val="20"/>
    </w:rPr>
  </w:style>
  <w:style w:type="character" w:customStyle="1" w:styleId="FootnoteTextChar">
    <w:name w:val="Footnote Text Char"/>
    <w:link w:val="FootnoteText"/>
    <w:rsid w:val="005B4AC5"/>
    <w:rPr>
      <w:rFonts w:ascii="Arial" w:hAnsi="Arial" w:cs="Arial"/>
    </w:rPr>
  </w:style>
  <w:style w:type="character" w:styleId="FootnoteReference">
    <w:name w:val="footnote reference"/>
    <w:uiPriority w:val="99"/>
    <w:rsid w:val="005B4AC5"/>
    <w:rPr>
      <w:vertAlign w:val="superscript"/>
    </w:rPr>
  </w:style>
  <w:style w:type="character" w:styleId="Hyperlink">
    <w:name w:val="Hyperlink"/>
    <w:rsid w:val="005B4AC5"/>
    <w:rPr>
      <w:color w:val="0563C1"/>
      <w:u w:val="single"/>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E417B9"/>
    <w:pPr>
      <w:spacing w:after="160" w:line="259" w:lineRule="auto"/>
      <w:ind w:left="720"/>
      <w:contextualSpacing/>
    </w:pPr>
    <w:rPr>
      <w:rFonts w:ascii="Calibri" w:eastAsia="Calibri" w:hAnsi="Calibri" w:cs="Times New Roman"/>
      <w:sz w:val="22"/>
      <w:szCs w:val="22"/>
      <w:lang w:eastAsia="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E417B9"/>
    <w:rPr>
      <w:rFonts w:ascii="Calibri" w:eastAsia="Calibri" w:hAnsi="Calibri"/>
      <w:sz w:val="22"/>
      <w:szCs w:val="22"/>
      <w:lang w:eastAsia="en-US"/>
    </w:rPr>
  </w:style>
  <w:style w:type="paragraph" w:styleId="EndnoteText">
    <w:name w:val="endnote text"/>
    <w:basedOn w:val="Normal"/>
    <w:link w:val="EndnoteTextChar"/>
    <w:rsid w:val="00461B8E"/>
    <w:rPr>
      <w:sz w:val="20"/>
    </w:rPr>
  </w:style>
  <w:style w:type="character" w:customStyle="1" w:styleId="EndnoteTextChar">
    <w:name w:val="Endnote Text Char"/>
    <w:link w:val="EndnoteText"/>
    <w:rsid w:val="00461B8E"/>
    <w:rPr>
      <w:rFonts w:ascii="Arial" w:hAnsi="Arial" w:cs="Arial"/>
    </w:rPr>
  </w:style>
  <w:style w:type="character" w:styleId="EndnoteReference">
    <w:name w:val="endnote reference"/>
    <w:rsid w:val="00461B8E"/>
    <w:rPr>
      <w:vertAlign w:val="superscript"/>
    </w:rPr>
  </w:style>
  <w:style w:type="paragraph" w:customStyle="1" w:styleId="Default">
    <w:name w:val="Default"/>
    <w:rsid w:val="00B055E2"/>
    <w:pPr>
      <w:autoSpaceDE w:val="0"/>
      <w:autoSpaceDN w:val="0"/>
      <w:adjustRightInd w:val="0"/>
    </w:pPr>
    <w:rPr>
      <w:rFonts w:ascii="Symbol" w:hAnsi="Symbol" w:cs="Symbol"/>
      <w:color w:val="000000"/>
      <w:sz w:val="24"/>
      <w:szCs w:val="24"/>
    </w:rPr>
  </w:style>
  <w:style w:type="character" w:styleId="FollowedHyperlink">
    <w:name w:val="FollowedHyperlink"/>
    <w:rsid w:val="0041366D"/>
    <w:rPr>
      <w:color w:val="954F72"/>
      <w:u w:val="single"/>
    </w:rPr>
  </w:style>
  <w:style w:type="character" w:styleId="UnresolvedMention">
    <w:name w:val="Unresolved Mention"/>
    <w:uiPriority w:val="99"/>
    <w:semiHidden/>
    <w:unhideWhenUsed/>
    <w:rsid w:val="0041366D"/>
    <w:rPr>
      <w:color w:val="605E5C"/>
      <w:shd w:val="clear" w:color="auto" w:fill="E1DFDD"/>
    </w:rPr>
  </w:style>
  <w:style w:type="paragraph" w:styleId="Header">
    <w:name w:val="header"/>
    <w:basedOn w:val="Normal"/>
    <w:link w:val="HeaderChar"/>
    <w:rsid w:val="0082614F"/>
    <w:pPr>
      <w:tabs>
        <w:tab w:val="center" w:pos="4513"/>
        <w:tab w:val="right" w:pos="9026"/>
      </w:tabs>
    </w:pPr>
  </w:style>
  <w:style w:type="character" w:customStyle="1" w:styleId="HeaderChar">
    <w:name w:val="Header Char"/>
    <w:basedOn w:val="DefaultParagraphFont"/>
    <w:link w:val="Header"/>
    <w:rsid w:val="0082614F"/>
    <w:rPr>
      <w:rFonts w:ascii="Arial" w:hAnsi="Arial" w:cs="Arial"/>
      <w:sz w:val="24"/>
    </w:rPr>
  </w:style>
  <w:style w:type="paragraph" w:styleId="Footer">
    <w:name w:val="footer"/>
    <w:basedOn w:val="Normal"/>
    <w:link w:val="FooterChar"/>
    <w:rsid w:val="0082614F"/>
    <w:pPr>
      <w:tabs>
        <w:tab w:val="center" w:pos="4513"/>
        <w:tab w:val="right" w:pos="9026"/>
      </w:tabs>
    </w:pPr>
  </w:style>
  <w:style w:type="character" w:customStyle="1" w:styleId="FooterChar">
    <w:name w:val="Footer Char"/>
    <w:basedOn w:val="DefaultParagraphFont"/>
    <w:link w:val="Footer"/>
    <w:rsid w:val="0082614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3455">
      <w:bodyDiv w:val="1"/>
      <w:marLeft w:val="0"/>
      <w:marRight w:val="0"/>
      <w:marTop w:val="0"/>
      <w:marBottom w:val="0"/>
      <w:divBdr>
        <w:top w:val="none" w:sz="0" w:space="0" w:color="auto"/>
        <w:left w:val="none" w:sz="0" w:space="0" w:color="auto"/>
        <w:bottom w:val="none" w:sz="0" w:space="0" w:color="auto"/>
        <w:right w:val="none" w:sz="0" w:space="0" w:color="auto"/>
      </w:divBdr>
    </w:div>
    <w:div w:id="963078512">
      <w:bodyDiv w:val="1"/>
      <w:marLeft w:val="0"/>
      <w:marRight w:val="0"/>
      <w:marTop w:val="0"/>
      <w:marBottom w:val="0"/>
      <w:divBdr>
        <w:top w:val="none" w:sz="0" w:space="0" w:color="auto"/>
        <w:left w:val="none" w:sz="0" w:space="0" w:color="auto"/>
        <w:bottom w:val="none" w:sz="0" w:space="0" w:color="auto"/>
        <w:right w:val="none" w:sz="0" w:space="0" w:color="auto"/>
      </w:divBdr>
    </w:div>
    <w:div w:id="972710243">
      <w:bodyDiv w:val="1"/>
      <w:marLeft w:val="0"/>
      <w:marRight w:val="0"/>
      <w:marTop w:val="0"/>
      <w:marBottom w:val="0"/>
      <w:divBdr>
        <w:top w:val="none" w:sz="0" w:space="0" w:color="auto"/>
        <w:left w:val="none" w:sz="0" w:space="0" w:color="auto"/>
        <w:bottom w:val="none" w:sz="0" w:space="0" w:color="auto"/>
        <w:right w:val="none" w:sz="0" w:space="0" w:color="auto"/>
      </w:divBdr>
    </w:div>
    <w:div w:id="1771317853">
      <w:bodyDiv w:val="1"/>
      <w:marLeft w:val="0"/>
      <w:marRight w:val="0"/>
      <w:marTop w:val="0"/>
      <w:marBottom w:val="0"/>
      <w:divBdr>
        <w:top w:val="none" w:sz="0" w:space="0" w:color="auto"/>
        <w:left w:val="none" w:sz="0" w:space="0" w:color="auto"/>
        <w:bottom w:val="none" w:sz="0" w:space="0" w:color="auto"/>
        <w:right w:val="none" w:sz="0" w:space="0" w:color="auto"/>
      </w:divBdr>
    </w:div>
    <w:div w:id="1992321136">
      <w:bodyDiv w:val="1"/>
      <w:marLeft w:val="0"/>
      <w:marRight w:val="0"/>
      <w:marTop w:val="0"/>
      <w:marBottom w:val="0"/>
      <w:divBdr>
        <w:top w:val="none" w:sz="0" w:space="0" w:color="auto"/>
        <w:left w:val="none" w:sz="0" w:space="0" w:color="auto"/>
        <w:bottom w:val="none" w:sz="0" w:space="0" w:color="auto"/>
        <w:right w:val="none" w:sz="0" w:space="0" w:color="auto"/>
      </w:divBdr>
    </w:div>
    <w:div w:id="2008244580">
      <w:bodyDiv w:val="1"/>
      <w:marLeft w:val="0"/>
      <w:marRight w:val="0"/>
      <w:marTop w:val="0"/>
      <w:marBottom w:val="0"/>
      <w:divBdr>
        <w:top w:val="none" w:sz="0" w:space="0" w:color="auto"/>
        <w:left w:val="none" w:sz="0" w:space="0" w:color="auto"/>
        <w:bottom w:val="none" w:sz="0" w:space="0" w:color="auto"/>
        <w:right w:val="none" w:sz="0" w:space="0" w:color="auto"/>
      </w:divBdr>
    </w:div>
    <w:div w:id="20227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Kate.semple@daera-ni.gov.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articles/ammonia-emissions-northern-ireland" TargetMode="External"/><Relationship Id="rId2" Type="http://schemas.openxmlformats.org/officeDocument/2006/relationships/hyperlink" Target="https://www.teagasc.ie/media/website/publications/2020/NH3-Ammonia-MACC.pdf" TargetMode="External"/><Relationship Id="rId1" Type="http://schemas.openxmlformats.org/officeDocument/2006/relationships/hyperlink" Target="https://uk-air.defra.gov.uk/assets/documents/reports/cat09/2007031424_Damage_cost_update_2020_FINAL.pdf" TargetMode="External"/><Relationship Id="rId4" Type="http://schemas.openxmlformats.org/officeDocument/2006/relationships/hyperlink" Target="https://uk-air.defra.gov.uk/assets/documents/reports/cat09/2007031424_Damage_cost_update_202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F7365-091E-4AB8-AF9C-01AF742B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Title:</vt:lpstr>
    </vt:vector>
  </TitlesOfParts>
  <Company>N.I.C.S</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Wai Kuen Mo</dc:creator>
  <cp:keywords/>
  <cp:lastModifiedBy>Semple, Kate</cp:lastModifiedBy>
  <cp:revision>2</cp:revision>
  <cp:lastPrinted>2014-04-28T08:05:00Z</cp:lastPrinted>
  <dcterms:created xsi:type="dcterms:W3CDTF">2022-11-03T10:34:00Z</dcterms:created>
  <dcterms:modified xsi:type="dcterms:W3CDTF">2022-11-03T10:34:00Z</dcterms:modified>
</cp:coreProperties>
</file>