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835"/>
        <w:gridCol w:w="6094"/>
        <w:gridCol w:w="4678"/>
      </w:tblGrid>
      <w:tr w:rsidR="004B7581" w14:paraId="53B19A63" w14:textId="77777777" w:rsidTr="004B7581">
        <w:trPr>
          <w:cantSplit/>
          <w:tblHeader/>
        </w:trPr>
        <w:tc>
          <w:tcPr>
            <w:tcW w:w="1986" w:type="dxa"/>
            <w:shd w:val="clear" w:color="auto" w:fill="auto"/>
          </w:tcPr>
          <w:p w14:paraId="59E056F1" w14:textId="77777777" w:rsidR="004B7581" w:rsidRPr="000F40BA" w:rsidRDefault="004B7581" w:rsidP="000F40BA">
            <w:pPr>
              <w:keepNext/>
              <w:spacing w:before="240" w:after="60"/>
              <w:outlineLvl w:val="1"/>
              <w:rPr>
                <w:rFonts w:ascii="Arial" w:eastAsia="Times New Roman" w:hAnsi="Arial" w:cs="Arial"/>
                <w:b/>
                <w:bCs/>
                <w:iCs/>
                <w:sz w:val="24"/>
                <w:szCs w:val="24"/>
              </w:rPr>
            </w:pPr>
            <w:r w:rsidRPr="000F40BA">
              <w:rPr>
                <w:rFonts w:ascii="Arial" w:eastAsia="Times New Roman" w:hAnsi="Arial" w:cs="Arial"/>
                <w:b/>
                <w:bCs/>
                <w:iCs/>
                <w:sz w:val="24"/>
                <w:szCs w:val="24"/>
              </w:rPr>
              <w:t>Article of EU 2019/787</w:t>
            </w:r>
          </w:p>
        </w:tc>
        <w:tc>
          <w:tcPr>
            <w:tcW w:w="2835" w:type="dxa"/>
            <w:shd w:val="clear" w:color="auto" w:fill="auto"/>
          </w:tcPr>
          <w:p w14:paraId="0E7430E6" w14:textId="77777777" w:rsidR="004B7581" w:rsidRPr="000F40BA" w:rsidRDefault="004B7581" w:rsidP="000F40BA">
            <w:pPr>
              <w:keepNext/>
              <w:spacing w:before="240" w:after="60"/>
              <w:outlineLvl w:val="1"/>
              <w:rPr>
                <w:rFonts w:ascii="Arial" w:eastAsia="Times New Roman" w:hAnsi="Arial" w:cs="Arial"/>
                <w:b/>
                <w:bCs/>
                <w:iCs/>
                <w:sz w:val="24"/>
                <w:szCs w:val="24"/>
              </w:rPr>
            </w:pPr>
            <w:r w:rsidRPr="000F40BA">
              <w:rPr>
                <w:rFonts w:ascii="Arial" w:eastAsia="Times New Roman" w:hAnsi="Arial" w:cs="Arial"/>
                <w:b/>
                <w:bCs/>
                <w:iCs/>
                <w:sz w:val="24"/>
                <w:szCs w:val="24"/>
              </w:rPr>
              <w:t>Issue</w:t>
            </w:r>
          </w:p>
        </w:tc>
        <w:tc>
          <w:tcPr>
            <w:tcW w:w="6094" w:type="dxa"/>
            <w:shd w:val="clear" w:color="auto" w:fill="auto"/>
          </w:tcPr>
          <w:p w14:paraId="1A8496C3" w14:textId="77777777" w:rsidR="004B7581" w:rsidRPr="000F40BA" w:rsidRDefault="004B7581" w:rsidP="000F40BA">
            <w:pPr>
              <w:keepNext/>
              <w:spacing w:before="240" w:after="60"/>
              <w:outlineLvl w:val="1"/>
              <w:rPr>
                <w:rFonts w:ascii="Arial" w:eastAsia="Times New Roman" w:hAnsi="Arial" w:cs="Arial"/>
                <w:b/>
                <w:bCs/>
                <w:iCs/>
                <w:sz w:val="24"/>
                <w:szCs w:val="24"/>
              </w:rPr>
            </w:pPr>
            <w:r w:rsidRPr="000F40BA">
              <w:rPr>
                <w:rFonts w:ascii="Arial" w:eastAsia="Times New Roman" w:hAnsi="Arial" w:cs="Arial"/>
                <w:b/>
                <w:bCs/>
                <w:iCs/>
                <w:sz w:val="24"/>
                <w:szCs w:val="24"/>
              </w:rPr>
              <w:t>Detail</w:t>
            </w:r>
          </w:p>
        </w:tc>
        <w:tc>
          <w:tcPr>
            <w:tcW w:w="4678" w:type="dxa"/>
            <w:shd w:val="clear" w:color="auto" w:fill="auto"/>
          </w:tcPr>
          <w:p w14:paraId="6B987AF3" w14:textId="77777777" w:rsidR="004B7581" w:rsidRPr="000F40BA" w:rsidRDefault="004B7581" w:rsidP="000F40BA">
            <w:pPr>
              <w:keepNext/>
              <w:spacing w:before="240" w:after="60"/>
              <w:outlineLvl w:val="1"/>
              <w:rPr>
                <w:rFonts w:ascii="Arial" w:eastAsia="Times New Roman" w:hAnsi="Arial" w:cs="Arial"/>
                <w:b/>
                <w:bCs/>
                <w:iCs/>
                <w:sz w:val="24"/>
                <w:szCs w:val="24"/>
              </w:rPr>
            </w:pPr>
            <w:r w:rsidRPr="000F40BA">
              <w:rPr>
                <w:rFonts w:ascii="Arial" w:eastAsia="Times New Roman" w:hAnsi="Arial" w:cs="Arial"/>
                <w:b/>
                <w:bCs/>
                <w:iCs/>
                <w:sz w:val="24"/>
                <w:szCs w:val="24"/>
              </w:rPr>
              <w:t>Difference from EC 110/2008</w:t>
            </w:r>
          </w:p>
        </w:tc>
      </w:tr>
      <w:tr w:rsidR="00373D47" w:rsidRPr="00DE5A00" w14:paraId="082ADC73" w14:textId="77777777" w:rsidTr="000E2DB6">
        <w:trPr>
          <w:cantSplit/>
        </w:trPr>
        <w:tc>
          <w:tcPr>
            <w:tcW w:w="1986" w:type="dxa"/>
            <w:shd w:val="clear" w:color="auto" w:fill="auto"/>
          </w:tcPr>
          <w:p w14:paraId="5F7CA732" w14:textId="77777777" w:rsidR="00373D47" w:rsidRPr="00373D47" w:rsidRDefault="00373D47" w:rsidP="000F40BA">
            <w:pPr>
              <w:keepNext/>
              <w:spacing w:before="240" w:after="60"/>
              <w:outlineLvl w:val="1"/>
              <w:rPr>
                <w:rFonts w:ascii="Arial" w:eastAsia="Times New Roman" w:hAnsi="Arial" w:cs="Arial"/>
                <w:bCs/>
                <w:iCs/>
                <w:sz w:val="24"/>
                <w:szCs w:val="24"/>
              </w:rPr>
            </w:pPr>
            <w:r w:rsidRPr="00373D47">
              <w:rPr>
                <w:rFonts w:ascii="Arial" w:eastAsia="Times New Roman" w:hAnsi="Arial" w:cs="Arial"/>
                <w:bCs/>
                <w:iCs/>
                <w:sz w:val="24"/>
                <w:szCs w:val="24"/>
              </w:rPr>
              <w:t>Article 5</w:t>
            </w:r>
          </w:p>
        </w:tc>
        <w:tc>
          <w:tcPr>
            <w:tcW w:w="2835" w:type="dxa"/>
            <w:shd w:val="clear" w:color="auto" w:fill="auto"/>
          </w:tcPr>
          <w:p w14:paraId="4C272432" w14:textId="77777777" w:rsidR="00373D47" w:rsidRPr="00373D47" w:rsidRDefault="00373D47" w:rsidP="000F40BA">
            <w:pPr>
              <w:keepNext/>
              <w:spacing w:before="240" w:after="60"/>
              <w:outlineLvl w:val="1"/>
              <w:rPr>
                <w:rFonts w:ascii="Arial" w:eastAsia="Times New Roman" w:hAnsi="Arial" w:cs="Arial"/>
                <w:bCs/>
                <w:iCs/>
                <w:sz w:val="24"/>
                <w:szCs w:val="24"/>
              </w:rPr>
            </w:pPr>
            <w:r w:rsidRPr="00373D47">
              <w:rPr>
                <w:rFonts w:ascii="Arial" w:eastAsia="Times New Roman" w:hAnsi="Arial" w:cs="Arial"/>
                <w:bCs/>
                <w:iCs/>
                <w:sz w:val="24"/>
                <w:szCs w:val="24"/>
              </w:rPr>
              <w:t>Definition of ethyl alcohol</w:t>
            </w:r>
            <w:r>
              <w:rPr>
                <w:rFonts w:ascii="Arial" w:eastAsia="Times New Roman" w:hAnsi="Arial" w:cs="Arial"/>
                <w:bCs/>
                <w:iCs/>
                <w:sz w:val="24"/>
                <w:szCs w:val="24"/>
              </w:rPr>
              <w:t xml:space="preserve"> of agricultural origin.</w:t>
            </w:r>
          </w:p>
        </w:tc>
        <w:tc>
          <w:tcPr>
            <w:tcW w:w="6094" w:type="dxa"/>
            <w:shd w:val="clear" w:color="auto" w:fill="auto"/>
          </w:tcPr>
          <w:p w14:paraId="14A475BF" w14:textId="77777777" w:rsidR="00373D47" w:rsidRPr="00373D47" w:rsidRDefault="00373D47" w:rsidP="00373D47">
            <w:pPr>
              <w:keepNext/>
              <w:spacing w:before="240" w:after="60"/>
              <w:outlineLvl w:val="1"/>
              <w:rPr>
                <w:rFonts w:ascii="Arial" w:eastAsia="Times New Roman" w:hAnsi="Arial" w:cs="Arial"/>
                <w:bCs/>
                <w:iCs/>
                <w:sz w:val="24"/>
                <w:szCs w:val="24"/>
              </w:rPr>
            </w:pPr>
            <w:r>
              <w:rPr>
                <w:rFonts w:ascii="Arial" w:eastAsia="Times New Roman" w:hAnsi="Arial" w:cs="Arial"/>
                <w:bCs/>
                <w:iCs/>
                <w:sz w:val="24"/>
                <w:szCs w:val="24"/>
              </w:rPr>
              <w:t>This provision provides the definition and requirements for ethyl alcohol of agricultural origin including the specification of the maximum residue limits for a range of organic compounds arising from technical composition analysis.</w:t>
            </w:r>
          </w:p>
        </w:tc>
        <w:tc>
          <w:tcPr>
            <w:tcW w:w="4678" w:type="dxa"/>
            <w:shd w:val="clear" w:color="auto" w:fill="auto"/>
          </w:tcPr>
          <w:p w14:paraId="0445E33A" w14:textId="77777777" w:rsidR="00373D47" w:rsidRPr="00373D47" w:rsidRDefault="00373D47" w:rsidP="00373D47">
            <w:pPr>
              <w:keepNext/>
              <w:spacing w:before="240" w:after="60"/>
              <w:outlineLvl w:val="1"/>
              <w:rPr>
                <w:rFonts w:ascii="Arial" w:eastAsia="Times New Roman" w:hAnsi="Arial" w:cs="Arial"/>
                <w:bCs/>
                <w:iCs/>
                <w:sz w:val="24"/>
                <w:szCs w:val="24"/>
              </w:rPr>
            </w:pPr>
            <w:r>
              <w:rPr>
                <w:rFonts w:ascii="Arial" w:eastAsia="Times New Roman" w:hAnsi="Arial" w:cs="Arial"/>
                <w:bCs/>
                <w:iCs/>
                <w:sz w:val="24"/>
                <w:szCs w:val="24"/>
              </w:rPr>
              <w:t xml:space="preserve">The new definition updates the </w:t>
            </w:r>
            <w:r w:rsidRPr="00373D47">
              <w:rPr>
                <w:rFonts w:ascii="Arial" w:eastAsia="Times New Roman" w:hAnsi="Arial" w:cs="Arial"/>
                <w:bCs/>
                <w:iCs/>
                <w:sz w:val="24"/>
                <w:szCs w:val="24"/>
              </w:rPr>
              <w:t>maximum levels of certain residues to be in line with the technical parameters currently used by the industry and by most laboratories of analysis</w:t>
            </w:r>
            <w:r>
              <w:rPr>
                <w:rFonts w:ascii="Arial" w:eastAsia="Times New Roman" w:hAnsi="Arial" w:cs="Arial"/>
                <w:bCs/>
                <w:iCs/>
                <w:sz w:val="24"/>
                <w:szCs w:val="24"/>
              </w:rPr>
              <w:t>.</w:t>
            </w:r>
          </w:p>
        </w:tc>
      </w:tr>
      <w:tr w:rsidR="004B7581" w14:paraId="7E7D9261" w14:textId="77777777" w:rsidTr="000E2DB6">
        <w:tc>
          <w:tcPr>
            <w:tcW w:w="1986" w:type="dxa"/>
            <w:shd w:val="clear" w:color="auto" w:fill="auto"/>
          </w:tcPr>
          <w:p w14:paraId="6F57D9FA" w14:textId="77777777" w:rsidR="004B7581" w:rsidRPr="000F40BA" w:rsidRDefault="004B7581" w:rsidP="000F40BA">
            <w:pPr>
              <w:keepNext/>
              <w:spacing w:before="240" w:after="60"/>
              <w:outlineLvl w:val="1"/>
              <w:rPr>
                <w:rFonts w:ascii="Arial" w:eastAsia="Times New Roman" w:hAnsi="Arial" w:cs="Arial"/>
                <w:b/>
                <w:bCs/>
                <w:iCs/>
                <w:sz w:val="24"/>
                <w:szCs w:val="24"/>
              </w:rPr>
            </w:pPr>
            <w:r w:rsidRPr="000F40BA">
              <w:rPr>
                <w:rFonts w:ascii="Arial" w:hAnsi="Arial"/>
                <w:bCs/>
                <w:iCs/>
                <w:color w:val="000000"/>
                <w:sz w:val="24"/>
                <w:szCs w:val="24"/>
              </w:rPr>
              <w:t>Article 6(2)</w:t>
            </w:r>
          </w:p>
        </w:tc>
        <w:tc>
          <w:tcPr>
            <w:tcW w:w="2835" w:type="dxa"/>
            <w:shd w:val="clear" w:color="auto" w:fill="auto"/>
          </w:tcPr>
          <w:p w14:paraId="1852407D" w14:textId="77777777" w:rsidR="004B7581" w:rsidRPr="00FA2CA8" w:rsidRDefault="004B7581" w:rsidP="00FA2CA8">
            <w:pPr>
              <w:spacing w:before="240" w:after="120"/>
              <w:rPr>
                <w:rFonts w:ascii="Arial" w:hAnsi="Arial"/>
                <w:bCs/>
                <w:iCs/>
                <w:color w:val="000000"/>
                <w:sz w:val="24"/>
                <w:szCs w:val="24"/>
              </w:rPr>
            </w:pPr>
            <w:r w:rsidRPr="000F40BA">
              <w:rPr>
                <w:rFonts w:ascii="Arial" w:hAnsi="Arial"/>
                <w:bCs/>
                <w:iCs/>
                <w:color w:val="000000"/>
                <w:sz w:val="24"/>
                <w:szCs w:val="24"/>
              </w:rPr>
              <w:t xml:space="preserve">Dilution and dissolution of colourants, </w:t>
            </w:r>
            <w:proofErr w:type="gramStart"/>
            <w:r w:rsidRPr="000F40BA">
              <w:rPr>
                <w:rFonts w:ascii="Arial" w:hAnsi="Arial"/>
                <w:bCs/>
                <w:iCs/>
                <w:color w:val="000000"/>
                <w:sz w:val="24"/>
                <w:szCs w:val="24"/>
              </w:rPr>
              <w:t>flavourings</w:t>
            </w:r>
            <w:proofErr w:type="gramEnd"/>
            <w:r w:rsidRPr="000F40BA">
              <w:rPr>
                <w:rFonts w:ascii="Arial" w:hAnsi="Arial"/>
                <w:bCs/>
                <w:iCs/>
                <w:color w:val="000000"/>
                <w:sz w:val="24"/>
                <w:szCs w:val="24"/>
              </w:rPr>
              <w:t xml:space="preserve"> </w:t>
            </w:r>
            <w:r>
              <w:rPr>
                <w:rFonts w:ascii="Arial" w:hAnsi="Arial"/>
                <w:bCs/>
                <w:iCs/>
                <w:color w:val="000000"/>
                <w:sz w:val="24"/>
                <w:szCs w:val="24"/>
              </w:rPr>
              <w:t xml:space="preserve">and other authorised additives </w:t>
            </w:r>
          </w:p>
        </w:tc>
        <w:tc>
          <w:tcPr>
            <w:tcW w:w="6094" w:type="dxa"/>
            <w:shd w:val="clear" w:color="auto" w:fill="auto"/>
          </w:tcPr>
          <w:p w14:paraId="2680A7D8" w14:textId="77777777" w:rsidR="004B7581" w:rsidRPr="000F40BA" w:rsidRDefault="004B7581" w:rsidP="000F40BA">
            <w:pPr>
              <w:keepNext/>
              <w:spacing w:before="240" w:after="60"/>
              <w:outlineLvl w:val="1"/>
              <w:rPr>
                <w:rFonts w:ascii="Arial" w:eastAsia="Times New Roman" w:hAnsi="Arial" w:cs="Arial"/>
                <w:b/>
                <w:bCs/>
                <w:iCs/>
                <w:sz w:val="24"/>
                <w:szCs w:val="24"/>
              </w:rPr>
            </w:pPr>
            <w:r w:rsidRPr="000F40BA">
              <w:rPr>
                <w:rFonts w:ascii="Arial" w:hAnsi="Arial"/>
                <w:sz w:val="24"/>
              </w:rPr>
              <w:t xml:space="preserve">This provision changes the requirement so that the amount of ethyl alcohol of agricultural origin, distillate of agricultural origin or certain spirit drinks should only be used in an amount strictly necessary for the purposes of dilution or </w:t>
            </w:r>
            <w:r>
              <w:rPr>
                <w:rFonts w:ascii="Arial" w:hAnsi="Arial"/>
                <w:sz w:val="24"/>
              </w:rPr>
              <w:t>dissolution.</w:t>
            </w:r>
          </w:p>
        </w:tc>
        <w:tc>
          <w:tcPr>
            <w:tcW w:w="4678" w:type="dxa"/>
            <w:shd w:val="clear" w:color="auto" w:fill="auto"/>
          </w:tcPr>
          <w:p w14:paraId="30B3D84B" w14:textId="77777777" w:rsidR="004B7581" w:rsidRPr="000F40BA" w:rsidRDefault="004B7581" w:rsidP="000F40BA">
            <w:pPr>
              <w:keepNext/>
              <w:spacing w:before="240" w:after="60"/>
              <w:outlineLvl w:val="1"/>
              <w:rPr>
                <w:rFonts w:ascii="Arial" w:eastAsia="Times New Roman" w:hAnsi="Arial" w:cs="Arial"/>
                <w:b/>
                <w:bCs/>
                <w:iCs/>
                <w:sz w:val="24"/>
                <w:szCs w:val="24"/>
              </w:rPr>
            </w:pPr>
            <w:r w:rsidRPr="000F40BA">
              <w:rPr>
                <w:rFonts w:ascii="Arial" w:hAnsi="Arial"/>
                <w:sz w:val="24"/>
              </w:rPr>
              <w:t xml:space="preserve">Expands existing provisions in Article 3(3) of the EC </w:t>
            </w:r>
            <w:r w:rsidRPr="000F40BA">
              <w:rPr>
                <w:rFonts w:ascii="Arial" w:hAnsi="Arial"/>
                <w:sz w:val="24"/>
                <w:lang w:val="en-US"/>
              </w:rPr>
              <w:t>110/2008</w:t>
            </w:r>
          </w:p>
        </w:tc>
      </w:tr>
      <w:tr w:rsidR="004B7581" w14:paraId="7BD37479" w14:textId="77777777" w:rsidTr="000E2DB6">
        <w:tc>
          <w:tcPr>
            <w:tcW w:w="1986" w:type="dxa"/>
            <w:shd w:val="clear" w:color="auto" w:fill="auto"/>
          </w:tcPr>
          <w:p w14:paraId="32658AFA" w14:textId="77777777" w:rsidR="004B7581" w:rsidRPr="000F40BA" w:rsidRDefault="004B7581" w:rsidP="000F40BA">
            <w:pPr>
              <w:keepNext/>
              <w:spacing w:before="240" w:after="60"/>
              <w:outlineLvl w:val="1"/>
              <w:rPr>
                <w:rFonts w:ascii="Arial" w:eastAsia="Times New Roman" w:hAnsi="Arial" w:cs="Arial"/>
                <w:b/>
                <w:bCs/>
                <w:iCs/>
                <w:sz w:val="24"/>
                <w:szCs w:val="24"/>
              </w:rPr>
            </w:pPr>
            <w:r w:rsidRPr="000F40BA">
              <w:rPr>
                <w:rFonts w:ascii="Arial" w:hAnsi="Arial"/>
                <w:bCs/>
                <w:iCs/>
                <w:color w:val="000000"/>
                <w:sz w:val="24"/>
                <w:szCs w:val="24"/>
              </w:rPr>
              <w:t>Article 7(2)</w:t>
            </w:r>
          </w:p>
        </w:tc>
        <w:tc>
          <w:tcPr>
            <w:tcW w:w="2835" w:type="dxa"/>
            <w:shd w:val="clear" w:color="auto" w:fill="auto"/>
          </w:tcPr>
          <w:p w14:paraId="7C91567C" w14:textId="77777777" w:rsidR="004B7581" w:rsidRPr="000F40BA" w:rsidRDefault="004B7581" w:rsidP="000F40BA">
            <w:pPr>
              <w:spacing w:before="240" w:after="120"/>
              <w:rPr>
                <w:rFonts w:ascii="Arial" w:eastAsia="Times New Roman" w:hAnsi="Arial" w:cs="Arial"/>
                <w:b/>
                <w:bCs/>
                <w:iCs/>
                <w:sz w:val="24"/>
                <w:szCs w:val="24"/>
              </w:rPr>
            </w:pPr>
            <w:r w:rsidRPr="000F40BA">
              <w:rPr>
                <w:rFonts w:ascii="Arial" w:hAnsi="Arial"/>
                <w:bCs/>
                <w:iCs/>
                <w:color w:val="000000"/>
                <w:sz w:val="24"/>
                <w:szCs w:val="24"/>
              </w:rPr>
              <w:t xml:space="preserve">General requirements relating to the production, content and sweetening of certain spirit drinks </w:t>
            </w:r>
          </w:p>
        </w:tc>
        <w:tc>
          <w:tcPr>
            <w:tcW w:w="6094" w:type="dxa"/>
            <w:shd w:val="clear" w:color="auto" w:fill="auto"/>
          </w:tcPr>
          <w:p w14:paraId="6EAFBFB1" w14:textId="77777777" w:rsidR="004B7581" w:rsidRPr="000F40BA" w:rsidRDefault="004B7581" w:rsidP="000F40BA">
            <w:pPr>
              <w:keepNext/>
              <w:spacing w:before="240" w:after="60"/>
              <w:outlineLvl w:val="1"/>
              <w:rPr>
                <w:rFonts w:ascii="Arial" w:eastAsia="Times New Roman" w:hAnsi="Arial" w:cs="Arial"/>
                <w:b/>
                <w:bCs/>
                <w:iCs/>
                <w:sz w:val="24"/>
                <w:szCs w:val="24"/>
              </w:rPr>
            </w:pPr>
            <w:r w:rsidRPr="000F40BA">
              <w:rPr>
                <w:rFonts w:ascii="Arial" w:hAnsi="Arial"/>
                <w:sz w:val="24"/>
              </w:rPr>
              <w:t>Requires</w:t>
            </w:r>
            <w:r w:rsidRPr="000F40BA">
              <w:rPr>
                <w:rFonts w:ascii="Arial" w:hAnsi="Arial"/>
                <w:sz w:val="24"/>
                <w:lang w:val="en-US"/>
              </w:rPr>
              <w:t xml:space="preserve"> that </w:t>
            </w:r>
            <w:r w:rsidRPr="000F40BA">
              <w:rPr>
                <w:rFonts w:ascii="Arial" w:hAnsi="Arial"/>
                <w:sz w:val="24"/>
              </w:rPr>
              <w:t>the spirit drink should not contain adjuncts other than whole unprocessed items of the raw material from which the alcohol is obtained, and which are mainly used for decorative purposes</w:t>
            </w:r>
          </w:p>
        </w:tc>
        <w:tc>
          <w:tcPr>
            <w:tcW w:w="4678" w:type="dxa"/>
            <w:shd w:val="clear" w:color="auto" w:fill="auto"/>
          </w:tcPr>
          <w:p w14:paraId="6759D1D3" w14:textId="77777777" w:rsidR="004B7581" w:rsidRPr="000F40BA" w:rsidRDefault="004B7581" w:rsidP="000F40BA">
            <w:pPr>
              <w:keepNext/>
              <w:spacing w:before="240" w:after="60"/>
              <w:outlineLvl w:val="1"/>
              <w:rPr>
                <w:rFonts w:ascii="Arial" w:eastAsia="Times New Roman" w:hAnsi="Arial" w:cs="Arial"/>
                <w:b/>
                <w:bCs/>
                <w:iCs/>
                <w:sz w:val="24"/>
                <w:szCs w:val="24"/>
              </w:rPr>
            </w:pPr>
            <w:r w:rsidRPr="000F40BA">
              <w:rPr>
                <w:rFonts w:ascii="Arial" w:hAnsi="Arial"/>
                <w:sz w:val="24"/>
              </w:rPr>
              <w:t xml:space="preserve">Adds to the requirements outlined in Article 5(1) of EC </w:t>
            </w:r>
            <w:r w:rsidRPr="000F40BA">
              <w:rPr>
                <w:rFonts w:ascii="Arial" w:hAnsi="Arial"/>
                <w:sz w:val="24"/>
                <w:lang w:val="en-US"/>
              </w:rPr>
              <w:t>110/2008</w:t>
            </w:r>
          </w:p>
        </w:tc>
      </w:tr>
      <w:tr w:rsidR="004B7581" w14:paraId="4F6ED946" w14:textId="77777777" w:rsidTr="000E2DB6">
        <w:tc>
          <w:tcPr>
            <w:tcW w:w="1986" w:type="dxa"/>
            <w:shd w:val="clear" w:color="auto" w:fill="auto"/>
          </w:tcPr>
          <w:p w14:paraId="7A284A94" w14:textId="77777777" w:rsidR="004B7581" w:rsidRPr="000F40BA" w:rsidRDefault="004B7581" w:rsidP="000F40BA">
            <w:pPr>
              <w:spacing w:before="240" w:after="120"/>
              <w:rPr>
                <w:rFonts w:ascii="Arial" w:hAnsi="Arial"/>
                <w:bCs/>
                <w:iCs/>
                <w:color w:val="000000"/>
                <w:sz w:val="24"/>
                <w:szCs w:val="24"/>
              </w:rPr>
            </w:pPr>
            <w:r w:rsidRPr="000F40BA">
              <w:rPr>
                <w:rFonts w:ascii="Arial" w:hAnsi="Arial"/>
                <w:bCs/>
                <w:iCs/>
                <w:color w:val="000000"/>
                <w:sz w:val="24"/>
                <w:szCs w:val="24"/>
              </w:rPr>
              <w:t>Article 10(5)(b)</w:t>
            </w:r>
          </w:p>
          <w:p w14:paraId="76C1FD15" w14:textId="77777777" w:rsidR="004B7581" w:rsidRPr="000F40BA" w:rsidRDefault="004B7581" w:rsidP="000F40BA">
            <w:pPr>
              <w:keepNext/>
              <w:spacing w:before="240" w:after="60"/>
              <w:outlineLvl w:val="1"/>
              <w:rPr>
                <w:rFonts w:ascii="Arial" w:eastAsia="Times New Roman" w:hAnsi="Arial" w:cs="Arial"/>
                <w:b/>
                <w:bCs/>
                <w:iCs/>
                <w:sz w:val="24"/>
                <w:szCs w:val="24"/>
              </w:rPr>
            </w:pPr>
          </w:p>
        </w:tc>
        <w:tc>
          <w:tcPr>
            <w:tcW w:w="2835" w:type="dxa"/>
            <w:shd w:val="clear" w:color="auto" w:fill="auto"/>
          </w:tcPr>
          <w:p w14:paraId="0B170F6F" w14:textId="77777777" w:rsidR="004B7581" w:rsidRPr="000F40BA" w:rsidRDefault="004B7581" w:rsidP="000F40BA">
            <w:pPr>
              <w:keepNext/>
              <w:spacing w:before="240" w:after="60"/>
              <w:outlineLvl w:val="1"/>
              <w:rPr>
                <w:rFonts w:ascii="Arial" w:eastAsia="Times New Roman" w:hAnsi="Arial" w:cs="Arial"/>
                <w:b/>
                <w:bCs/>
                <w:iCs/>
                <w:sz w:val="24"/>
                <w:szCs w:val="24"/>
              </w:rPr>
            </w:pPr>
            <w:r w:rsidRPr="000F40BA">
              <w:rPr>
                <w:rFonts w:ascii="Arial" w:hAnsi="Arial"/>
                <w:bCs/>
                <w:iCs/>
                <w:color w:val="000000"/>
                <w:sz w:val="24"/>
                <w:szCs w:val="24"/>
              </w:rPr>
              <w:t>Restriction on the supplementation or replacement of a sales denomination</w:t>
            </w:r>
          </w:p>
        </w:tc>
        <w:tc>
          <w:tcPr>
            <w:tcW w:w="6094" w:type="dxa"/>
            <w:shd w:val="clear" w:color="auto" w:fill="auto"/>
          </w:tcPr>
          <w:p w14:paraId="0EB7D218" w14:textId="77777777" w:rsidR="004B7581" w:rsidRPr="000F40BA" w:rsidRDefault="004B7581" w:rsidP="000F40BA">
            <w:pPr>
              <w:spacing w:before="240"/>
              <w:rPr>
                <w:rFonts w:ascii="Arial" w:hAnsi="Arial"/>
                <w:b/>
                <w:bCs/>
                <w:sz w:val="24"/>
              </w:rPr>
            </w:pPr>
            <w:r w:rsidRPr="000F40BA">
              <w:rPr>
                <w:rFonts w:ascii="Arial" w:hAnsi="Arial"/>
                <w:sz w:val="24"/>
              </w:rPr>
              <w:t>Derogation to allow for replacing a legal name with a compound term which includes the term ‘liqueur’ or ‘cream’, provided the final product complies with the requirements of category 33 of Annex I (</w:t>
            </w:r>
            <w:r w:rsidRPr="000F40BA">
              <w:rPr>
                <w:rFonts w:ascii="Arial" w:hAnsi="Arial"/>
                <w:b/>
                <w:bCs/>
                <w:sz w:val="24"/>
              </w:rPr>
              <w:t>Liqueur).</w:t>
            </w:r>
          </w:p>
        </w:tc>
        <w:tc>
          <w:tcPr>
            <w:tcW w:w="4678" w:type="dxa"/>
            <w:shd w:val="clear" w:color="auto" w:fill="auto"/>
          </w:tcPr>
          <w:p w14:paraId="3D03A21C" w14:textId="77777777" w:rsidR="004B7581" w:rsidRPr="000F40BA" w:rsidRDefault="004B7581" w:rsidP="00E82652">
            <w:pPr>
              <w:keepNext/>
              <w:spacing w:before="240" w:after="60"/>
              <w:outlineLvl w:val="1"/>
              <w:rPr>
                <w:rFonts w:ascii="Arial" w:eastAsia="Times New Roman" w:hAnsi="Arial" w:cs="Arial"/>
                <w:b/>
                <w:bCs/>
                <w:iCs/>
                <w:sz w:val="24"/>
                <w:szCs w:val="24"/>
              </w:rPr>
            </w:pPr>
            <w:r w:rsidRPr="000F40BA">
              <w:rPr>
                <w:rFonts w:ascii="Arial" w:hAnsi="Arial"/>
                <w:sz w:val="24"/>
              </w:rPr>
              <w:t>Derogation allowing for the supplementation or replacement of a legal name with a GI.</w:t>
            </w:r>
          </w:p>
        </w:tc>
      </w:tr>
      <w:tr w:rsidR="004B7581" w14:paraId="0F41A353" w14:textId="77777777" w:rsidTr="000E2DB6">
        <w:tc>
          <w:tcPr>
            <w:tcW w:w="1986" w:type="dxa"/>
            <w:shd w:val="clear" w:color="auto" w:fill="auto"/>
          </w:tcPr>
          <w:p w14:paraId="6A9228BF" w14:textId="77777777" w:rsidR="004B7581" w:rsidRPr="000F40BA" w:rsidRDefault="004B7581" w:rsidP="000F40BA">
            <w:pPr>
              <w:tabs>
                <w:tab w:val="num" w:pos="720"/>
              </w:tabs>
              <w:spacing w:before="240" w:after="120"/>
              <w:ind w:left="510" w:hanging="510"/>
              <w:rPr>
                <w:rFonts w:ascii="Arial" w:hAnsi="Arial"/>
                <w:bCs/>
                <w:iCs/>
                <w:color w:val="000000"/>
                <w:sz w:val="24"/>
                <w:szCs w:val="24"/>
              </w:rPr>
            </w:pPr>
            <w:r w:rsidRPr="000F40BA">
              <w:rPr>
                <w:rFonts w:ascii="Arial" w:hAnsi="Arial"/>
                <w:bCs/>
                <w:iCs/>
                <w:color w:val="000000"/>
                <w:sz w:val="24"/>
                <w:szCs w:val="24"/>
              </w:rPr>
              <w:t xml:space="preserve">Article 10(6): </w:t>
            </w:r>
          </w:p>
          <w:p w14:paraId="04320AD2" w14:textId="77777777" w:rsidR="004B7581" w:rsidRPr="000F40BA" w:rsidRDefault="004B7581" w:rsidP="000F40BA">
            <w:pPr>
              <w:keepNext/>
              <w:spacing w:before="240" w:after="60"/>
              <w:outlineLvl w:val="1"/>
              <w:rPr>
                <w:rFonts w:ascii="Arial" w:eastAsia="Times New Roman" w:hAnsi="Arial" w:cs="Arial"/>
                <w:b/>
                <w:bCs/>
                <w:iCs/>
                <w:sz w:val="24"/>
                <w:szCs w:val="24"/>
              </w:rPr>
            </w:pPr>
          </w:p>
        </w:tc>
        <w:tc>
          <w:tcPr>
            <w:tcW w:w="2835" w:type="dxa"/>
            <w:shd w:val="clear" w:color="auto" w:fill="auto"/>
          </w:tcPr>
          <w:p w14:paraId="0ED5CF31" w14:textId="77777777" w:rsidR="004B7581" w:rsidRPr="000F40BA" w:rsidRDefault="004B7581" w:rsidP="000F40BA">
            <w:pPr>
              <w:keepNext/>
              <w:spacing w:before="240" w:after="60"/>
              <w:outlineLvl w:val="1"/>
              <w:rPr>
                <w:rFonts w:ascii="Arial" w:eastAsia="Times New Roman" w:hAnsi="Arial" w:cs="Arial"/>
                <w:b/>
                <w:bCs/>
                <w:iCs/>
                <w:sz w:val="24"/>
                <w:szCs w:val="24"/>
              </w:rPr>
            </w:pPr>
            <w:r w:rsidRPr="000F40BA">
              <w:rPr>
                <w:rFonts w:ascii="Arial" w:hAnsi="Arial"/>
                <w:bCs/>
                <w:iCs/>
                <w:color w:val="000000"/>
                <w:sz w:val="24"/>
                <w:szCs w:val="24"/>
              </w:rPr>
              <w:t>Requirements relating to the supplementation of legal names</w:t>
            </w:r>
          </w:p>
        </w:tc>
        <w:tc>
          <w:tcPr>
            <w:tcW w:w="6094" w:type="dxa"/>
            <w:shd w:val="clear" w:color="auto" w:fill="auto"/>
          </w:tcPr>
          <w:p w14:paraId="3B7A476B" w14:textId="77777777" w:rsidR="004B7581" w:rsidRPr="000F40BA" w:rsidRDefault="004B7581" w:rsidP="000F40BA">
            <w:pPr>
              <w:spacing w:before="240"/>
              <w:rPr>
                <w:rFonts w:ascii="Arial" w:hAnsi="Arial"/>
                <w:sz w:val="24"/>
              </w:rPr>
            </w:pPr>
            <w:r w:rsidRPr="000F40BA">
              <w:rPr>
                <w:rFonts w:ascii="Arial" w:hAnsi="Arial"/>
                <w:sz w:val="24"/>
              </w:rPr>
              <w:t>Provided certain specific rules are complied with, the legal name for a spirit drink may be supplemented by:</w:t>
            </w:r>
          </w:p>
          <w:p w14:paraId="5D12ABB0" w14:textId="77777777" w:rsidR="004B7581" w:rsidRPr="000F40BA" w:rsidRDefault="004B7581" w:rsidP="000F40BA">
            <w:pPr>
              <w:numPr>
                <w:ilvl w:val="0"/>
                <w:numId w:val="9"/>
              </w:numPr>
              <w:tabs>
                <w:tab w:val="left" w:pos="270"/>
              </w:tabs>
              <w:spacing w:before="240" w:after="0" w:line="240" w:lineRule="auto"/>
              <w:ind w:left="270" w:hanging="270"/>
              <w:rPr>
                <w:rFonts w:ascii="Arial" w:hAnsi="Arial"/>
                <w:sz w:val="24"/>
              </w:rPr>
            </w:pPr>
            <w:r w:rsidRPr="000F40BA">
              <w:rPr>
                <w:rFonts w:ascii="Arial" w:hAnsi="Arial"/>
                <w:sz w:val="24"/>
              </w:rPr>
              <w:lastRenderedPageBreak/>
              <w:t xml:space="preserve">A ‘customary name’ defined as </w:t>
            </w:r>
            <w:r w:rsidRPr="000F40BA">
              <w:rPr>
                <w:rFonts w:ascii="Arial" w:hAnsi="Arial" w:hint="eastAsia"/>
                <w:sz w:val="24"/>
              </w:rPr>
              <w:t>a name which is accepted as the name of the food by consumers in the Member State in which that food is sold, without that name needing further explanation</w:t>
            </w:r>
            <w:r w:rsidRPr="000F40BA">
              <w:rPr>
                <w:rFonts w:ascii="Arial" w:hAnsi="Arial"/>
                <w:sz w:val="24"/>
              </w:rPr>
              <w:t>.</w:t>
            </w:r>
          </w:p>
          <w:p w14:paraId="30515448" w14:textId="48538C0F" w:rsidR="004B7581" w:rsidRPr="000F40BA" w:rsidRDefault="004B7581" w:rsidP="000F40BA">
            <w:pPr>
              <w:numPr>
                <w:ilvl w:val="0"/>
                <w:numId w:val="9"/>
              </w:numPr>
              <w:tabs>
                <w:tab w:val="left" w:pos="270"/>
              </w:tabs>
              <w:spacing w:after="0" w:line="240" w:lineRule="auto"/>
              <w:ind w:left="270" w:hanging="270"/>
              <w:rPr>
                <w:rFonts w:ascii="Arial" w:hAnsi="Arial"/>
                <w:sz w:val="24"/>
              </w:rPr>
            </w:pPr>
            <w:r w:rsidRPr="000F40BA">
              <w:rPr>
                <w:rFonts w:ascii="Arial" w:hAnsi="Arial"/>
                <w:sz w:val="24"/>
              </w:rPr>
              <w:t xml:space="preserve">in addition to the term ’mixed spirit drink’, ‘mixture’ or ‘mixed’ may be used to supplement a legal name </w:t>
            </w:r>
            <w:r w:rsidR="00A832E1" w:rsidRPr="000F40BA">
              <w:rPr>
                <w:rFonts w:ascii="Arial" w:hAnsi="Arial"/>
                <w:sz w:val="24"/>
              </w:rPr>
              <w:t>whereas</w:t>
            </w:r>
            <w:r w:rsidRPr="000F40BA">
              <w:rPr>
                <w:rFonts w:ascii="Arial" w:hAnsi="Arial"/>
                <w:sz w:val="24"/>
              </w:rPr>
              <w:t xml:space="preserve"> previously only ’mixed spirit drink’ was an option.</w:t>
            </w:r>
          </w:p>
          <w:p w14:paraId="3B1B23BA" w14:textId="77777777" w:rsidR="004B7581" w:rsidRPr="00FA2CA8" w:rsidRDefault="004B7581" w:rsidP="00F82CA1">
            <w:pPr>
              <w:numPr>
                <w:ilvl w:val="0"/>
                <w:numId w:val="9"/>
              </w:numPr>
              <w:tabs>
                <w:tab w:val="left" w:pos="270"/>
              </w:tabs>
              <w:spacing w:line="240" w:lineRule="auto"/>
              <w:ind w:left="270" w:hanging="270"/>
              <w:rPr>
                <w:rFonts w:ascii="Arial" w:hAnsi="Arial"/>
                <w:sz w:val="24"/>
              </w:rPr>
            </w:pPr>
            <w:proofErr w:type="gramStart"/>
            <w:r w:rsidRPr="000F40BA">
              <w:rPr>
                <w:rFonts w:ascii="Arial" w:hAnsi="Arial"/>
                <w:sz w:val="24"/>
              </w:rPr>
              <w:t>with the exception of</w:t>
            </w:r>
            <w:proofErr w:type="gramEnd"/>
            <w:r w:rsidRPr="000F40BA">
              <w:rPr>
                <w:rFonts w:ascii="Arial" w:hAnsi="Arial"/>
                <w:sz w:val="24"/>
              </w:rPr>
              <w:t xml:space="preserve"> whisky, the term ‘dry’ or ‘</w:t>
            </w:r>
            <w:r w:rsidRPr="000F40BA">
              <w:rPr>
                <w:rFonts w:ascii="Arial" w:hAnsi="Arial"/>
                <w:i/>
                <w:sz w:val="24"/>
              </w:rPr>
              <w:t xml:space="preserve">dry’ </w:t>
            </w:r>
            <w:r w:rsidRPr="000F40BA">
              <w:rPr>
                <w:rFonts w:ascii="Arial" w:hAnsi="Arial"/>
                <w:sz w:val="24"/>
              </w:rPr>
              <w:t>may be used to supplement spirit drinks provided they have not been sweetened in any way. A derogation from this is for spirit drinks that fit the category for liqueurs and have therefore been sweetened. Gins, Distilled Gins and London Gins have their own specific requirements for the use of this supplementary term.</w:t>
            </w:r>
          </w:p>
        </w:tc>
        <w:tc>
          <w:tcPr>
            <w:tcW w:w="4678" w:type="dxa"/>
            <w:shd w:val="clear" w:color="auto" w:fill="auto"/>
          </w:tcPr>
          <w:p w14:paraId="1B365AAF" w14:textId="77777777" w:rsidR="004B7581" w:rsidRPr="000F40BA" w:rsidRDefault="004B7581" w:rsidP="000F40BA">
            <w:pPr>
              <w:keepNext/>
              <w:spacing w:before="240" w:after="60"/>
              <w:outlineLvl w:val="1"/>
              <w:rPr>
                <w:rFonts w:ascii="Arial" w:eastAsia="Times New Roman" w:hAnsi="Arial" w:cs="Arial"/>
                <w:b/>
                <w:bCs/>
                <w:iCs/>
                <w:sz w:val="24"/>
                <w:szCs w:val="24"/>
              </w:rPr>
            </w:pPr>
            <w:r w:rsidRPr="000F40BA">
              <w:rPr>
                <w:rFonts w:ascii="Arial" w:hAnsi="Arial"/>
                <w:sz w:val="24"/>
              </w:rPr>
              <w:lastRenderedPageBreak/>
              <w:t xml:space="preserve">This Article consolidates </w:t>
            </w:r>
            <w:proofErr w:type="gramStart"/>
            <w:r w:rsidRPr="000F40BA">
              <w:rPr>
                <w:rFonts w:ascii="Arial" w:hAnsi="Arial"/>
                <w:sz w:val="24"/>
              </w:rPr>
              <w:t>a number of</w:t>
            </w:r>
            <w:proofErr w:type="gramEnd"/>
            <w:r w:rsidRPr="000F40BA">
              <w:rPr>
                <w:rFonts w:ascii="Arial" w:hAnsi="Arial"/>
                <w:sz w:val="24"/>
              </w:rPr>
              <w:t xml:space="preserve"> provisions from EC110/2008. </w:t>
            </w:r>
          </w:p>
        </w:tc>
      </w:tr>
      <w:tr w:rsidR="004B7581" w14:paraId="6B335250" w14:textId="77777777" w:rsidTr="000E2DB6">
        <w:tc>
          <w:tcPr>
            <w:tcW w:w="1986" w:type="dxa"/>
            <w:shd w:val="clear" w:color="auto" w:fill="auto"/>
          </w:tcPr>
          <w:p w14:paraId="64236005" w14:textId="77777777" w:rsidR="004B7581" w:rsidRPr="000F40BA" w:rsidRDefault="004B7581" w:rsidP="000F40BA">
            <w:pPr>
              <w:keepNext/>
              <w:spacing w:before="240" w:after="60"/>
              <w:outlineLvl w:val="1"/>
              <w:rPr>
                <w:rFonts w:ascii="Arial" w:eastAsia="Times New Roman" w:hAnsi="Arial" w:cs="Arial"/>
                <w:b/>
                <w:bCs/>
                <w:iCs/>
                <w:sz w:val="24"/>
                <w:szCs w:val="24"/>
              </w:rPr>
            </w:pPr>
            <w:r w:rsidRPr="000F40BA">
              <w:rPr>
                <w:rFonts w:ascii="Arial" w:hAnsi="Arial"/>
                <w:bCs/>
                <w:iCs/>
                <w:color w:val="000000"/>
                <w:sz w:val="24"/>
                <w:szCs w:val="24"/>
              </w:rPr>
              <w:t xml:space="preserve">Article 11(2): </w:t>
            </w:r>
          </w:p>
        </w:tc>
        <w:tc>
          <w:tcPr>
            <w:tcW w:w="2835" w:type="dxa"/>
            <w:shd w:val="clear" w:color="auto" w:fill="auto"/>
          </w:tcPr>
          <w:p w14:paraId="3C279AD9" w14:textId="77777777" w:rsidR="004B7581" w:rsidRPr="000F40BA" w:rsidRDefault="004B7581" w:rsidP="000F40BA">
            <w:pPr>
              <w:spacing w:before="240" w:after="120"/>
              <w:rPr>
                <w:rFonts w:ascii="Arial" w:hAnsi="Arial"/>
                <w:bCs/>
                <w:iCs/>
                <w:color w:val="000000"/>
                <w:sz w:val="24"/>
                <w:szCs w:val="24"/>
              </w:rPr>
            </w:pPr>
            <w:r w:rsidRPr="000F40BA">
              <w:rPr>
                <w:rFonts w:ascii="Arial" w:hAnsi="Arial"/>
                <w:bCs/>
                <w:iCs/>
                <w:color w:val="000000"/>
                <w:sz w:val="24"/>
                <w:szCs w:val="24"/>
              </w:rPr>
              <w:t xml:space="preserve">Prohibition on terms used in compound </w:t>
            </w:r>
            <w:proofErr w:type="gramStart"/>
            <w:r w:rsidRPr="000F40BA">
              <w:rPr>
                <w:rFonts w:ascii="Arial" w:hAnsi="Arial"/>
                <w:bCs/>
                <w:iCs/>
                <w:color w:val="000000"/>
                <w:sz w:val="24"/>
                <w:szCs w:val="24"/>
              </w:rPr>
              <w:t>terms</w:t>
            </w:r>
            <w:proofErr w:type="gramEnd"/>
          </w:p>
          <w:p w14:paraId="566C5A69" w14:textId="77777777" w:rsidR="004B7581" w:rsidRPr="000F40BA" w:rsidRDefault="004B7581" w:rsidP="000F40BA">
            <w:pPr>
              <w:keepNext/>
              <w:spacing w:before="240" w:after="60"/>
              <w:outlineLvl w:val="1"/>
              <w:rPr>
                <w:rFonts w:ascii="Arial" w:eastAsia="Times New Roman" w:hAnsi="Arial" w:cs="Arial"/>
                <w:b/>
                <w:bCs/>
                <w:iCs/>
                <w:sz w:val="24"/>
                <w:szCs w:val="24"/>
              </w:rPr>
            </w:pPr>
          </w:p>
        </w:tc>
        <w:tc>
          <w:tcPr>
            <w:tcW w:w="6094" w:type="dxa"/>
            <w:shd w:val="clear" w:color="auto" w:fill="auto"/>
          </w:tcPr>
          <w:p w14:paraId="15D55759" w14:textId="77777777" w:rsidR="004B7581" w:rsidRPr="000F40BA" w:rsidRDefault="004B7581" w:rsidP="000F40BA">
            <w:pPr>
              <w:spacing w:before="240"/>
              <w:rPr>
                <w:rFonts w:ascii="Arial" w:hAnsi="Arial"/>
                <w:sz w:val="24"/>
              </w:rPr>
            </w:pPr>
            <w:r w:rsidRPr="000F40BA">
              <w:rPr>
                <w:rFonts w:ascii="Arial" w:hAnsi="Arial"/>
                <w:sz w:val="24"/>
              </w:rPr>
              <w:t>The following terms are new prohibitions on what can be used in a compound term describing an alcoholic beverage:</w:t>
            </w:r>
          </w:p>
          <w:p w14:paraId="3484A5B5" w14:textId="77777777" w:rsidR="004B7581" w:rsidRPr="000F40BA" w:rsidRDefault="004B7581" w:rsidP="000F40BA">
            <w:pPr>
              <w:numPr>
                <w:ilvl w:val="0"/>
                <w:numId w:val="10"/>
              </w:numPr>
              <w:spacing w:after="0" w:line="240" w:lineRule="auto"/>
              <w:rPr>
                <w:rFonts w:ascii="Arial" w:hAnsi="Arial"/>
                <w:sz w:val="24"/>
              </w:rPr>
            </w:pPr>
            <w:r w:rsidRPr="000F40BA">
              <w:rPr>
                <w:rFonts w:ascii="Arial" w:hAnsi="Arial"/>
                <w:sz w:val="24"/>
              </w:rPr>
              <w:t>‘alcohol’</w:t>
            </w:r>
          </w:p>
          <w:p w14:paraId="5FD5E951" w14:textId="77777777" w:rsidR="004B7581" w:rsidRPr="000F40BA" w:rsidRDefault="004B7581" w:rsidP="000F40BA">
            <w:pPr>
              <w:numPr>
                <w:ilvl w:val="0"/>
                <w:numId w:val="10"/>
              </w:numPr>
              <w:spacing w:after="0" w:line="240" w:lineRule="auto"/>
              <w:rPr>
                <w:rFonts w:ascii="Arial" w:hAnsi="Arial"/>
                <w:sz w:val="24"/>
              </w:rPr>
            </w:pPr>
            <w:r w:rsidRPr="000F40BA">
              <w:rPr>
                <w:rFonts w:ascii="Arial" w:hAnsi="Arial"/>
                <w:sz w:val="24"/>
              </w:rPr>
              <w:t>‘spirit’</w:t>
            </w:r>
          </w:p>
          <w:p w14:paraId="2C64BD17" w14:textId="77777777" w:rsidR="004B7581" w:rsidRPr="000F40BA" w:rsidRDefault="004B7581" w:rsidP="000F40BA">
            <w:pPr>
              <w:numPr>
                <w:ilvl w:val="0"/>
                <w:numId w:val="10"/>
              </w:numPr>
              <w:spacing w:after="0" w:line="240" w:lineRule="auto"/>
              <w:rPr>
                <w:rFonts w:ascii="Arial" w:hAnsi="Arial"/>
                <w:sz w:val="24"/>
              </w:rPr>
            </w:pPr>
            <w:r w:rsidRPr="000F40BA">
              <w:rPr>
                <w:rFonts w:ascii="Arial" w:hAnsi="Arial"/>
                <w:sz w:val="24"/>
              </w:rPr>
              <w:t>‘drink’</w:t>
            </w:r>
          </w:p>
          <w:p w14:paraId="2FB6EE14" w14:textId="77777777" w:rsidR="004B7581" w:rsidRPr="000F40BA" w:rsidRDefault="004B7581" w:rsidP="000F40BA">
            <w:pPr>
              <w:numPr>
                <w:ilvl w:val="0"/>
                <w:numId w:val="10"/>
              </w:numPr>
              <w:spacing w:after="0" w:line="240" w:lineRule="auto"/>
              <w:rPr>
                <w:rFonts w:ascii="Arial" w:hAnsi="Arial"/>
                <w:sz w:val="24"/>
              </w:rPr>
            </w:pPr>
            <w:r w:rsidRPr="000F40BA">
              <w:rPr>
                <w:rFonts w:ascii="Arial" w:hAnsi="Arial"/>
                <w:sz w:val="24"/>
              </w:rPr>
              <w:t>‘</w:t>
            </w:r>
            <w:proofErr w:type="gramStart"/>
            <w:r w:rsidRPr="000F40BA">
              <w:rPr>
                <w:rFonts w:ascii="Arial" w:hAnsi="Arial"/>
                <w:sz w:val="24"/>
              </w:rPr>
              <w:t>spirit</w:t>
            </w:r>
            <w:proofErr w:type="gramEnd"/>
            <w:r w:rsidRPr="000F40BA">
              <w:rPr>
                <w:rFonts w:ascii="Arial" w:hAnsi="Arial"/>
                <w:sz w:val="24"/>
              </w:rPr>
              <w:t xml:space="preserve"> drink’</w:t>
            </w:r>
          </w:p>
          <w:p w14:paraId="17D83D20" w14:textId="77777777" w:rsidR="004B7581" w:rsidRPr="000F40BA" w:rsidRDefault="004B7581" w:rsidP="00F82CA1">
            <w:pPr>
              <w:numPr>
                <w:ilvl w:val="0"/>
                <w:numId w:val="10"/>
              </w:numPr>
              <w:spacing w:line="240" w:lineRule="auto"/>
              <w:rPr>
                <w:rFonts w:ascii="Arial" w:hAnsi="Arial"/>
                <w:sz w:val="24"/>
              </w:rPr>
            </w:pPr>
            <w:r w:rsidRPr="000F40BA">
              <w:rPr>
                <w:rFonts w:ascii="Arial" w:hAnsi="Arial"/>
                <w:sz w:val="24"/>
              </w:rPr>
              <w:t>‘water’.</w:t>
            </w:r>
          </w:p>
        </w:tc>
        <w:tc>
          <w:tcPr>
            <w:tcW w:w="4678" w:type="dxa"/>
            <w:shd w:val="clear" w:color="auto" w:fill="auto"/>
          </w:tcPr>
          <w:p w14:paraId="5DADAF84" w14:textId="77777777" w:rsidR="004B7581" w:rsidRPr="000F40BA" w:rsidRDefault="004B7581" w:rsidP="000F40BA">
            <w:pPr>
              <w:keepNext/>
              <w:spacing w:before="240" w:after="60"/>
              <w:outlineLvl w:val="1"/>
              <w:rPr>
                <w:rFonts w:ascii="Arial" w:eastAsia="Times New Roman" w:hAnsi="Arial" w:cs="Arial"/>
                <w:bCs/>
                <w:iCs/>
                <w:sz w:val="24"/>
                <w:szCs w:val="24"/>
              </w:rPr>
            </w:pPr>
            <w:r w:rsidRPr="000F40BA">
              <w:rPr>
                <w:rFonts w:ascii="Arial" w:eastAsia="Times New Roman" w:hAnsi="Arial" w:cs="Arial"/>
                <w:bCs/>
                <w:iCs/>
                <w:sz w:val="24"/>
                <w:szCs w:val="24"/>
              </w:rPr>
              <w:t>New requirement</w:t>
            </w:r>
          </w:p>
        </w:tc>
      </w:tr>
      <w:tr w:rsidR="004B7581" w14:paraId="3A4F9F85" w14:textId="77777777" w:rsidTr="000E2DB6">
        <w:tc>
          <w:tcPr>
            <w:tcW w:w="1986" w:type="dxa"/>
            <w:shd w:val="clear" w:color="auto" w:fill="auto"/>
          </w:tcPr>
          <w:p w14:paraId="2AE9AE77" w14:textId="77777777" w:rsidR="004B7581" w:rsidRPr="000F40BA" w:rsidRDefault="004B7581" w:rsidP="000F40BA">
            <w:pPr>
              <w:tabs>
                <w:tab w:val="left" w:pos="0"/>
              </w:tabs>
              <w:spacing w:before="240" w:after="120"/>
              <w:rPr>
                <w:rFonts w:ascii="Arial" w:hAnsi="Arial"/>
                <w:bCs/>
                <w:iCs/>
                <w:color w:val="000000"/>
                <w:sz w:val="24"/>
                <w:szCs w:val="24"/>
              </w:rPr>
            </w:pPr>
            <w:r w:rsidRPr="000F40BA">
              <w:rPr>
                <w:rFonts w:ascii="Arial" w:hAnsi="Arial"/>
                <w:bCs/>
                <w:iCs/>
                <w:color w:val="000000"/>
                <w:sz w:val="24"/>
                <w:szCs w:val="24"/>
              </w:rPr>
              <w:t>Article 11(3)</w:t>
            </w:r>
          </w:p>
          <w:p w14:paraId="61D6D82E" w14:textId="77777777" w:rsidR="004B7581" w:rsidRPr="000F40BA" w:rsidRDefault="004B7581" w:rsidP="000F40BA">
            <w:pPr>
              <w:keepNext/>
              <w:spacing w:before="240" w:after="60"/>
              <w:outlineLvl w:val="1"/>
              <w:rPr>
                <w:rFonts w:ascii="Arial" w:eastAsia="Times New Roman" w:hAnsi="Arial" w:cs="Arial"/>
                <w:b/>
                <w:bCs/>
                <w:iCs/>
                <w:sz w:val="24"/>
                <w:szCs w:val="24"/>
              </w:rPr>
            </w:pPr>
          </w:p>
        </w:tc>
        <w:tc>
          <w:tcPr>
            <w:tcW w:w="2835" w:type="dxa"/>
            <w:shd w:val="clear" w:color="auto" w:fill="auto"/>
          </w:tcPr>
          <w:p w14:paraId="0A304B75" w14:textId="77777777" w:rsidR="004B7581" w:rsidRPr="000F40BA" w:rsidRDefault="004B7581" w:rsidP="000F40BA">
            <w:pPr>
              <w:keepNext/>
              <w:spacing w:before="240" w:after="60"/>
              <w:outlineLvl w:val="1"/>
              <w:rPr>
                <w:rFonts w:ascii="Arial" w:eastAsia="Times New Roman" w:hAnsi="Arial" w:cs="Arial"/>
                <w:b/>
                <w:bCs/>
                <w:iCs/>
                <w:sz w:val="24"/>
                <w:szCs w:val="24"/>
              </w:rPr>
            </w:pPr>
            <w:r w:rsidRPr="000F40BA">
              <w:rPr>
                <w:rFonts w:ascii="Arial" w:hAnsi="Arial"/>
                <w:bCs/>
                <w:iCs/>
                <w:color w:val="000000"/>
                <w:sz w:val="24"/>
                <w:szCs w:val="24"/>
              </w:rPr>
              <w:lastRenderedPageBreak/>
              <w:t xml:space="preserve">Labelling requirements </w:t>
            </w:r>
            <w:r w:rsidRPr="000F40BA">
              <w:rPr>
                <w:rFonts w:ascii="Arial" w:hAnsi="Arial"/>
                <w:bCs/>
                <w:iCs/>
                <w:color w:val="000000"/>
                <w:sz w:val="24"/>
                <w:szCs w:val="24"/>
              </w:rPr>
              <w:lastRenderedPageBreak/>
              <w:t>for compound terms</w:t>
            </w:r>
          </w:p>
        </w:tc>
        <w:tc>
          <w:tcPr>
            <w:tcW w:w="6094" w:type="dxa"/>
            <w:shd w:val="clear" w:color="auto" w:fill="auto"/>
          </w:tcPr>
          <w:p w14:paraId="79CB8CCF" w14:textId="77777777" w:rsidR="004B7581" w:rsidRPr="000F40BA" w:rsidRDefault="004B7581" w:rsidP="000F40BA">
            <w:pPr>
              <w:spacing w:before="240"/>
              <w:rPr>
                <w:rFonts w:ascii="Arial" w:hAnsi="Arial"/>
                <w:sz w:val="24"/>
              </w:rPr>
            </w:pPr>
            <w:r w:rsidRPr="000F40BA">
              <w:rPr>
                <w:rFonts w:ascii="Arial" w:hAnsi="Arial"/>
                <w:sz w:val="24"/>
              </w:rPr>
              <w:lastRenderedPageBreak/>
              <w:t xml:space="preserve">Adds new specifications for how a compound term </w:t>
            </w:r>
            <w:r w:rsidRPr="000F40BA">
              <w:rPr>
                <w:rFonts w:ascii="Arial" w:hAnsi="Arial"/>
                <w:sz w:val="24"/>
              </w:rPr>
              <w:lastRenderedPageBreak/>
              <w:t>must appear in the labelling or presentation of an alcoholic beverage. The compound term must:</w:t>
            </w:r>
          </w:p>
          <w:p w14:paraId="10E5E214" w14:textId="77777777" w:rsidR="004B7581" w:rsidRPr="000F40BA" w:rsidRDefault="004B7581" w:rsidP="000F40BA">
            <w:pPr>
              <w:numPr>
                <w:ilvl w:val="0"/>
                <w:numId w:val="11"/>
              </w:numPr>
              <w:spacing w:after="0" w:line="240" w:lineRule="auto"/>
              <w:ind w:left="412" w:hanging="284"/>
              <w:rPr>
                <w:rFonts w:ascii="Arial" w:hAnsi="Arial"/>
                <w:sz w:val="24"/>
              </w:rPr>
            </w:pPr>
            <w:r w:rsidRPr="000F40BA">
              <w:rPr>
                <w:rFonts w:ascii="Arial" w:hAnsi="Arial"/>
                <w:sz w:val="24"/>
              </w:rPr>
              <w:t xml:space="preserve">appear in uniform characters of the same font, size and </w:t>
            </w:r>
            <w:proofErr w:type="gramStart"/>
            <w:r w:rsidRPr="000F40BA">
              <w:rPr>
                <w:rFonts w:ascii="Arial" w:hAnsi="Arial"/>
                <w:sz w:val="24"/>
              </w:rPr>
              <w:t>colour;</w:t>
            </w:r>
            <w:proofErr w:type="gramEnd"/>
          </w:p>
          <w:p w14:paraId="5E1EDCED" w14:textId="77777777" w:rsidR="004B7581" w:rsidRPr="000F40BA" w:rsidRDefault="004B7581" w:rsidP="000F40BA">
            <w:pPr>
              <w:numPr>
                <w:ilvl w:val="0"/>
                <w:numId w:val="11"/>
              </w:numPr>
              <w:spacing w:after="0" w:line="240" w:lineRule="auto"/>
              <w:ind w:left="412" w:hanging="284"/>
              <w:rPr>
                <w:rFonts w:ascii="Arial" w:hAnsi="Arial"/>
                <w:sz w:val="24"/>
              </w:rPr>
            </w:pPr>
            <w:r w:rsidRPr="000F40BA">
              <w:rPr>
                <w:rFonts w:ascii="Arial" w:hAnsi="Arial"/>
                <w:sz w:val="24"/>
              </w:rPr>
              <w:t xml:space="preserve">not be interrupted by any textual or pictorial element which does not form part of </w:t>
            </w:r>
            <w:proofErr w:type="gramStart"/>
            <w:r w:rsidRPr="000F40BA">
              <w:rPr>
                <w:rFonts w:ascii="Arial" w:hAnsi="Arial"/>
                <w:sz w:val="24"/>
              </w:rPr>
              <w:t>them;</w:t>
            </w:r>
            <w:proofErr w:type="gramEnd"/>
          </w:p>
          <w:p w14:paraId="610E4AC2" w14:textId="77777777" w:rsidR="004B7581" w:rsidRDefault="004B7581" w:rsidP="00926758">
            <w:pPr>
              <w:numPr>
                <w:ilvl w:val="0"/>
                <w:numId w:val="11"/>
              </w:numPr>
              <w:spacing w:before="240" w:after="0" w:line="240" w:lineRule="auto"/>
              <w:ind w:left="412" w:hanging="284"/>
              <w:rPr>
                <w:rFonts w:ascii="Arial" w:hAnsi="Arial"/>
                <w:sz w:val="24"/>
              </w:rPr>
            </w:pPr>
            <w:r w:rsidRPr="000F40BA">
              <w:rPr>
                <w:rFonts w:ascii="Arial" w:hAnsi="Arial"/>
                <w:sz w:val="24"/>
              </w:rPr>
              <w:t>not appear in a font size which is larger than the font size used for the name of the alcoholic beverage.</w:t>
            </w:r>
          </w:p>
          <w:p w14:paraId="7C56EC6F" w14:textId="77777777" w:rsidR="004B7581" w:rsidRPr="000F40BA" w:rsidRDefault="004B7581" w:rsidP="00926758">
            <w:pPr>
              <w:numPr>
                <w:ilvl w:val="0"/>
                <w:numId w:val="11"/>
              </w:numPr>
              <w:spacing w:line="240" w:lineRule="auto"/>
              <w:ind w:left="412" w:hanging="284"/>
              <w:rPr>
                <w:rFonts w:ascii="Arial" w:hAnsi="Arial"/>
                <w:sz w:val="24"/>
              </w:rPr>
            </w:pPr>
            <w:r w:rsidRPr="00F82CA1">
              <w:rPr>
                <w:rFonts w:ascii="Arial" w:hAnsi="Arial"/>
                <w:sz w:val="24"/>
              </w:rPr>
              <w:t>in cases where the alcoholic beverage is a spirit drink, always be accompanied by the legal name of the spirit drink, which shall appear in the same visual field as the compound term, unless the legal name is replaced by a compound term</w:t>
            </w:r>
            <w:r>
              <w:rPr>
                <w:rFonts w:ascii="Arial" w:hAnsi="Arial"/>
                <w:sz w:val="24"/>
              </w:rPr>
              <w:t xml:space="preserve"> </w:t>
            </w:r>
            <w:r w:rsidRPr="00926758">
              <w:rPr>
                <w:rFonts w:ascii="Arial" w:hAnsi="Arial" w:hint="eastAsia"/>
                <w:sz w:val="24"/>
              </w:rPr>
              <w:t xml:space="preserve">that includes the term </w:t>
            </w:r>
            <w:r w:rsidRPr="00926758">
              <w:rPr>
                <w:rFonts w:ascii="Arial" w:hAnsi="Arial" w:hint="eastAsia"/>
                <w:sz w:val="24"/>
              </w:rPr>
              <w:t>‘</w:t>
            </w:r>
            <w:r w:rsidRPr="00926758">
              <w:rPr>
                <w:rFonts w:ascii="Arial" w:hAnsi="Arial" w:hint="eastAsia"/>
                <w:sz w:val="24"/>
              </w:rPr>
              <w:t>liqueur</w:t>
            </w:r>
            <w:r w:rsidRPr="00926758">
              <w:rPr>
                <w:rFonts w:ascii="Arial" w:hAnsi="Arial" w:hint="eastAsia"/>
                <w:sz w:val="24"/>
              </w:rPr>
              <w:t>’</w:t>
            </w:r>
            <w:r w:rsidRPr="00926758">
              <w:rPr>
                <w:rFonts w:ascii="Arial" w:hAnsi="Arial" w:hint="eastAsia"/>
                <w:sz w:val="24"/>
              </w:rPr>
              <w:t xml:space="preserve"> or </w:t>
            </w:r>
            <w:r w:rsidRPr="00926758">
              <w:rPr>
                <w:rFonts w:ascii="Arial" w:hAnsi="Arial" w:hint="eastAsia"/>
                <w:sz w:val="24"/>
              </w:rPr>
              <w:t>‘</w:t>
            </w:r>
            <w:r w:rsidRPr="00926758">
              <w:rPr>
                <w:rFonts w:ascii="Arial" w:hAnsi="Arial" w:hint="eastAsia"/>
                <w:sz w:val="24"/>
              </w:rPr>
              <w:t>cream</w:t>
            </w:r>
            <w:r w:rsidRPr="00926758">
              <w:rPr>
                <w:rFonts w:ascii="Arial" w:hAnsi="Arial" w:hint="eastAsia"/>
                <w:sz w:val="24"/>
              </w:rPr>
              <w:t>’</w:t>
            </w:r>
            <w:r w:rsidRPr="00926758">
              <w:rPr>
                <w:rFonts w:ascii="Arial" w:hAnsi="Arial" w:hint="eastAsia"/>
                <w:sz w:val="24"/>
              </w:rPr>
              <w:t>, provided that the final product complies with the requirements of category 33 of Annex I</w:t>
            </w:r>
            <w:r w:rsidRPr="00F82CA1">
              <w:rPr>
                <w:rFonts w:ascii="Arial" w:hAnsi="Arial"/>
                <w:sz w:val="24"/>
              </w:rPr>
              <w:t xml:space="preserve"> </w:t>
            </w:r>
          </w:p>
        </w:tc>
        <w:tc>
          <w:tcPr>
            <w:tcW w:w="4678" w:type="dxa"/>
            <w:shd w:val="clear" w:color="auto" w:fill="auto"/>
          </w:tcPr>
          <w:p w14:paraId="2DB9571C" w14:textId="77777777" w:rsidR="004B7581" w:rsidRPr="000F40BA" w:rsidRDefault="004B7581" w:rsidP="000F40BA">
            <w:pPr>
              <w:keepNext/>
              <w:spacing w:before="240" w:after="60"/>
              <w:outlineLvl w:val="1"/>
              <w:rPr>
                <w:rFonts w:ascii="Arial" w:eastAsia="Times New Roman" w:hAnsi="Arial" w:cs="Arial"/>
                <w:b/>
                <w:bCs/>
                <w:iCs/>
                <w:sz w:val="24"/>
                <w:szCs w:val="24"/>
              </w:rPr>
            </w:pPr>
            <w:r w:rsidRPr="000F40BA">
              <w:rPr>
                <w:rFonts w:ascii="Arial" w:eastAsia="Times New Roman" w:hAnsi="Arial" w:cs="Arial"/>
                <w:bCs/>
                <w:iCs/>
                <w:sz w:val="24"/>
                <w:szCs w:val="24"/>
              </w:rPr>
              <w:lastRenderedPageBreak/>
              <w:t>New requirement</w:t>
            </w:r>
          </w:p>
        </w:tc>
      </w:tr>
      <w:tr w:rsidR="004B7581" w14:paraId="0AB1C99A" w14:textId="77777777" w:rsidTr="000E2DB6">
        <w:tc>
          <w:tcPr>
            <w:tcW w:w="1986" w:type="dxa"/>
            <w:shd w:val="clear" w:color="auto" w:fill="auto"/>
          </w:tcPr>
          <w:p w14:paraId="1BA77CB2" w14:textId="77777777" w:rsidR="004B7581" w:rsidRPr="000F40BA" w:rsidRDefault="004B7581" w:rsidP="000F40BA">
            <w:pPr>
              <w:spacing w:before="240" w:after="120"/>
              <w:ind w:left="510" w:hanging="510"/>
              <w:rPr>
                <w:rFonts w:ascii="Arial" w:hAnsi="Arial"/>
                <w:bCs/>
                <w:iCs/>
                <w:color w:val="000000"/>
                <w:sz w:val="24"/>
                <w:szCs w:val="24"/>
              </w:rPr>
            </w:pPr>
            <w:r w:rsidRPr="000F40BA">
              <w:rPr>
                <w:rFonts w:ascii="Arial" w:hAnsi="Arial"/>
                <w:bCs/>
                <w:iCs/>
                <w:color w:val="000000"/>
                <w:sz w:val="24"/>
                <w:szCs w:val="24"/>
              </w:rPr>
              <w:t>Article 12(4)(a)</w:t>
            </w:r>
            <w:r>
              <w:rPr>
                <w:rFonts w:ascii="Arial" w:hAnsi="Arial"/>
                <w:bCs/>
                <w:iCs/>
                <w:color w:val="000000"/>
                <w:sz w:val="24"/>
                <w:szCs w:val="24"/>
              </w:rPr>
              <w:t>,</w:t>
            </w:r>
            <w:r w:rsidRPr="000F40BA">
              <w:rPr>
                <w:rFonts w:ascii="Arial" w:hAnsi="Arial"/>
                <w:bCs/>
                <w:iCs/>
                <w:color w:val="000000"/>
                <w:sz w:val="24"/>
                <w:szCs w:val="24"/>
              </w:rPr>
              <w:t xml:space="preserve"> (b)</w:t>
            </w:r>
            <w:r>
              <w:rPr>
                <w:rFonts w:ascii="Arial" w:hAnsi="Arial"/>
                <w:bCs/>
                <w:iCs/>
                <w:color w:val="000000"/>
                <w:sz w:val="24"/>
                <w:szCs w:val="24"/>
              </w:rPr>
              <w:t xml:space="preserve"> &amp; (c)</w:t>
            </w:r>
          </w:p>
          <w:p w14:paraId="0367882B" w14:textId="77777777" w:rsidR="004B7581" w:rsidRPr="000F40BA" w:rsidRDefault="004B7581" w:rsidP="000F40BA">
            <w:pPr>
              <w:tabs>
                <w:tab w:val="left" w:pos="0"/>
              </w:tabs>
              <w:spacing w:before="240" w:after="120"/>
              <w:rPr>
                <w:rFonts w:ascii="Arial" w:hAnsi="Arial"/>
                <w:bCs/>
                <w:iCs/>
                <w:color w:val="000000"/>
                <w:sz w:val="24"/>
                <w:szCs w:val="24"/>
              </w:rPr>
            </w:pPr>
          </w:p>
        </w:tc>
        <w:tc>
          <w:tcPr>
            <w:tcW w:w="2835" w:type="dxa"/>
            <w:shd w:val="clear" w:color="auto" w:fill="auto"/>
          </w:tcPr>
          <w:p w14:paraId="35DF8262" w14:textId="77777777" w:rsidR="004B7581" w:rsidRPr="000F40BA" w:rsidRDefault="004B7581" w:rsidP="000F40BA">
            <w:pPr>
              <w:keepNext/>
              <w:spacing w:before="240" w:after="60"/>
              <w:outlineLvl w:val="1"/>
              <w:rPr>
                <w:rFonts w:ascii="Arial" w:hAnsi="Arial"/>
                <w:bCs/>
                <w:iCs/>
                <w:color w:val="000000"/>
                <w:sz w:val="24"/>
                <w:szCs w:val="24"/>
              </w:rPr>
            </w:pPr>
            <w:r w:rsidRPr="000F40BA">
              <w:rPr>
                <w:rFonts w:ascii="Arial" w:hAnsi="Arial"/>
                <w:bCs/>
                <w:iCs/>
                <w:color w:val="000000"/>
                <w:sz w:val="24"/>
                <w:szCs w:val="24"/>
              </w:rPr>
              <w:t>Labelling requirements for using an allusion to a sprit drink</w:t>
            </w:r>
          </w:p>
        </w:tc>
        <w:tc>
          <w:tcPr>
            <w:tcW w:w="6094" w:type="dxa"/>
            <w:shd w:val="clear" w:color="auto" w:fill="auto"/>
          </w:tcPr>
          <w:p w14:paraId="5A99BC3F" w14:textId="77777777" w:rsidR="004B7581" w:rsidRPr="000F40BA" w:rsidRDefault="004B7581" w:rsidP="000F40BA">
            <w:pPr>
              <w:spacing w:before="240"/>
              <w:rPr>
                <w:rFonts w:ascii="Arial" w:hAnsi="Arial"/>
                <w:sz w:val="24"/>
              </w:rPr>
            </w:pPr>
            <w:r w:rsidRPr="000F40BA">
              <w:rPr>
                <w:rFonts w:ascii="Arial" w:hAnsi="Arial"/>
                <w:sz w:val="24"/>
              </w:rPr>
              <w:t>There are new labelling requirements for the use of allusions to spirit drinks in the description of alcoholic beverages, stating that the allusions must:</w:t>
            </w:r>
          </w:p>
          <w:p w14:paraId="56D7A423" w14:textId="77777777" w:rsidR="004B7581" w:rsidRPr="000F40BA" w:rsidRDefault="004B7581" w:rsidP="000F40BA">
            <w:pPr>
              <w:numPr>
                <w:ilvl w:val="0"/>
                <w:numId w:val="13"/>
              </w:numPr>
              <w:spacing w:after="0" w:line="240" w:lineRule="auto"/>
              <w:ind w:left="270" w:hanging="284"/>
              <w:rPr>
                <w:rFonts w:ascii="Arial" w:hAnsi="Arial"/>
                <w:sz w:val="24"/>
              </w:rPr>
            </w:pPr>
            <w:r w:rsidRPr="000F40BA">
              <w:rPr>
                <w:rFonts w:ascii="Arial" w:hAnsi="Arial"/>
                <w:sz w:val="24"/>
              </w:rPr>
              <w:t xml:space="preserve">not be on the same line as the name of the alcoholic </w:t>
            </w:r>
            <w:proofErr w:type="gramStart"/>
            <w:r w:rsidRPr="000F40BA">
              <w:rPr>
                <w:rFonts w:ascii="Arial" w:hAnsi="Arial"/>
                <w:sz w:val="24"/>
              </w:rPr>
              <w:t>beverage;</w:t>
            </w:r>
            <w:proofErr w:type="gramEnd"/>
          </w:p>
          <w:p w14:paraId="29C0B818" w14:textId="77777777" w:rsidR="004B7581" w:rsidRDefault="004B7581" w:rsidP="000F40BA">
            <w:pPr>
              <w:numPr>
                <w:ilvl w:val="0"/>
                <w:numId w:val="13"/>
              </w:numPr>
              <w:spacing w:after="0" w:line="240" w:lineRule="auto"/>
              <w:ind w:left="270" w:hanging="270"/>
              <w:rPr>
                <w:rFonts w:ascii="Arial" w:hAnsi="Arial"/>
                <w:sz w:val="24"/>
              </w:rPr>
            </w:pPr>
            <w:r w:rsidRPr="000F40BA">
              <w:rPr>
                <w:rFonts w:ascii="Arial" w:hAnsi="Arial"/>
                <w:sz w:val="24"/>
              </w:rPr>
              <w:t xml:space="preserve">appear in a font size which is no larger than half the font size used for the name of the alcoholic beverage and, where compound terms are used, in </w:t>
            </w:r>
            <w:r w:rsidRPr="000F40BA">
              <w:rPr>
                <w:rFonts w:ascii="Arial" w:hAnsi="Arial"/>
                <w:sz w:val="24"/>
              </w:rPr>
              <w:lastRenderedPageBreak/>
              <w:t>a font size which is no larger than half the font size used for such compound terms.</w:t>
            </w:r>
          </w:p>
          <w:p w14:paraId="61634157" w14:textId="77777777" w:rsidR="004B7581" w:rsidRPr="000F40BA" w:rsidRDefault="004B7581" w:rsidP="000F40BA">
            <w:pPr>
              <w:numPr>
                <w:ilvl w:val="0"/>
                <w:numId w:val="13"/>
              </w:numPr>
              <w:spacing w:after="0" w:line="240" w:lineRule="auto"/>
              <w:ind w:left="270" w:hanging="270"/>
              <w:rPr>
                <w:rFonts w:ascii="Arial" w:hAnsi="Arial"/>
                <w:sz w:val="24"/>
              </w:rPr>
            </w:pPr>
            <w:r>
              <w:rPr>
                <w:rFonts w:ascii="Arial" w:hAnsi="Arial"/>
                <w:sz w:val="24"/>
              </w:rPr>
              <w:t>appear in the same visual field as the legal name of the spirit drink</w:t>
            </w:r>
          </w:p>
        </w:tc>
        <w:tc>
          <w:tcPr>
            <w:tcW w:w="4678" w:type="dxa"/>
            <w:shd w:val="clear" w:color="auto" w:fill="auto"/>
          </w:tcPr>
          <w:p w14:paraId="37CE9187" w14:textId="77777777" w:rsidR="004B7581" w:rsidRPr="000F40BA" w:rsidRDefault="004B7581" w:rsidP="000F40BA">
            <w:pPr>
              <w:keepNext/>
              <w:spacing w:before="240" w:after="60"/>
              <w:outlineLvl w:val="1"/>
              <w:rPr>
                <w:rFonts w:ascii="Arial" w:eastAsia="Times New Roman" w:hAnsi="Arial" w:cs="Arial"/>
                <w:bCs/>
                <w:iCs/>
                <w:sz w:val="24"/>
                <w:szCs w:val="24"/>
              </w:rPr>
            </w:pPr>
            <w:r w:rsidRPr="000F40BA">
              <w:rPr>
                <w:rFonts w:ascii="Arial" w:hAnsi="Arial"/>
                <w:sz w:val="24"/>
              </w:rPr>
              <w:lastRenderedPageBreak/>
              <w:t>New requirement.</w:t>
            </w:r>
          </w:p>
        </w:tc>
      </w:tr>
      <w:tr w:rsidR="004B7581" w14:paraId="6BA86606" w14:textId="77777777" w:rsidTr="000E2DB6">
        <w:tc>
          <w:tcPr>
            <w:tcW w:w="1986" w:type="dxa"/>
            <w:shd w:val="clear" w:color="auto" w:fill="auto"/>
          </w:tcPr>
          <w:p w14:paraId="618FDF73" w14:textId="77777777" w:rsidR="004B7581" w:rsidRPr="000F40BA" w:rsidRDefault="004B7581" w:rsidP="000F40BA">
            <w:pPr>
              <w:keepNext/>
              <w:spacing w:before="240" w:after="60"/>
              <w:outlineLvl w:val="1"/>
              <w:rPr>
                <w:rFonts w:ascii="Arial" w:eastAsia="Times New Roman" w:hAnsi="Arial" w:cs="Arial"/>
                <w:b/>
                <w:bCs/>
                <w:iCs/>
                <w:sz w:val="24"/>
                <w:szCs w:val="24"/>
              </w:rPr>
            </w:pPr>
            <w:r w:rsidRPr="000F40BA">
              <w:rPr>
                <w:rFonts w:ascii="Arial" w:hAnsi="Arial"/>
                <w:bCs/>
                <w:iCs/>
                <w:color w:val="000000"/>
                <w:sz w:val="24"/>
                <w:szCs w:val="24"/>
              </w:rPr>
              <w:t>Article 13(3)</w:t>
            </w:r>
          </w:p>
        </w:tc>
        <w:tc>
          <w:tcPr>
            <w:tcW w:w="2835" w:type="dxa"/>
            <w:shd w:val="clear" w:color="auto" w:fill="auto"/>
          </w:tcPr>
          <w:p w14:paraId="677C3C0E" w14:textId="77777777" w:rsidR="004B7581" w:rsidRPr="000F40BA" w:rsidRDefault="004B7581" w:rsidP="000F40BA">
            <w:pPr>
              <w:tabs>
                <w:tab w:val="num" w:pos="720"/>
              </w:tabs>
              <w:spacing w:before="240" w:after="120"/>
              <w:rPr>
                <w:rFonts w:ascii="Arial" w:hAnsi="Arial"/>
                <w:bCs/>
                <w:iCs/>
                <w:color w:val="000000"/>
                <w:sz w:val="24"/>
                <w:szCs w:val="24"/>
              </w:rPr>
            </w:pPr>
            <w:r w:rsidRPr="000F40BA">
              <w:rPr>
                <w:rFonts w:ascii="Arial" w:hAnsi="Arial"/>
                <w:bCs/>
                <w:iCs/>
                <w:color w:val="000000"/>
                <w:sz w:val="24"/>
                <w:szCs w:val="24"/>
              </w:rPr>
              <w:t xml:space="preserve">Mixtures </w:t>
            </w:r>
          </w:p>
          <w:p w14:paraId="2418D9E7" w14:textId="77777777" w:rsidR="004B7581" w:rsidRPr="000F40BA" w:rsidRDefault="004B7581" w:rsidP="000F40BA">
            <w:pPr>
              <w:keepNext/>
              <w:spacing w:before="240" w:after="60"/>
              <w:outlineLvl w:val="1"/>
              <w:rPr>
                <w:rFonts w:ascii="Arial" w:eastAsia="Times New Roman" w:hAnsi="Arial" w:cs="Arial"/>
                <w:b/>
                <w:bCs/>
                <w:iCs/>
                <w:sz w:val="24"/>
                <w:szCs w:val="24"/>
              </w:rPr>
            </w:pPr>
          </w:p>
        </w:tc>
        <w:tc>
          <w:tcPr>
            <w:tcW w:w="6094" w:type="dxa"/>
            <w:shd w:val="clear" w:color="auto" w:fill="auto"/>
          </w:tcPr>
          <w:p w14:paraId="686C2D36" w14:textId="77777777" w:rsidR="004B7581" w:rsidRPr="000F40BA" w:rsidRDefault="004B7581" w:rsidP="00FA2CA8">
            <w:pPr>
              <w:spacing w:before="240"/>
              <w:rPr>
                <w:rFonts w:ascii="Arial" w:hAnsi="Arial"/>
                <w:bCs/>
                <w:iCs/>
                <w:color w:val="000000"/>
                <w:sz w:val="24"/>
                <w:szCs w:val="24"/>
              </w:rPr>
            </w:pPr>
            <w:r w:rsidRPr="000F40BA">
              <w:rPr>
                <w:rFonts w:ascii="Arial" w:hAnsi="Arial"/>
                <w:sz w:val="24"/>
              </w:rPr>
              <w:t xml:space="preserve">EU 2019/787 adds the terms ‘mixture’ and ‘mixed’ (to “mixed spirit drink”) with regards to </w:t>
            </w:r>
            <w:r w:rsidRPr="000F40BA">
              <w:rPr>
                <w:rFonts w:ascii="Arial" w:hAnsi="Arial"/>
                <w:bCs/>
                <w:iCs/>
                <w:color w:val="000000"/>
                <w:sz w:val="24"/>
                <w:szCs w:val="24"/>
              </w:rPr>
              <w:t xml:space="preserve">labelling requirements. </w:t>
            </w:r>
          </w:p>
          <w:p w14:paraId="190F5699" w14:textId="77777777" w:rsidR="004B7581" w:rsidRPr="000F40BA" w:rsidRDefault="004B7581" w:rsidP="000F40BA">
            <w:pPr>
              <w:rPr>
                <w:rFonts w:ascii="Arial" w:hAnsi="Arial"/>
                <w:sz w:val="24"/>
              </w:rPr>
            </w:pPr>
            <w:r w:rsidRPr="000F40BA">
              <w:rPr>
                <w:rFonts w:ascii="Arial" w:hAnsi="Arial"/>
                <w:bCs/>
                <w:iCs/>
                <w:color w:val="000000"/>
                <w:sz w:val="24"/>
                <w:szCs w:val="24"/>
              </w:rPr>
              <w:t>The requirements for font style size and colour have been extended to include the list of alcoholic ingredients as well as the accompanying term in all spirit drinks. The font should be of uniform characters in the same colour and style, and of a size no larger than half that used for the legal name of the spirit drink.</w:t>
            </w:r>
          </w:p>
        </w:tc>
        <w:tc>
          <w:tcPr>
            <w:tcW w:w="4678" w:type="dxa"/>
            <w:shd w:val="clear" w:color="auto" w:fill="auto"/>
          </w:tcPr>
          <w:p w14:paraId="7C79E739" w14:textId="77777777" w:rsidR="004B7581" w:rsidRPr="000F40BA" w:rsidRDefault="004B7581" w:rsidP="000F40BA">
            <w:pPr>
              <w:keepNext/>
              <w:spacing w:before="240" w:after="60"/>
              <w:outlineLvl w:val="1"/>
              <w:rPr>
                <w:rFonts w:ascii="Arial" w:eastAsia="Times New Roman" w:hAnsi="Arial" w:cs="Arial"/>
                <w:b/>
                <w:bCs/>
                <w:iCs/>
                <w:sz w:val="24"/>
                <w:szCs w:val="24"/>
              </w:rPr>
            </w:pPr>
            <w:r w:rsidRPr="000F40BA">
              <w:rPr>
                <w:rFonts w:ascii="Arial" w:hAnsi="Arial"/>
                <w:sz w:val="24"/>
              </w:rPr>
              <w:t>Article 11 of EC 110/2018 on labelling mixtures refers to term “mixed spirit drink” and only specified font requirements for that term.</w:t>
            </w:r>
          </w:p>
        </w:tc>
      </w:tr>
      <w:tr w:rsidR="004B7581" w14:paraId="49A18B5D" w14:textId="77777777" w:rsidTr="000E2DB6">
        <w:tc>
          <w:tcPr>
            <w:tcW w:w="1986" w:type="dxa"/>
            <w:shd w:val="clear" w:color="auto" w:fill="auto"/>
          </w:tcPr>
          <w:p w14:paraId="365ED8CF" w14:textId="77777777" w:rsidR="004B7581" w:rsidRPr="000F40BA" w:rsidRDefault="004B7581" w:rsidP="000F40BA">
            <w:pPr>
              <w:tabs>
                <w:tab w:val="num" w:pos="0"/>
              </w:tabs>
              <w:spacing w:before="240" w:after="120"/>
              <w:rPr>
                <w:rFonts w:ascii="Arial" w:hAnsi="Arial"/>
                <w:bCs/>
                <w:iCs/>
                <w:color w:val="000000"/>
                <w:sz w:val="24"/>
                <w:szCs w:val="24"/>
              </w:rPr>
            </w:pPr>
            <w:r w:rsidRPr="000F40BA">
              <w:rPr>
                <w:rFonts w:ascii="Arial" w:hAnsi="Arial"/>
                <w:bCs/>
                <w:iCs/>
                <w:color w:val="000000"/>
                <w:sz w:val="24"/>
                <w:szCs w:val="24"/>
              </w:rPr>
              <w:t>Article 13(3</w:t>
            </w:r>
            <w:r>
              <w:rPr>
                <w:rFonts w:ascii="Arial" w:hAnsi="Arial"/>
                <w:bCs/>
                <w:iCs/>
                <w:color w:val="000000"/>
                <w:sz w:val="24"/>
                <w:szCs w:val="24"/>
              </w:rPr>
              <w:t>a</w:t>
            </w:r>
            <w:r w:rsidRPr="000F40BA">
              <w:rPr>
                <w:rFonts w:ascii="Arial" w:hAnsi="Arial"/>
                <w:bCs/>
                <w:iCs/>
                <w:color w:val="000000"/>
                <w:sz w:val="24"/>
                <w:szCs w:val="24"/>
              </w:rPr>
              <w:t>)</w:t>
            </w:r>
          </w:p>
          <w:p w14:paraId="6FB054F0" w14:textId="77777777" w:rsidR="004B7581" w:rsidRPr="000F40BA" w:rsidRDefault="004B7581" w:rsidP="000F40BA">
            <w:pPr>
              <w:spacing w:before="240" w:after="120"/>
              <w:ind w:left="510" w:hanging="510"/>
              <w:rPr>
                <w:rFonts w:ascii="Arial" w:hAnsi="Arial"/>
                <w:bCs/>
                <w:iCs/>
                <w:color w:val="000000"/>
                <w:sz w:val="24"/>
                <w:szCs w:val="24"/>
              </w:rPr>
            </w:pPr>
          </w:p>
        </w:tc>
        <w:tc>
          <w:tcPr>
            <w:tcW w:w="2835" w:type="dxa"/>
            <w:shd w:val="clear" w:color="auto" w:fill="auto"/>
          </w:tcPr>
          <w:p w14:paraId="5AB76FED" w14:textId="77777777" w:rsidR="004B7581" w:rsidRPr="000F40BA" w:rsidRDefault="004B7581" w:rsidP="000F40BA">
            <w:pPr>
              <w:keepNext/>
              <w:spacing w:before="240" w:after="60"/>
              <w:outlineLvl w:val="1"/>
              <w:rPr>
                <w:rFonts w:ascii="Arial" w:hAnsi="Arial"/>
                <w:bCs/>
                <w:iCs/>
                <w:color w:val="000000"/>
                <w:sz w:val="24"/>
                <w:szCs w:val="24"/>
              </w:rPr>
            </w:pPr>
            <w:r w:rsidRPr="000F40BA">
              <w:rPr>
                <w:rFonts w:ascii="Arial" w:hAnsi="Arial"/>
                <w:bCs/>
                <w:iCs/>
                <w:color w:val="000000"/>
                <w:sz w:val="24"/>
                <w:szCs w:val="24"/>
              </w:rPr>
              <w:t>Labelling requirements for blends</w:t>
            </w:r>
          </w:p>
        </w:tc>
        <w:tc>
          <w:tcPr>
            <w:tcW w:w="6094" w:type="dxa"/>
            <w:shd w:val="clear" w:color="auto" w:fill="auto"/>
          </w:tcPr>
          <w:p w14:paraId="4A4DB0F0" w14:textId="77777777" w:rsidR="004B7581" w:rsidRPr="000F40BA" w:rsidRDefault="004B7581" w:rsidP="000F40BA">
            <w:pPr>
              <w:spacing w:before="240"/>
              <w:rPr>
                <w:rFonts w:ascii="Arial" w:hAnsi="Arial"/>
                <w:sz w:val="24"/>
              </w:rPr>
            </w:pPr>
            <w:r w:rsidRPr="000F40BA">
              <w:rPr>
                <w:rFonts w:ascii="Arial" w:hAnsi="Arial"/>
                <w:sz w:val="24"/>
              </w:rPr>
              <w:t xml:space="preserve">New requirements for the presentation and labelling of </w:t>
            </w:r>
            <w:r w:rsidRPr="008031F2">
              <w:rPr>
                <w:rFonts w:ascii="Arial" w:hAnsi="Arial"/>
                <w:sz w:val="24"/>
              </w:rPr>
              <w:t xml:space="preserve">blends of spirit drinks of different GIs, or </w:t>
            </w:r>
            <w:r w:rsidRPr="000F40BA">
              <w:rPr>
                <w:rFonts w:ascii="Arial" w:hAnsi="Arial"/>
                <w:sz w:val="24"/>
              </w:rPr>
              <w:t xml:space="preserve">blends of non-GI spirit drinks with a GI. </w:t>
            </w:r>
          </w:p>
          <w:p w14:paraId="2189B8DD" w14:textId="77777777" w:rsidR="004B7581" w:rsidRPr="000F40BA" w:rsidRDefault="004B7581" w:rsidP="000F40BA">
            <w:pPr>
              <w:numPr>
                <w:ilvl w:val="0"/>
                <w:numId w:val="14"/>
              </w:numPr>
              <w:spacing w:after="0" w:line="240" w:lineRule="auto"/>
              <w:ind w:left="412" w:hanging="412"/>
              <w:rPr>
                <w:rFonts w:ascii="Arial" w:hAnsi="Arial"/>
                <w:sz w:val="24"/>
              </w:rPr>
            </w:pPr>
            <w:r w:rsidRPr="000F40BA">
              <w:rPr>
                <w:rFonts w:ascii="Arial" w:hAnsi="Arial"/>
                <w:sz w:val="24"/>
              </w:rPr>
              <w:t>the legal names provided for in the categories set out in Annex I or GIs may be indicated only in a list of the alcoholic ingredients appearing in the same visual field as the legal name of the spirit drink.</w:t>
            </w:r>
          </w:p>
          <w:p w14:paraId="3B85A950" w14:textId="77777777" w:rsidR="004B7581" w:rsidRPr="000F40BA" w:rsidRDefault="004B7581" w:rsidP="000F40BA">
            <w:pPr>
              <w:numPr>
                <w:ilvl w:val="0"/>
                <w:numId w:val="14"/>
              </w:numPr>
              <w:spacing w:after="0" w:line="240" w:lineRule="auto"/>
              <w:ind w:left="412" w:hanging="412"/>
              <w:rPr>
                <w:rFonts w:ascii="Arial" w:hAnsi="Arial"/>
                <w:sz w:val="24"/>
              </w:rPr>
            </w:pPr>
            <w:r w:rsidRPr="000F40BA">
              <w:rPr>
                <w:rFonts w:ascii="Arial" w:hAnsi="Arial"/>
                <w:sz w:val="24"/>
              </w:rPr>
              <w:t>the list of alcoholic ingredients shall be accompanied by the term ‘blend’, ’blending’ or ‘blended’.</w:t>
            </w:r>
          </w:p>
          <w:p w14:paraId="11BD304A" w14:textId="77777777" w:rsidR="004B7581" w:rsidRPr="000F40BA" w:rsidRDefault="004B7581" w:rsidP="000F40BA">
            <w:pPr>
              <w:numPr>
                <w:ilvl w:val="0"/>
                <w:numId w:val="14"/>
              </w:numPr>
              <w:spacing w:after="0" w:line="240" w:lineRule="auto"/>
              <w:ind w:left="412" w:hanging="412"/>
              <w:rPr>
                <w:rFonts w:ascii="Arial" w:hAnsi="Arial"/>
                <w:sz w:val="24"/>
              </w:rPr>
            </w:pPr>
            <w:r w:rsidRPr="000F40BA">
              <w:rPr>
                <w:rFonts w:ascii="Arial" w:hAnsi="Arial"/>
                <w:sz w:val="24"/>
              </w:rPr>
              <w:t xml:space="preserve">the list of alcoholic ingredients and the accompanying term shall appear in the same visual </w:t>
            </w:r>
            <w:r w:rsidRPr="000F40BA">
              <w:rPr>
                <w:rFonts w:ascii="Arial" w:hAnsi="Arial"/>
                <w:sz w:val="24"/>
              </w:rPr>
              <w:lastRenderedPageBreak/>
              <w:t>field as the legal name of the spirit drink, in uniform characters of the same font and colour and in a font size which is no larger than half the font size used for the legal name.</w:t>
            </w:r>
          </w:p>
          <w:p w14:paraId="21F252A3" w14:textId="77777777" w:rsidR="004B7581" w:rsidRPr="000F40BA" w:rsidRDefault="004B7581" w:rsidP="000F40BA">
            <w:pPr>
              <w:numPr>
                <w:ilvl w:val="0"/>
                <w:numId w:val="14"/>
              </w:numPr>
              <w:spacing w:after="0" w:line="240" w:lineRule="auto"/>
              <w:ind w:left="412" w:hanging="412"/>
              <w:rPr>
                <w:rFonts w:ascii="Arial" w:hAnsi="Arial"/>
                <w:sz w:val="24"/>
              </w:rPr>
            </w:pPr>
            <w:r w:rsidRPr="000F40BA">
              <w:rPr>
                <w:rFonts w:ascii="Arial" w:hAnsi="Arial"/>
                <w:sz w:val="24"/>
              </w:rPr>
              <w:t>the proportion of each alcoholic ingredient in the list of alcoholic ingredients shall be expressed at least once as a percentage, in descending order of quantities used.</w:t>
            </w:r>
          </w:p>
          <w:p w14:paraId="68590331" w14:textId="77777777" w:rsidR="004B7581" w:rsidRPr="000F40BA" w:rsidRDefault="004B7581" w:rsidP="00926758">
            <w:pPr>
              <w:numPr>
                <w:ilvl w:val="0"/>
                <w:numId w:val="14"/>
              </w:numPr>
              <w:spacing w:line="240" w:lineRule="auto"/>
              <w:ind w:left="412" w:hanging="412"/>
              <w:rPr>
                <w:rFonts w:ascii="Arial" w:hAnsi="Arial"/>
                <w:sz w:val="24"/>
              </w:rPr>
            </w:pPr>
            <w:r w:rsidRPr="000F40BA">
              <w:rPr>
                <w:rFonts w:ascii="Arial" w:hAnsi="Arial"/>
                <w:sz w:val="24"/>
              </w:rPr>
              <w:t>the proportion shall be equal to the percentage by volume of pure alcohol it represents in the total pure alcohol content by volume of the mixture.</w:t>
            </w:r>
          </w:p>
        </w:tc>
        <w:tc>
          <w:tcPr>
            <w:tcW w:w="4678" w:type="dxa"/>
            <w:shd w:val="clear" w:color="auto" w:fill="auto"/>
          </w:tcPr>
          <w:p w14:paraId="39DC4FAF" w14:textId="77777777" w:rsidR="004B7581" w:rsidRPr="000F40BA" w:rsidRDefault="004B7581" w:rsidP="000F40BA">
            <w:pPr>
              <w:keepNext/>
              <w:spacing w:before="240" w:after="60"/>
              <w:outlineLvl w:val="1"/>
              <w:rPr>
                <w:rFonts w:ascii="Arial" w:hAnsi="Arial"/>
                <w:sz w:val="24"/>
              </w:rPr>
            </w:pPr>
            <w:r w:rsidRPr="000F40BA">
              <w:rPr>
                <w:rFonts w:ascii="Arial" w:hAnsi="Arial"/>
                <w:sz w:val="24"/>
              </w:rPr>
              <w:lastRenderedPageBreak/>
              <w:t>New requirement.</w:t>
            </w:r>
          </w:p>
          <w:p w14:paraId="53E9C118" w14:textId="77777777" w:rsidR="004B7581" w:rsidRPr="000F40BA" w:rsidRDefault="004B7581" w:rsidP="000F40BA">
            <w:pPr>
              <w:keepNext/>
              <w:spacing w:before="240" w:after="60"/>
              <w:outlineLvl w:val="1"/>
              <w:rPr>
                <w:rFonts w:ascii="Arial" w:eastAsia="Times New Roman" w:hAnsi="Arial" w:cs="Arial"/>
                <w:bCs/>
                <w:iCs/>
                <w:sz w:val="24"/>
                <w:szCs w:val="24"/>
              </w:rPr>
            </w:pPr>
          </w:p>
        </w:tc>
      </w:tr>
      <w:tr w:rsidR="004B7581" w14:paraId="5B1A36E2" w14:textId="77777777" w:rsidTr="000E2DB6">
        <w:tc>
          <w:tcPr>
            <w:tcW w:w="1986" w:type="dxa"/>
            <w:shd w:val="clear" w:color="auto" w:fill="auto"/>
          </w:tcPr>
          <w:p w14:paraId="556C39DD" w14:textId="77777777" w:rsidR="004B7581" w:rsidRPr="000F40BA" w:rsidRDefault="004B7581" w:rsidP="000F40BA">
            <w:pPr>
              <w:keepNext/>
              <w:spacing w:before="240" w:after="60"/>
              <w:outlineLvl w:val="1"/>
              <w:rPr>
                <w:rFonts w:ascii="Arial" w:eastAsia="Times New Roman" w:hAnsi="Arial" w:cs="Arial"/>
                <w:b/>
                <w:bCs/>
                <w:iCs/>
                <w:sz w:val="24"/>
                <w:szCs w:val="24"/>
              </w:rPr>
            </w:pPr>
            <w:r w:rsidRPr="000F40BA">
              <w:rPr>
                <w:rFonts w:ascii="Arial" w:hAnsi="Arial"/>
                <w:sz w:val="24"/>
              </w:rPr>
              <w:lastRenderedPageBreak/>
              <w:t>Article 13(4), 13(4)(a) &amp; (b)</w:t>
            </w:r>
          </w:p>
        </w:tc>
        <w:tc>
          <w:tcPr>
            <w:tcW w:w="2835" w:type="dxa"/>
            <w:shd w:val="clear" w:color="auto" w:fill="auto"/>
          </w:tcPr>
          <w:p w14:paraId="33F4AD46" w14:textId="77777777" w:rsidR="004B7581" w:rsidRPr="000F40BA" w:rsidRDefault="004B7581" w:rsidP="000F40BA">
            <w:pPr>
              <w:spacing w:before="240"/>
              <w:rPr>
                <w:rFonts w:ascii="Arial" w:eastAsia="Times New Roman" w:hAnsi="Arial" w:cs="Arial"/>
                <w:bCs/>
                <w:iCs/>
                <w:sz w:val="24"/>
                <w:szCs w:val="24"/>
              </w:rPr>
            </w:pPr>
            <w:r w:rsidRPr="000F40BA">
              <w:rPr>
                <w:rFonts w:ascii="Arial" w:eastAsia="Times New Roman" w:hAnsi="Arial" w:cs="Arial"/>
                <w:bCs/>
                <w:iCs/>
                <w:sz w:val="24"/>
                <w:szCs w:val="24"/>
              </w:rPr>
              <w:t>Mixtures</w:t>
            </w:r>
          </w:p>
        </w:tc>
        <w:tc>
          <w:tcPr>
            <w:tcW w:w="6094" w:type="dxa"/>
            <w:shd w:val="clear" w:color="auto" w:fill="auto"/>
          </w:tcPr>
          <w:p w14:paraId="4CA8360A" w14:textId="77777777" w:rsidR="004B7581" w:rsidRPr="000F40BA" w:rsidRDefault="004B7581" w:rsidP="00926758">
            <w:pPr>
              <w:spacing w:before="240"/>
              <w:rPr>
                <w:rFonts w:ascii="Arial" w:hAnsi="Arial"/>
                <w:sz w:val="24"/>
              </w:rPr>
            </w:pPr>
            <w:r w:rsidRPr="000F40BA">
              <w:rPr>
                <w:rFonts w:ascii="Arial" w:hAnsi="Arial"/>
                <w:sz w:val="24"/>
              </w:rPr>
              <w:t>By way of a derogation, in the case of a mixture which meets the requirements set out in one of the categories in Annex I, the mixture must use the</w:t>
            </w:r>
            <w:r>
              <w:rPr>
                <w:rFonts w:ascii="Arial" w:hAnsi="Arial"/>
                <w:sz w:val="24"/>
              </w:rPr>
              <w:t xml:space="preserve"> legal name for that category. </w:t>
            </w:r>
          </w:p>
          <w:p w14:paraId="6C2DEEC7" w14:textId="77777777" w:rsidR="004B7581" w:rsidRPr="000F40BA" w:rsidRDefault="004B7581" w:rsidP="000F40BA">
            <w:pPr>
              <w:rPr>
                <w:rFonts w:ascii="Arial" w:hAnsi="Arial"/>
                <w:sz w:val="24"/>
              </w:rPr>
            </w:pPr>
            <w:r w:rsidRPr="000F40BA">
              <w:rPr>
                <w:rFonts w:ascii="Arial" w:hAnsi="Arial"/>
                <w:sz w:val="24"/>
              </w:rPr>
              <w:t>In such a case the legal names or GIs for the spirit drinks that appear in the mixture may only appear in a list of all the alcoholic ingredients contained in the mixture which:</w:t>
            </w:r>
          </w:p>
          <w:p w14:paraId="392E3DA2" w14:textId="77777777" w:rsidR="004B7581" w:rsidRPr="000F40BA" w:rsidRDefault="004B7581" w:rsidP="000F40BA">
            <w:pPr>
              <w:numPr>
                <w:ilvl w:val="0"/>
                <w:numId w:val="15"/>
              </w:numPr>
              <w:spacing w:after="0" w:line="240" w:lineRule="auto"/>
              <w:ind w:left="270" w:hanging="270"/>
              <w:rPr>
                <w:rFonts w:ascii="Arial" w:hAnsi="Arial"/>
                <w:sz w:val="24"/>
              </w:rPr>
            </w:pPr>
            <w:r w:rsidRPr="000F40BA">
              <w:rPr>
                <w:rFonts w:ascii="Arial" w:hAnsi="Arial"/>
                <w:sz w:val="24"/>
              </w:rPr>
              <w:t xml:space="preserve">shall appear in uniform characters of the same font and colour and in a font size which is no larger than half the font size used for the legal </w:t>
            </w:r>
            <w:proofErr w:type="gramStart"/>
            <w:r w:rsidRPr="000F40BA">
              <w:rPr>
                <w:rFonts w:ascii="Arial" w:hAnsi="Arial"/>
                <w:sz w:val="24"/>
              </w:rPr>
              <w:t>name;</w:t>
            </w:r>
            <w:proofErr w:type="gramEnd"/>
          </w:p>
          <w:p w14:paraId="3DFF34B6" w14:textId="77777777" w:rsidR="004B7581" w:rsidRPr="000F40BA" w:rsidRDefault="004B7581" w:rsidP="000F40BA">
            <w:pPr>
              <w:numPr>
                <w:ilvl w:val="0"/>
                <w:numId w:val="15"/>
              </w:numPr>
              <w:spacing w:after="0" w:line="240" w:lineRule="auto"/>
              <w:ind w:left="270" w:hanging="270"/>
              <w:rPr>
                <w:rFonts w:ascii="Arial" w:hAnsi="Arial"/>
                <w:sz w:val="24"/>
              </w:rPr>
            </w:pPr>
            <w:r w:rsidRPr="000F40BA">
              <w:rPr>
                <w:rFonts w:ascii="Arial" w:hAnsi="Arial"/>
                <w:sz w:val="24"/>
              </w:rPr>
              <w:t>is in the same visual field as the legal name of the mixture at least once.</w:t>
            </w:r>
          </w:p>
        </w:tc>
        <w:tc>
          <w:tcPr>
            <w:tcW w:w="4678" w:type="dxa"/>
            <w:shd w:val="clear" w:color="auto" w:fill="auto"/>
          </w:tcPr>
          <w:p w14:paraId="02960130" w14:textId="77777777" w:rsidR="004B7581" w:rsidRDefault="004B7581" w:rsidP="00926758">
            <w:pPr>
              <w:spacing w:before="240"/>
              <w:rPr>
                <w:rFonts w:ascii="Arial" w:hAnsi="Arial"/>
                <w:sz w:val="24"/>
              </w:rPr>
            </w:pPr>
            <w:r w:rsidRPr="000F40BA">
              <w:rPr>
                <w:rFonts w:ascii="Arial" w:hAnsi="Arial"/>
                <w:sz w:val="24"/>
              </w:rPr>
              <w:t>The differences in EU 2019/787 are in addition to the provision of Article 11(5) of EC 110/2008</w:t>
            </w:r>
            <w:r>
              <w:rPr>
                <w:rFonts w:ascii="Arial" w:hAnsi="Arial"/>
                <w:sz w:val="24"/>
              </w:rPr>
              <w:t>,</w:t>
            </w:r>
            <w:r w:rsidRPr="000F40BA">
              <w:rPr>
                <w:rFonts w:ascii="Arial" w:hAnsi="Arial"/>
                <w:sz w:val="24"/>
              </w:rPr>
              <w:t xml:space="preserve"> which is carried over to EU 2019/787. </w:t>
            </w:r>
          </w:p>
          <w:p w14:paraId="4FB84476" w14:textId="77777777" w:rsidR="004B7581" w:rsidRPr="000F40BA" w:rsidRDefault="004B7581" w:rsidP="000F40BA">
            <w:pPr>
              <w:rPr>
                <w:rFonts w:ascii="Arial" w:hAnsi="Arial"/>
                <w:sz w:val="24"/>
              </w:rPr>
            </w:pPr>
            <w:r w:rsidRPr="000F40BA">
              <w:rPr>
                <w:rFonts w:ascii="Arial" w:hAnsi="Arial"/>
                <w:sz w:val="24"/>
              </w:rPr>
              <w:t xml:space="preserve">Article 11(5) states that </w:t>
            </w:r>
            <w:r w:rsidRPr="000F40BA">
              <w:rPr>
                <w:rFonts w:ascii="Arial" w:hAnsi="Arial" w:hint="eastAsia"/>
                <w:sz w:val="24"/>
              </w:rPr>
              <w:t>the proportion of each alcoholic ingredient in the list</w:t>
            </w:r>
            <w:r w:rsidRPr="000F40BA">
              <w:rPr>
                <w:rFonts w:ascii="Arial" w:hAnsi="Arial"/>
                <w:sz w:val="24"/>
              </w:rPr>
              <w:t xml:space="preserve"> must be</w:t>
            </w:r>
            <w:r w:rsidRPr="000F40BA">
              <w:rPr>
                <w:rFonts w:ascii="Arial" w:hAnsi="Arial" w:hint="eastAsia"/>
                <w:sz w:val="24"/>
              </w:rPr>
              <w:t xml:space="preserve"> expressed at least once as a percentage, in descending order of quantities used. That proportion </w:t>
            </w:r>
            <w:r w:rsidRPr="000F40BA">
              <w:rPr>
                <w:rFonts w:ascii="Arial" w:hAnsi="Arial"/>
                <w:sz w:val="24"/>
              </w:rPr>
              <w:t>must</w:t>
            </w:r>
            <w:r w:rsidRPr="000F40BA">
              <w:rPr>
                <w:rFonts w:ascii="Arial" w:hAnsi="Arial" w:hint="eastAsia"/>
                <w:sz w:val="24"/>
              </w:rPr>
              <w:t xml:space="preserve"> be equal to the percentage by volume of pure alcohol it represents in the total pure alcohol content by volume of the mixture</w:t>
            </w:r>
            <w:r w:rsidRPr="000F40BA">
              <w:rPr>
                <w:rFonts w:ascii="Arial" w:hAnsi="Arial"/>
                <w:sz w:val="24"/>
              </w:rPr>
              <w:t>.</w:t>
            </w:r>
          </w:p>
          <w:p w14:paraId="6B273B48" w14:textId="77777777" w:rsidR="004B7581" w:rsidRPr="000F40BA" w:rsidRDefault="004B7581" w:rsidP="000F40BA">
            <w:pPr>
              <w:keepNext/>
              <w:spacing w:before="240" w:after="60"/>
              <w:outlineLvl w:val="1"/>
              <w:rPr>
                <w:rFonts w:ascii="Arial" w:eastAsia="Times New Roman" w:hAnsi="Arial" w:cs="Arial"/>
                <w:b/>
                <w:bCs/>
                <w:iCs/>
                <w:sz w:val="24"/>
                <w:szCs w:val="24"/>
              </w:rPr>
            </w:pPr>
          </w:p>
        </w:tc>
      </w:tr>
      <w:tr w:rsidR="004B7581" w14:paraId="2FE922F2" w14:textId="77777777" w:rsidTr="000E2DB6">
        <w:tc>
          <w:tcPr>
            <w:tcW w:w="1986" w:type="dxa"/>
            <w:shd w:val="clear" w:color="auto" w:fill="FFFFFF"/>
          </w:tcPr>
          <w:p w14:paraId="17B87484" w14:textId="77777777" w:rsidR="004B7581" w:rsidRPr="00B95C43" w:rsidRDefault="004B7581" w:rsidP="000F40BA">
            <w:pPr>
              <w:tabs>
                <w:tab w:val="num" w:pos="0"/>
              </w:tabs>
              <w:spacing w:before="240" w:after="120"/>
              <w:ind w:left="510" w:hanging="510"/>
              <w:rPr>
                <w:rFonts w:ascii="Arial" w:hAnsi="Arial"/>
                <w:bCs/>
                <w:iCs/>
                <w:color w:val="000000"/>
                <w:sz w:val="24"/>
                <w:szCs w:val="24"/>
              </w:rPr>
            </w:pPr>
            <w:r w:rsidRPr="00B95C43">
              <w:rPr>
                <w:rFonts w:ascii="Arial" w:hAnsi="Arial"/>
                <w:bCs/>
                <w:iCs/>
                <w:color w:val="000000"/>
                <w:sz w:val="24"/>
                <w:szCs w:val="24"/>
              </w:rPr>
              <w:t>Article 13(5)</w:t>
            </w:r>
          </w:p>
          <w:p w14:paraId="1A5A9B76" w14:textId="77777777" w:rsidR="004B7581" w:rsidRPr="00B95C43" w:rsidRDefault="004B7581" w:rsidP="000F40BA">
            <w:pPr>
              <w:keepNext/>
              <w:spacing w:before="240" w:after="60"/>
              <w:outlineLvl w:val="1"/>
              <w:rPr>
                <w:rFonts w:ascii="Arial" w:eastAsia="Times New Roman" w:hAnsi="Arial" w:cs="Arial"/>
                <w:b/>
                <w:bCs/>
                <w:iCs/>
                <w:sz w:val="24"/>
                <w:szCs w:val="24"/>
              </w:rPr>
            </w:pPr>
          </w:p>
        </w:tc>
        <w:tc>
          <w:tcPr>
            <w:tcW w:w="2835" w:type="dxa"/>
            <w:shd w:val="clear" w:color="auto" w:fill="auto"/>
          </w:tcPr>
          <w:p w14:paraId="210AB77D" w14:textId="77777777" w:rsidR="004B7581" w:rsidRPr="000F40BA" w:rsidRDefault="004B7581" w:rsidP="000F40BA">
            <w:pPr>
              <w:keepNext/>
              <w:spacing w:before="240" w:after="60"/>
              <w:outlineLvl w:val="1"/>
              <w:rPr>
                <w:rFonts w:ascii="Arial" w:eastAsia="Times New Roman" w:hAnsi="Arial" w:cs="Arial"/>
                <w:b/>
                <w:bCs/>
                <w:iCs/>
                <w:sz w:val="24"/>
                <w:szCs w:val="24"/>
              </w:rPr>
            </w:pPr>
            <w:r w:rsidRPr="000F40BA">
              <w:rPr>
                <w:rFonts w:ascii="Arial" w:hAnsi="Arial"/>
                <w:bCs/>
                <w:iCs/>
                <w:color w:val="000000"/>
                <w:sz w:val="24"/>
                <w:szCs w:val="24"/>
              </w:rPr>
              <w:t>Using the names of the raw plant materials in presentation and labelling</w:t>
            </w:r>
          </w:p>
        </w:tc>
        <w:tc>
          <w:tcPr>
            <w:tcW w:w="6094" w:type="dxa"/>
            <w:shd w:val="clear" w:color="auto" w:fill="auto"/>
          </w:tcPr>
          <w:p w14:paraId="332E0409" w14:textId="77777777" w:rsidR="004B7581" w:rsidRPr="00FA2CA8" w:rsidRDefault="004B7581" w:rsidP="00FA2CA8">
            <w:pPr>
              <w:spacing w:before="240"/>
              <w:rPr>
                <w:rFonts w:ascii="Arial" w:hAnsi="Arial"/>
                <w:sz w:val="24"/>
              </w:rPr>
            </w:pPr>
            <w:r w:rsidRPr="000F40BA">
              <w:rPr>
                <w:rFonts w:ascii="Arial" w:hAnsi="Arial"/>
                <w:sz w:val="24"/>
              </w:rPr>
              <w:t xml:space="preserve">The use of a name of a raw plant material in the legal name of a spirit drink does not prevent it being used to present or label other foodstuffs. The names of such raw plant materials may be used to describe, present or label other spirit drinks </w:t>
            </w:r>
            <w:proofErr w:type="gramStart"/>
            <w:r w:rsidRPr="000F40BA">
              <w:rPr>
                <w:rFonts w:ascii="Arial" w:hAnsi="Arial"/>
                <w:sz w:val="24"/>
              </w:rPr>
              <w:t>as long as</w:t>
            </w:r>
            <w:proofErr w:type="gramEnd"/>
            <w:r w:rsidRPr="000F40BA">
              <w:rPr>
                <w:rFonts w:ascii="Arial" w:hAnsi="Arial"/>
                <w:sz w:val="24"/>
              </w:rPr>
              <w:t xml:space="preserve"> the usage does not mislead the consumer.</w:t>
            </w:r>
          </w:p>
        </w:tc>
        <w:tc>
          <w:tcPr>
            <w:tcW w:w="4678" w:type="dxa"/>
            <w:shd w:val="clear" w:color="auto" w:fill="auto"/>
          </w:tcPr>
          <w:p w14:paraId="075DAE01" w14:textId="77777777" w:rsidR="004B7581" w:rsidRPr="000F40BA" w:rsidRDefault="004B7581" w:rsidP="000F40BA">
            <w:pPr>
              <w:keepNext/>
              <w:spacing w:before="240" w:after="60"/>
              <w:outlineLvl w:val="1"/>
              <w:rPr>
                <w:rFonts w:ascii="Arial" w:eastAsia="Times New Roman" w:hAnsi="Arial" w:cs="Arial"/>
                <w:b/>
                <w:bCs/>
                <w:iCs/>
                <w:sz w:val="24"/>
                <w:szCs w:val="24"/>
              </w:rPr>
            </w:pPr>
          </w:p>
        </w:tc>
      </w:tr>
      <w:tr w:rsidR="004B7581" w14:paraId="5ED2ABA0" w14:textId="77777777" w:rsidTr="000E2DB6">
        <w:tc>
          <w:tcPr>
            <w:tcW w:w="1986" w:type="dxa"/>
            <w:shd w:val="clear" w:color="auto" w:fill="FFFFFF"/>
          </w:tcPr>
          <w:p w14:paraId="1DEE7BCD" w14:textId="77777777" w:rsidR="004B7581" w:rsidRPr="000F40BA" w:rsidRDefault="004B7581" w:rsidP="000F40BA">
            <w:pPr>
              <w:spacing w:before="240" w:after="120"/>
              <w:rPr>
                <w:rFonts w:ascii="Arial" w:hAnsi="Arial"/>
                <w:bCs/>
                <w:iCs/>
                <w:color w:val="000000"/>
                <w:sz w:val="24"/>
                <w:szCs w:val="24"/>
              </w:rPr>
            </w:pPr>
            <w:r w:rsidRPr="000F40BA">
              <w:rPr>
                <w:rFonts w:ascii="Arial" w:hAnsi="Arial"/>
                <w:bCs/>
                <w:iCs/>
                <w:color w:val="000000"/>
                <w:sz w:val="24"/>
                <w:szCs w:val="24"/>
              </w:rPr>
              <w:t xml:space="preserve">Article 14(1) </w:t>
            </w:r>
          </w:p>
          <w:p w14:paraId="611031CD" w14:textId="77777777" w:rsidR="004B7581" w:rsidRPr="000F40BA" w:rsidRDefault="004B7581" w:rsidP="000F40BA">
            <w:pPr>
              <w:spacing w:before="240" w:after="120"/>
              <w:ind w:left="510" w:hanging="510"/>
              <w:rPr>
                <w:rFonts w:ascii="Arial" w:hAnsi="Arial"/>
                <w:bCs/>
                <w:iCs/>
                <w:color w:val="000000"/>
                <w:sz w:val="24"/>
                <w:szCs w:val="24"/>
              </w:rPr>
            </w:pPr>
          </w:p>
        </w:tc>
        <w:tc>
          <w:tcPr>
            <w:tcW w:w="2835" w:type="dxa"/>
            <w:shd w:val="clear" w:color="auto" w:fill="auto"/>
          </w:tcPr>
          <w:p w14:paraId="45536681" w14:textId="77777777" w:rsidR="004B7581" w:rsidRPr="000F40BA" w:rsidRDefault="004B7581" w:rsidP="000F40BA">
            <w:pPr>
              <w:keepNext/>
              <w:spacing w:before="240" w:after="60"/>
              <w:outlineLvl w:val="1"/>
              <w:rPr>
                <w:rFonts w:ascii="Arial" w:hAnsi="Arial"/>
                <w:bCs/>
                <w:iCs/>
                <w:color w:val="000000"/>
                <w:sz w:val="24"/>
                <w:szCs w:val="24"/>
              </w:rPr>
            </w:pPr>
            <w:r w:rsidRPr="000F40BA">
              <w:rPr>
                <w:rFonts w:ascii="Arial" w:hAnsi="Arial"/>
                <w:bCs/>
                <w:iCs/>
                <w:color w:val="000000"/>
                <w:sz w:val="24"/>
                <w:szCs w:val="24"/>
              </w:rPr>
              <w:t>Indication of a place of provenance</w:t>
            </w:r>
          </w:p>
        </w:tc>
        <w:tc>
          <w:tcPr>
            <w:tcW w:w="6094" w:type="dxa"/>
            <w:shd w:val="clear" w:color="auto" w:fill="auto"/>
          </w:tcPr>
          <w:p w14:paraId="2B904552" w14:textId="77777777" w:rsidR="004B7581" w:rsidRPr="000F40BA" w:rsidRDefault="004B7581" w:rsidP="000F40BA">
            <w:pPr>
              <w:spacing w:before="240"/>
              <w:rPr>
                <w:rFonts w:ascii="Arial" w:hAnsi="Arial"/>
                <w:sz w:val="24"/>
              </w:rPr>
            </w:pPr>
            <w:r w:rsidRPr="000F40BA">
              <w:rPr>
                <w:rFonts w:ascii="Arial" w:hAnsi="Arial"/>
                <w:sz w:val="24"/>
              </w:rPr>
              <w:t>If a place of provenance</w:t>
            </w:r>
            <w:r w:rsidRPr="008031F2">
              <w:rPr>
                <w:rFonts w:ascii="Arial" w:hAnsi="Arial"/>
                <w:sz w:val="24"/>
              </w:rPr>
              <w:t xml:space="preserve">, other than a GI, </w:t>
            </w:r>
            <w:r w:rsidRPr="000F40BA">
              <w:rPr>
                <w:rFonts w:ascii="Arial" w:hAnsi="Arial"/>
                <w:sz w:val="24"/>
              </w:rPr>
              <w:t xml:space="preserve">is used in the presentation, </w:t>
            </w:r>
            <w:proofErr w:type="gramStart"/>
            <w:r w:rsidRPr="000F40BA">
              <w:rPr>
                <w:rFonts w:ascii="Arial" w:hAnsi="Arial"/>
                <w:sz w:val="24"/>
              </w:rPr>
              <w:t>label</w:t>
            </w:r>
            <w:proofErr w:type="gramEnd"/>
            <w:r w:rsidRPr="000F40BA">
              <w:rPr>
                <w:rFonts w:ascii="Arial" w:hAnsi="Arial"/>
                <w:sz w:val="24"/>
              </w:rPr>
              <w:t xml:space="preserve"> or description of a spirit drink, it shall correspond to the place or region where the stage in the production process which conferred on the </w:t>
            </w:r>
            <w:r w:rsidRPr="000F40BA">
              <w:rPr>
                <w:rFonts w:ascii="Arial" w:hAnsi="Arial"/>
                <w:sz w:val="24"/>
              </w:rPr>
              <w:lastRenderedPageBreak/>
              <w:t>finished spirit drink its character and essential definitive qualities took place</w:t>
            </w:r>
            <w:r>
              <w:rPr>
                <w:rFonts w:ascii="Arial" w:hAnsi="Arial"/>
                <w:sz w:val="24"/>
              </w:rPr>
              <w:t>.</w:t>
            </w:r>
          </w:p>
        </w:tc>
        <w:tc>
          <w:tcPr>
            <w:tcW w:w="4678" w:type="dxa"/>
            <w:shd w:val="clear" w:color="auto" w:fill="auto"/>
          </w:tcPr>
          <w:p w14:paraId="58C02830" w14:textId="77777777" w:rsidR="004B7581" w:rsidRPr="000F40BA" w:rsidRDefault="004B7581" w:rsidP="000F40BA">
            <w:pPr>
              <w:keepNext/>
              <w:spacing w:before="240" w:after="60"/>
              <w:outlineLvl w:val="1"/>
              <w:rPr>
                <w:rFonts w:ascii="Arial" w:eastAsia="Times New Roman" w:hAnsi="Arial" w:cs="Arial"/>
                <w:bCs/>
                <w:iCs/>
                <w:sz w:val="24"/>
                <w:szCs w:val="24"/>
              </w:rPr>
            </w:pPr>
            <w:r w:rsidRPr="000F40BA">
              <w:rPr>
                <w:rFonts w:ascii="Arial" w:hAnsi="Arial"/>
                <w:sz w:val="24"/>
              </w:rPr>
              <w:lastRenderedPageBreak/>
              <w:t>New requirement.</w:t>
            </w:r>
          </w:p>
        </w:tc>
      </w:tr>
    </w:tbl>
    <w:p w14:paraId="530F126F" w14:textId="77777777" w:rsidR="00BA69A0" w:rsidRDefault="00BA69A0" w:rsidP="00206B7C"/>
    <w:p w14:paraId="04430917" w14:textId="77777777" w:rsidR="00AE6D4F" w:rsidRDefault="00AE6D4F" w:rsidP="00206B7C"/>
    <w:p w14:paraId="1AC065E3" w14:textId="77777777" w:rsidR="00AE6D4F" w:rsidRDefault="00AE6D4F" w:rsidP="00AE6D4F">
      <w:pPr>
        <w:pStyle w:val="Header"/>
        <w:rPr>
          <w:sz w:val="28"/>
        </w:rPr>
      </w:pPr>
      <w:r>
        <w:rPr>
          <w:sz w:val="28"/>
        </w:rPr>
        <w:t>Further explanation regarding labelling differences between EC 110/2008 and EU 2019/787 can be found at:</w:t>
      </w:r>
    </w:p>
    <w:p w14:paraId="62118796" w14:textId="77777777" w:rsidR="00AE6D4F" w:rsidRPr="000F718D" w:rsidRDefault="00000000" w:rsidP="00AE6D4F">
      <w:pPr>
        <w:pStyle w:val="Header"/>
        <w:rPr>
          <w:sz w:val="28"/>
        </w:rPr>
      </w:pPr>
      <w:hyperlink r:id="rId8" w:history="1">
        <w:r w:rsidR="00AE6D4F" w:rsidRPr="00A62D19">
          <w:rPr>
            <w:rStyle w:val="Hyperlink"/>
            <w:sz w:val="28"/>
          </w:rPr>
          <w:t>https://www.gov.uk/guidance/labelling-spirit-drinks</w:t>
        </w:r>
      </w:hyperlink>
    </w:p>
    <w:p w14:paraId="558B6254" w14:textId="77777777" w:rsidR="00AE6D4F" w:rsidRDefault="00AE6D4F" w:rsidP="00206B7C"/>
    <w:sectPr w:rsidR="00AE6D4F" w:rsidSect="00926758">
      <w:headerReference w:type="default" r:id="rId9"/>
      <w:pgSz w:w="16838" w:h="11906" w:orient="landscape"/>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D4AE6" w14:textId="77777777" w:rsidR="00A367BA" w:rsidRDefault="00A367BA" w:rsidP="000F718D">
      <w:pPr>
        <w:spacing w:after="0" w:line="240" w:lineRule="auto"/>
      </w:pPr>
      <w:r>
        <w:separator/>
      </w:r>
    </w:p>
  </w:endnote>
  <w:endnote w:type="continuationSeparator" w:id="0">
    <w:p w14:paraId="6079A6EE" w14:textId="77777777" w:rsidR="00A367BA" w:rsidRDefault="00A367BA" w:rsidP="000F7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A9FFF" w14:textId="77777777" w:rsidR="00A367BA" w:rsidRDefault="00A367BA" w:rsidP="000F718D">
      <w:pPr>
        <w:spacing w:after="0" w:line="240" w:lineRule="auto"/>
      </w:pPr>
      <w:r>
        <w:separator/>
      </w:r>
    </w:p>
  </w:footnote>
  <w:footnote w:type="continuationSeparator" w:id="0">
    <w:p w14:paraId="103FC0F0" w14:textId="77777777" w:rsidR="00A367BA" w:rsidRDefault="00A367BA" w:rsidP="000F7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5C9F7" w14:textId="2A619B49" w:rsidR="000831F5" w:rsidRDefault="000F718D" w:rsidP="000831F5">
    <w:pPr>
      <w:pStyle w:val="Header"/>
      <w:jc w:val="right"/>
      <w:rPr>
        <w:sz w:val="28"/>
      </w:rPr>
    </w:pPr>
    <w:r w:rsidRPr="000831F5">
      <w:rPr>
        <w:b/>
        <w:bCs/>
        <w:sz w:val="28"/>
      </w:rPr>
      <w:t xml:space="preserve">Annex </w:t>
    </w:r>
    <w:r w:rsidR="00992058" w:rsidRPr="000831F5">
      <w:rPr>
        <w:b/>
        <w:bCs/>
        <w:sz w:val="28"/>
      </w:rPr>
      <w:t>C</w:t>
    </w:r>
    <w:r w:rsidR="00992058" w:rsidRPr="000F718D">
      <w:rPr>
        <w:sz w:val="28"/>
      </w:rPr>
      <w:t xml:space="preserve"> </w:t>
    </w:r>
    <w:r w:rsidRPr="000F718D">
      <w:rPr>
        <w:sz w:val="28"/>
      </w:rPr>
      <w:t xml:space="preserve"> </w:t>
    </w:r>
  </w:p>
  <w:p w14:paraId="5A262390" w14:textId="45896EA0" w:rsidR="000F718D" w:rsidRPr="000831F5" w:rsidRDefault="000F718D" w:rsidP="000831F5">
    <w:pPr>
      <w:pStyle w:val="Header"/>
      <w:jc w:val="center"/>
      <w:rPr>
        <w:b/>
        <w:bCs/>
        <w:sz w:val="28"/>
      </w:rPr>
    </w:pPr>
    <w:r w:rsidRPr="000831F5">
      <w:rPr>
        <w:b/>
        <w:bCs/>
        <w:sz w:val="28"/>
      </w:rPr>
      <w:t xml:space="preserve">Key changes being made </w:t>
    </w:r>
    <w:r w:rsidR="00736B71" w:rsidRPr="000831F5">
      <w:rPr>
        <w:b/>
        <w:bCs/>
        <w:sz w:val="28"/>
      </w:rPr>
      <w:t>by</w:t>
    </w:r>
    <w:r w:rsidRPr="000831F5">
      <w:rPr>
        <w:b/>
        <w:bCs/>
        <w:sz w:val="28"/>
      </w:rPr>
      <w:t xml:space="preserve"> EU 2019/787</w:t>
    </w:r>
    <w:r w:rsidR="00736B71" w:rsidRPr="000831F5">
      <w:rPr>
        <w:b/>
        <w:bCs/>
        <w:sz w:val="28"/>
      </w:rPr>
      <w:t xml:space="preserve"> which will be enforced by the </w:t>
    </w:r>
    <w:r w:rsidR="00A832E1" w:rsidRPr="000831F5">
      <w:rPr>
        <w:b/>
        <w:bCs/>
        <w:sz w:val="28"/>
      </w:rPr>
      <w:t xml:space="preserve">draft </w:t>
    </w:r>
    <w:proofErr w:type="gramStart"/>
    <w:r w:rsidR="00736B71" w:rsidRPr="000831F5">
      <w:rPr>
        <w:b/>
        <w:bCs/>
        <w:sz w:val="28"/>
      </w:rPr>
      <w:t>Regulations</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DC3"/>
    <w:multiLevelType w:val="hybridMultilevel"/>
    <w:tmpl w:val="244E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62742"/>
    <w:multiLevelType w:val="hybridMultilevel"/>
    <w:tmpl w:val="9BC8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64024"/>
    <w:multiLevelType w:val="hybridMultilevel"/>
    <w:tmpl w:val="BDF85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8054D"/>
    <w:multiLevelType w:val="multilevel"/>
    <w:tmpl w:val="B934B7C8"/>
    <w:lvl w:ilvl="0">
      <w:start w:val="1"/>
      <w:numFmt w:val="decimal"/>
      <w:pStyle w:val="Heading2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A6729B5"/>
    <w:multiLevelType w:val="multilevel"/>
    <w:tmpl w:val="C39E00D6"/>
    <w:lvl w:ilvl="0">
      <w:start w:val="1"/>
      <w:numFmt w:val="decimal"/>
      <w:lvlText w:val="%1."/>
      <w:lvlJc w:val="left"/>
      <w:pPr>
        <w:tabs>
          <w:tab w:val="num" w:pos="1146"/>
        </w:tabs>
        <w:ind w:left="1146" w:hanging="720"/>
      </w:pPr>
      <w:rPr>
        <w:rFonts w:hint="default"/>
      </w:rPr>
    </w:lvl>
    <w:lvl w:ilvl="1">
      <w:start w:val="1"/>
      <w:numFmt w:val="decimal"/>
      <w:pStyle w:val="Heading2"/>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 w15:restartNumberingAfterBreak="0">
    <w:nsid w:val="1E7D64D4"/>
    <w:multiLevelType w:val="hybridMultilevel"/>
    <w:tmpl w:val="B9A22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F74D3A"/>
    <w:multiLevelType w:val="hybridMultilevel"/>
    <w:tmpl w:val="DB68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1E2F7C"/>
    <w:multiLevelType w:val="hybridMultilevel"/>
    <w:tmpl w:val="36E0B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462304"/>
    <w:multiLevelType w:val="multilevel"/>
    <w:tmpl w:val="83E8FEB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121"/>
        </w:tabs>
        <w:ind w:left="4121" w:hanging="576"/>
      </w:pPr>
      <w:rPr>
        <w:rFonts w:ascii="Times New Roman" w:hAnsi="Times New Roman" w:cs="Times New Roman" w:hint="default"/>
        <w:b w:val="0"/>
        <w:i w:val="0"/>
        <w:color w:val="000000"/>
      </w:rPr>
    </w:lvl>
    <w:lvl w:ilvl="2">
      <w:start w:val="1"/>
      <w:numFmt w:val="decimal"/>
      <w:lvlText w:val="%1.%2.%3"/>
      <w:lvlJc w:val="left"/>
      <w:pPr>
        <w:tabs>
          <w:tab w:val="num" w:pos="720"/>
        </w:tabs>
        <w:ind w:left="720" w:hanging="720"/>
      </w:pPr>
      <w:rPr>
        <w:rFonts w:ascii="Times New Roman" w:hAnsi="Times New Roman" w:cs="Times New Roman" w:hint="default"/>
        <w:b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1092CAD"/>
    <w:multiLevelType w:val="hybridMultilevel"/>
    <w:tmpl w:val="2BD292FC"/>
    <w:lvl w:ilvl="0" w:tplc="4E881CD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943242"/>
    <w:multiLevelType w:val="hybridMultilevel"/>
    <w:tmpl w:val="46384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4D300F"/>
    <w:multiLevelType w:val="hybridMultilevel"/>
    <w:tmpl w:val="29760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097729">
    <w:abstractNumId w:val="9"/>
  </w:num>
  <w:num w:numId="2" w16cid:durableId="1101217515">
    <w:abstractNumId w:val="8"/>
  </w:num>
  <w:num w:numId="3" w16cid:durableId="939683653">
    <w:abstractNumId w:val="3"/>
  </w:num>
  <w:num w:numId="4" w16cid:durableId="12637581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7077950">
    <w:abstractNumId w:val="3"/>
  </w:num>
  <w:num w:numId="6" w16cid:durableId="2031487608">
    <w:abstractNumId w:val="4"/>
  </w:num>
  <w:num w:numId="7" w16cid:durableId="1614166517">
    <w:abstractNumId w:val="4"/>
  </w:num>
  <w:num w:numId="8" w16cid:durableId="1985618133">
    <w:abstractNumId w:val="4"/>
  </w:num>
  <w:num w:numId="9" w16cid:durableId="1272081410">
    <w:abstractNumId w:val="5"/>
  </w:num>
  <w:num w:numId="10" w16cid:durableId="217012904">
    <w:abstractNumId w:val="0"/>
  </w:num>
  <w:num w:numId="11" w16cid:durableId="1035082472">
    <w:abstractNumId w:val="7"/>
  </w:num>
  <w:num w:numId="12" w16cid:durableId="1846436767">
    <w:abstractNumId w:val="10"/>
  </w:num>
  <w:num w:numId="13" w16cid:durableId="1906836370">
    <w:abstractNumId w:val="2"/>
  </w:num>
  <w:num w:numId="14" w16cid:durableId="1513180942">
    <w:abstractNumId w:val="6"/>
  </w:num>
  <w:num w:numId="15" w16cid:durableId="992224425">
    <w:abstractNumId w:val="1"/>
  </w:num>
  <w:num w:numId="16" w16cid:durableId="19740158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35F5"/>
    <w:rsid w:val="00000691"/>
    <w:rsid w:val="00046896"/>
    <w:rsid w:val="00073FBE"/>
    <w:rsid w:val="000817BF"/>
    <w:rsid w:val="000831F5"/>
    <w:rsid w:val="0009586A"/>
    <w:rsid w:val="00097EF4"/>
    <w:rsid w:val="000E0FAC"/>
    <w:rsid w:val="000E2DB6"/>
    <w:rsid w:val="000F40BA"/>
    <w:rsid w:val="000F718D"/>
    <w:rsid w:val="000F788D"/>
    <w:rsid w:val="00141740"/>
    <w:rsid w:val="00142600"/>
    <w:rsid w:val="00156A96"/>
    <w:rsid w:val="001A27F5"/>
    <w:rsid w:val="001B274E"/>
    <w:rsid w:val="001D77F9"/>
    <w:rsid w:val="00206B7C"/>
    <w:rsid w:val="00233BE0"/>
    <w:rsid w:val="00246833"/>
    <w:rsid w:val="002645CB"/>
    <w:rsid w:val="00280BBB"/>
    <w:rsid w:val="00286FE4"/>
    <w:rsid w:val="002E6323"/>
    <w:rsid w:val="0033137E"/>
    <w:rsid w:val="00357FCC"/>
    <w:rsid w:val="0037183B"/>
    <w:rsid w:val="00373D47"/>
    <w:rsid w:val="00461AEF"/>
    <w:rsid w:val="00470CB5"/>
    <w:rsid w:val="004914A5"/>
    <w:rsid w:val="00496357"/>
    <w:rsid w:val="004B10CE"/>
    <w:rsid w:val="004B7581"/>
    <w:rsid w:val="004D794C"/>
    <w:rsid w:val="004E344A"/>
    <w:rsid w:val="004E778A"/>
    <w:rsid w:val="00502FE1"/>
    <w:rsid w:val="00522926"/>
    <w:rsid w:val="00553A29"/>
    <w:rsid w:val="005F3A1A"/>
    <w:rsid w:val="00623708"/>
    <w:rsid w:val="006806AE"/>
    <w:rsid w:val="00695F37"/>
    <w:rsid w:val="006C2002"/>
    <w:rsid w:val="006D7A6C"/>
    <w:rsid w:val="006E189D"/>
    <w:rsid w:val="006E7A90"/>
    <w:rsid w:val="00736B71"/>
    <w:rsid w:val="007371A8"/>
    <w:rsid w:val="00742B93"/>
    <w:rsid w:val="00783662"/>
    <w:rsid w:val="007C4242"/>
    <w:rsid w:val="007E225E"/>
    <w:rsid w:val="008031F2"/>
    <w:rsid w:val="008702FD"/>
    <w:rsid w:val="00883A99"/>
    <w:rsid w:val="008F6CE1"/>
    <w:rsid w:val="009135F5"/>
    <w:rsid w:val="00926758"/>
    <w:rsid w:val="00956220"/>
    <w:rsid w:val="009646F6"/>
    <w:rsid w:val="00992058"/>
    <w:rsid w:val="009C5800"/>
    <w:rsid w:val="009D7B6E"/>
    <w:rsid w:val="009E0295"/>
    <w:rsid w:val="009F09AC"/>
    <w:rsid w:val="00A14B28"/>
    <w:rsid w:val="00A367BA"/>
    <w:rsid w:val="00A41697"/>
    <w:rsid w:val="00A62D19"/>
    <w:rsid w:val="00A827A0"/>
    <w:rsid w:val="00A832E1"/>
    <w:rsid w:val="00AA5858"/>
    <w:rsid w:val="00AB3FBC"/>
    <w:rsid w:val="00AB6F86"/>
    <w:rsid w:val="00AE6D4F"/>
    <w:rsid w:val="00B20647"/>
    <w:rsid w:val="00B31759"/>
    <w:rsid w:val="00B4390F"/>
    <w:rsid w:val="00B84168"/>
    <w:rsid w:val="00B95C43"/>
    <w:rsid w:val="00BA69A0"/>
    <w:rsid w:val="00BC36A5"/>
    <w:rsid w:val="00C10E5B"/>
    <w:rsid w:val="00C110B8"/>
    <w:rsid w:val="00C31EC3"/>
    <w:rsid w:val="00C34023"/>
    <w:rsid w:val="00C4385D"/>
    <w:rsid w:val="00C43B65"/>
    <w:rsid w:val="00CB0062"/>
    <w:rsid w:val="00CE3FBB"/>
    <w:rsid w:val="00D26C64"/>
    <w:rsid w:val="00D778E0"/>
    <w:rsid w:val="00D9070D"/>
    <w:rsid w:val="00DD2574"/>
    <w:rsid w:val="00DE5A00"/>
    <w:rsid w:val="00E26F85"/>
    <w:rsid w:val="00E82652"/>
    <w:rsid w:val="00E84AA7"/>
    <w:rsid w:val="00EC7063"/>
    <w:rsid w:val="00F25E7C"/>
    <w:rsid w:val="00F27093"/>
    <w:rsid w:val="00F409EA"/>
    <w:rsid w:val="00F64219"/>
    <w:rsid w:val="00F82CA1"/>
    <w:rsid w:val="00F90166"/>
    <w:rsid w:val="00F91636"/>
    <w:rsid w:val="00FA2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3E2EA"/>
  <w15:chartTrackingRefBased/>
  <w15:docId w15:val="{C2261DE0-4709-414A-BC46-735613EC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E84AA7"/>
    <w:pPr>
      <w:keepNext/>
      <w:spacing w:before="240" w:after="60"/>
      <w:jc w:val="center"/>
      <w:outlineLvl w:val="0"/>
    </w:pPr>
    <w:rPr>
      <w:rFonts w:ascii="Calibri Light" w:eastAsia="Times New Roman" w:hAnsi="Calibri Light"/>
      <w:b/>
      <w:bCs/>
      <w:kern w:val="32"/>
      <w:sz w:val="36"/>
      <w:szCs w:val="32"/>
      <w:u w:val="single"/>
    </w:rPr>
  </w:style>
  <w:style w:type="paragraph" w:styleId="Heading2">
    <w:name w:val="heading 2"/>
    <w:basedOn w:val="Normal"/>
    <w:next w:val="Normal"/>
    <w:link w:val="Heading2Char"/>
    <w:autoRedefine/>
    <w:qFormat/>
    <w:rsid w:val="006806AE"/>
    <w:pPr>
      <w:keepNext/>
      <w:numPr>
        <w:ilvl w:val="1"/>
        <w:numId w:val="7"/>
      </w:numPr>
      <w:tabs>
        <w:tab w:val="clear" w:pos="1440"/>
        <w:tab w:val="left" w:pos="340"/>
      </w:tabs>
      <w:spacing w:before="240" w:after="60" w:line="240" w:lineRule="auto"/>
      <w:ind w:left="0" w:firstLine="340"/>
      <w:outlineLvl w:val="1"/>
    </w:pPr>
    <w:rPr>
      <w:rFonts w:ascii="Arial" w:eastAsia="Times New Roman" w:hAnsi="Arial"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basedOn w:val="Normal"/>
    <w:next w:val="Normal"/>
    <w:link w:val="Heading21Char"/>
    <w:qFormat/>
    <w:rsid w:val="00A827A0"/>
    <w:pPr>
      <w:numPr>
        <w:numId w:val="3"/>
      </w:numPr>
      <w:tabs>
        <w:tab w:val="clear" w:pos="720"/>
      </w:tabs>
      <w:spacing w:before="240" w:after="120"/>
      <w:ind w:left="340" w:hanging="340"/>
    </w:pPr>
    <w:rPr>
      <w:rFonts w:ascii="Arial" w:hAnsi="Arial"/>
      <w:bCs/>
      <w:iCs/>
      <w:color w:val="000000"/>
      <w:sz w:val="24"/>
      <w:szCs w:val="24"/>
      <w:u w:val="single"/>
    </w:rPr>
  </w:style>
  <w:style w:type="character" w:customStyle="1" w:styleId="Heading21Char">
    <w:name w:val="Heading 2.1 Char"/>
    <w:link w:val="Heading21"/>
    <w:rsid w:val="00A827A0"/>
    <w:rPr>
      <w:rFonts w:ascii="Arial" w:hAnsi="Arial"/>
      <w:bCs/>
      <w:iCs/>
      <w:color w:val="000000"/>
      <w:sz w:val="24"/>
      <w:szCs w:val="24"/>
      <w:u w:val="single"/>
    </w:rPr>
  </w:style>
  <w:style w:type="character" w:customStyle="1" w:styleId="Heading2Char">
    <w:name w:val="Heading 2 Char"/>
    <w:link w:val="Heading2"/>
    <w:rsid w:val="006806AE"/>
    <w:rPr>
      <w:rFonts w:ascii="Arial" w:eastAsia="Times New Roman" w:hAnsi="Arial" w:cs="Arial"/>
      <w:b/>
      <w:bCs/>
      <w:iCs/>
      <w:sz w:val="28"/>
      <w:szCs w:val="28"/>
    </w:rPr>
  </w:style>
  <w:style w:type="character" w:customStyle="1" w:styleId="Heading1Char">
    <w:name w:val="Heading 1 Char"/>
    <w:link w:val="Heading1"/>
    <w:uiPriority w:val="9"/>
    <w:rsid w:val="00E84AA7"/>
    <w:rPr>
      <w:rFonts w:ascii="Calibri Light" w:eastAsia="Times New Roman" w:hAnsi="Calibri Light"/>
      <w:b/>
      <w:bCs/>
      <w:kern w:val="32"/>
      <w:sz w:val="36"/>
      <w:szCs w:val="32"/>
      <w:u w:val="single"/>
    </w:rPr>
  </w:style>
  <w:style w:type="character" w:styleId="CommentReference">
    <w:name w:val="annotation reference"/>
    <w:uiPriority w:val="99"/>
    <w:semiHidden/>
    <w:unhideWhenUsed/>
    <w:rsid w:val="009135F5"/>
    <w:rPr>
      <w:sz w:val="16"/>
      <w:szCs w:val="16"/>
    </w:rPr>
  </w:style>
  <w:style w:type="paragraph" w:styleId="CommentText">
    <w:name w:val="annotation text"/>
    <w:basedOn w:val="Normal"/>
    <w:link w:val="CommentTextChar"/>
    <w:uiPriority w:val="99"/>
    <w:semiHidden/>
    <w:unhideWhenUsed/>
    <w:rsid w:val="009135F5"/>
    <w:rPr>
      <w:rFonts w:ascii="Arial" w:hAnsi="Arial"/>
      <w:sz w:val="20"/>
      <w:szCs w:val="20"/>
    </w:rPr>
  </w:style>
  <w:style w:type="character" w:customStyle="1" w:styleId="CommentTextChar">
    <w:name w:val="Comment Text Char"/>
    <w:link w:val="CommentText"/>
    <w:uiPriority w:val="99"/>
    <w:semiHidden/>
    <w:rsid w:val="009135F5"/>
    <w:rPr>
      <w:rFonts w:ascii="Arial" w:hAnsi="Arial"/>
      <w:lang w:eastAsia="en-US"/>
    </w:rPr>
  </w:style>
  <w:style w:type="table" w:styleId="TableGrid">
    <w:name w:val="Table Grid"/>
    <w:basedOn w:val="TableNormal"/>
    <w:uiPriority w:val="39"/>
    <w:rsid w:val="009135F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35F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135F5"/>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206B7C"/>
    <w:rPr>
      <w:rFonts w:ascii="Calibri" w:hAnsi="Calibri"/>
      <w:b/>
      <w:bCs/>
    </w:rPr>
  </w:style>
  <w:style w:type="character" w:customStyle="1" w:styleId="CommentSubjectChar">
    <w:name w:val="Comment Subject Char"/>
    <w:link w:val="CommentSubject"/>
    <w:uiPriority w:val="99"/>
    <w:semiHidden/>
    <w:rsid w:val="00206B7C"/>
    <w:rPr>
      <w:rFonts w:ascii="Arial" w:hAnsi="Arial"/>
      <w:b/>
      <w:bCs/>
      <w:lang w:eastAsia="en-US"/>
    </w:rPr>
  </w:style>
  <w:style w:type="paragraph" w:styleId="Header">
    <w:name w:val="header"/>
    <w:basedOn w:val="Normal"/>
    <w:link w:val="HeaderChar"/>
    <w:uiPriority w:val="99"/>
    <w:unhideWhenUsed/>
    <w:rsid w:val="000F718D"/>
    <w:pPr>
      <w:tabs>
        <w:tab w:val="center" w:pos="4513"/>
        <w:tab w:val="right" w:pos="9026"/>
      </w:tabs>
    </w:pPr>
  </w:style>
  <w:style w:type="character" w:customStyle="1" w:styleId="HeaderChar">
    <w:name w:val="Header Char"/>
    <w:link w:val="Header"/>
    <w:uiPriority w:val="99"/>
    <w:rsid w:val="000F718D"/>
    <w:rPr>
      <w:sz w:val="22"/>
      <w:szCs w:val="22"/>
      <w:lang w:eastAsia="en-US"/>
    </w:rPr>
  </w:style>
  <w:style w:type="paragraph" w:styleId="Footer">
    <w:name w:val="footer"/>
    <w:basedOn w:val="Normal"/>
    <w:link w:val="FooterChar"/>
    <w:uiPriority w:val="99"/>
    <w:unhideWhenUsed/>
    <w:rsid w:val="000F718D"/>
    <w:pPr>
      <w:tabs>
        <w:tab w:val="center" w:pos="4513"/>
        <w:tab w:val="right" w:pos="9026"/>
      </w:tabs>
    </w:pPr>
  </w:style>
  <w:style w:type="character" w:customStyle="1" w:styleId="FooterChar">
    <w:name w:val="Footer Char"/>
    <w:link w:val="Footer"/>
    <w:uiPriority w:val="99"/>
    <w:rsid w:val="000F718D"/>
    <w:rPr>
      <w:sz w:val="22"/>
      <w:szCs w:val="22"/>
      <w:lang w:eastAsia="en-US"/>
    </w:rPr>
  </w:style>
  <w:style w:type="paragraph" w:styleId="Revision">
    <w:name w:val="Revision"/>
    <w:hidden/>
    <w:uiPriority w:val="99"/>
    <w:semiHidden/>
    <w:rsid w:val="004E344A"/>
    <w:rPr>
      <w:sz w:val="22"/>
      <w:szCs w:val="22"/>
      <w:lang w:eastAsia="en-US"/>
    </w:rPr>
  </w:style>
  <w:style w:type="character" w:styleId="Hyperlink">
    <w:name w:val="Hyperlink"/>
    <w:uiPriority w:val="99"/>
    <w:unhideWhenUsed/>
    <w:rsid w:val="00623708"/>
    <w:rPr>
      <w:color w:val="0563C1"/>
      <w:u w:val="single"/>
    </w:rPr>
  </w:style>
  <w:style w:type="character" w:styleId="FollowedHyperlink">
    <w:name w:val="FollowedHyperlink"/>
    <w:uiPriority w:val="99"/>
    <w:semiHidden/>
    <w:unhideWhenUsed/>
    <w:rsid w:val="00A62D1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labelling-spirit-drink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122A1-CAE3-4661-B1EB-E025AF34A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8187</CharactersWithSpaces>
  <SharedDoc>false</SharedDoc>
  <HLinks>
    <vt:vector size="6" baseType="variant">
      <vt:variant>
        <vt:i4>7995455</vt:i4>
      </vt:variant>
      <vt:variant>
        <vt:i4>0</vt:i4>
      </vt:variant>
      <vt:variant>
        <vt:i4>0</vt:i4>
      </vt:variant>
      <vt:variant>
        <vt:i4>5</vt:i4>
      </vt:variant>
      <vt:variant>
        <vt:lpwstr>https://www.gov.uk/guidance/labelling-spirit-drinks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Steve</dc:creator>
  <cp:keywords/>
  <dc:description/>
  <cp:lastModifiedBy>Todd, Kristopher</cp:lastModifiedBy>
  <cp:revision>5</cp:revision>
  <dcterms:created xsi:type="dcterms:W3CDTF">2023-03-09T10:06:00Z</dcterms:created>
  <dcterms:modified xsi:type="dcterms:W3CDTF">2023-03-16T11:28:00Z</dcterms:modified>
</cp:coreProperties>
</file>