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0F" w:rsidRDefault="0098010F" w:rsidP="0098010F">
      <w:pPr>
        <w:pStyle w:val="Draft"/>
      </w:pPr>
      <w:bookmarkStart w:id="0" w:name="_GoBack"/>
      <w:bookmarkEnd w:id="0"/>
      <w:r>
        <w:t>Draft</w:t>
      </w:r>
      <w:r w:rsidR="003B65CF" w:rsidRPr="003B65CF">
        <w:t xml:space="preserve"> </w:t>
      </w:r>
      <w:r>
        <w:t>Regulations</w:t>
      </w:r>
      <w:r w:rsidR="003B65CF" w:rsidRPr="003B65CF">
        <w:t xml:space="preserve"> </w:t>
      </w:r>
      <w:r>
        <w:t>laid</w:t>
      </w:r>
      <w:r w:rsidR="003B65CF" w:rsidRPr="003B65CF">
        <w:t xml:space="preserve"> </w:t>
      </w:r>
      <w:r>
        <w:t>before</w:t>
      </w:r>
      <w:r w:rsidR="003B65CF" w:rsidRPr="003B65CF">
        <w:t xml:space="preserve"> </w:t>
      </w:r>
      <w:r>
        <w:t>the</w:t>
      </w:r>
      <w:r w:rsidR="003B65CF" w:rsidRPr="003B65CF">
        <w:t xml:space="preserve"> </w:t>
      </w:r>
      <w:r>
        <w:t>Assembly</w:t>
      </w:r>
      <w:r w:rsidR="003B65CF" w:rsidRPr="003B65CF">
        <w:t xml:space="preserve"> </w:t>
      </w:r>
      <w:r>
        <w:t>under</w:t>
      </w:r>
      <w:r w:rsidR="003B65CF" w:rsidRPr="003B65CF">
        <w:t xml:space="preserve"> </w:t>
      </w:r>
      <w:r w:rsidR="00172D87">
        <w:t>p</w:t>
      </w:r>
      <w:r w:rsidR="004463CB" w:rsidRPr="004463CB">
        <w:t>aragraph</w:t>
      </w:r>
      <w:r w:rsidR="003B65CF" w:rsidRPr="003B65CF">
        <w:t xml:space="preserve"> </w:t>
      </w:r>
      <w:r w:rsidR="004463CB" w:rsidRPr="004463CB">
        <w:t>8F(9</w:t>
      </w:r>
      <w:r w:rsidR="00884054" w:rsidRPr="004463CB">
        <w:t>)</w:t>
      </w:r>
      <w:r w:rsidR="003B65CF" w:rsidRPr="003B65CF">
        <w:t xml:space="preserve"> </w:t>
      </w:r>
      <w:r w:rsidR="00884054" w:rsidRPr="004463CB">
        <w:t>of</w:t>
      </w:r>
      <w:r w:rsidR="003B65CF" w:rsidRPr="003B65CF">
        <w:t xml:space="preserve"> </w:t>
      </w:r>
      <w:r w:rsidR="004463CB" w:rsidRPr="004463CB">
        <w:t>Part</w:t>
      </w:r>
      <w:r w:rsidR="003B65CF" w:rsidRPr="003B65CF">
        <w:t xml:space="preserve"> </w:t>
      </w:r>
      <w:r w:rsidR="004463CB" w:rsidRPr="004463CB">
        <w:t>1A</w:t>
      </w:r>
      <w:r w:rsidR="003B65CF" w:rsidRPr="003B65CF">
        <w:t xml:space="preserve"> </w:t>
      </w:r>
      <w:r w:rsidR="004463CB" w:rsidRPr="004463CB">
        <w:t>of</w:t>
      </w:r>
      <w:r w:rsidR="003B65CF" w:rsidRPr="003B65CF">
        <w:t xml:space="preserve"> </w:t>
      </w:r>
      <w:r w:rsidR="004463CB" w:rsidRPr="004463CB">
        <w:t>Schedule</w:t>
      </w:r>
      <w:r w:rsidR="003B65CF" w:rsidRPr="003B65CF">
        <w:t xml:space="preserve"> </w:t>
      </w:r>
      <w:r w:rsidR="004463CB" w:rsidRPr="004463CB">
        <w:t>7</w:t>
      </w:r>
      <w:r w:rsidR="003B65CF" w:rsidRPr="003B65CF">
        <w:t xml:space="preserve"> </w:t>
      </w:r>
      <w:r w:rsidR="004463CB" w:rsidRPr="004463CB">
        <w:t>to</w:t>
      </w:r>
      <w:r w:rsidR="003B65CF" w:rsidRPr="003B65CF">
        <w:t xml:space="preserve"> </w:t>
      </w:r>
      <w:r w:rsidR="004463CB" w:rsidRPr="004463CB">
        <w:t>the</w:t>
      </w:r>
      <w:r w:rsidR="003B65CF" w:rsidRPr="003B65CF">
        <w:t xml:space="preserve"> </w:t>
      </w:r>
      <w:r w:rsidR="004463CB" w:rsidRPr="004463CB">
        <w:t>European</w:t>
      </w:r>
      <w:r w:rsidR="003B65CF" w:rsidRPr="003B65CF">
        <w:t xml:space="preserve"> </w:t>
      </w:r>
      <w:r w:rsidR="004463CB" w:rsidRPr="004463CB">
        <w:t>Union</w:t>
      </w:r>
      <w:r w:rsidR="003B65CF" w:rsidRPr="003B65CF">
        <w:t xml:space="preserve"> </w:t>
      </w:r>
      <w:r w:rsidR="004463CB" w:rsidRPr="004463CB">
        <w:t>(Withdrawal)</w:t>
      </w:r>
      <w:r w:rsidR="003B65CF" w:rsidRPr="003B65CF">
        <w:t xml:space="preserve"> </w:t>
      </w:r>
      <w:r w:rsidR="004463CB" w:rsidRPr="004463CB">
        <w:t>Act</w:t>
      </w:r>
      <w:r w:rsidR="003B65CF" w:rsidRPr="003B65CF">
        <w:t xml:space="preserve"> </w:t>
      </w:r>
      <w:r w:rsidR="004463CB" w:rsidRPr="004463CB">
        <w:t>2018</w:t>
      </w:r>
      <w:r w:rsidR="003B65CF" w:rsidRPr="003B65CF">
        <w:t xml:space="preserve"> </w:t>
      </w:r>
      <w:r w:rsidR="004463CB">
        <w:t>for</w:t>
      </w:r>
      <w:r w:rsidR="003B65CF" w:rsidRPr="003B65CF">
        <w:t xml:space="preserve"> </w:t>
      </w:r>
      <w:r w:rsidR="004463CB">
        <w:t>approval</w:t>
      </w:r>
    </w:p>
    <w:p w:rsidR="00E61B82" w:rsidRDefault="004463CB" w:rsidP="00AA66BB">
      <w:pPr>
        <w:pStyle w:val="Banner"/>
      </w:pPr>
      <w:r>
        <w:t>Draft</w:t>
      </w:r>
      <w:r w:rsidR="003B65CF" w:rsidRPr="003B65CF">
        <w:t xml:space="preserve"> </w:t>
      </w:r>
      <w:r w:rsidR="0098010F">
        <w:t>Statutory</w:t>
      </w:r>
      <w:r w:rsidR="003B65CF" w:rsidRPr="003B65CF">
        <w:t xml:space="preserve"> </w:t>
      </w:r>
      <w:r w:rsidR="0098010F">
        <w:t>Rules</w:t>
      </w:r>
      <w:r w:rsidR="003B65CF" w:rsidRPr="003B65CF">
        <w:t xml:space="preserve"> </w:t>
      </w:r>
      <w:r w:rsidR="0098010F">
        <w:t>of</w:t>
      </w:r>
      <w:r w:rsidR="003B65CF" w:rsidRPr="003B65CF">
        <w:t xml:space="preserve"> </w:t>
      </w:r>
      <w:r w:rsidR="0098010F">
        <w:t>Northern</w:t>
      </w:r>
      <w:r w:rsidR="003B65CF" w:rsidRPr="003B65CF">
        <w:t xml:space="preserve"> </w:t>
      </w:r>
      <w:r w:rsidR="0098010F">
        <w:t>Ireland</w:t>
      </w:r>
    </w:p>
    <w:p w:rsidR="00E61B82" w:rsidRDefault="00E61B82" w:rsidP="00E61B82">
      <w:pPr>
        <w:pStyle w:val="Number"/>
      </w:pPr>
      <w:r>
        <w:t>20</w:t>
      </w:r>
      <w:r w:rsidR="00F23742">
        <w:t>23</w:t>
      </w:r>
      <w:r w:rsidR="003B65CF" w:rsidRPr="003B65CF">
        <w:t xml:space="preserve"> </w:t>
      </w:r>
      <w:r>
        <w:t>No.</w:t>
      </w:r>
      <w:r w:rsidR="003B65CF" w:rsidRPr="003B65CF">
        <w:t xml:space="preserve"> </w:t>
      </w:r>
      <w:r w:rsidR="0098010F">
        <w:t>0000</w:t>
      </w:r>
    </w:p>
    <w:p w:rsidR="00E61B82" w:rsidRDefault="0098010F" w:rsidP="0098010F">
      <w:pPr>
        <w:pStyle w:val="subject"/>
      </w:pPr>
      <w:r>
        <w:t>Food</w:t>
      </w:r>
    </w:p>
    <w:p w:rsidR="00E61B82" w:rsidRDefault="0098010F" w:rsidP="00E61B82">
      <w:pPr>
        <w:pStyle w:val="Title"/>
      </w:pPr>
      <w:r>
        <w:t>The</w:t>
      </w:r>
      <w:r w:rsidR="003B65CF" w:rsidRPr="003B65CF">
        <w:t xml:space="preserve"> </w:t>
      </w:r>
      <w:r>
        <w:t>Spirit</w:t>
      </w:r>
      <w:r w:rsidR="003B65CF" w:rsidRPr="003B65CF">
        <w:t xml:space="preserve"> </w:t>
      </w:r>
      <w:r>
        <w:t>Drinks</w:t>
      </w:r>
      <w:r w:rsidR="003B65CF" w:rsidRPr="003B65CF">
        <w:t xml:space="preserve"> </w:t>
      </w:r>
      <w:r>
        <w:t>Regulations</w:t>
      </w:r>
      <w:r w:rsidR="003B65CF" w:rsidRPr="003B65CF">
        <w:t xml:space="preserve"> </w:t>
      </w:r>
      <w:r>
        <w:t>(Northern</w:t>
      </w:r>
      <w:r w:rsidR="003B65CF" w:rsidRPr="003B65CF">
        <w:t xml:space="preserve"> </w:t>
      </w:r>
      <w:r>
        <w:t>Ireland)</w:t>
      </w:r>
      <w:r w:rsidR="003B65CF" w:rsidRPr="003B65CF">
        <w:t xml:space="preserve"> </w:t>
      </w:r>
      <w:r w:rsidR="00F23742">
        <w:t>2023</w:t>
      </w:r>
    </w:p>
    <w:p w:rsidR="00E61B82" w:rsidRDefault="00E61B82" w:rsidP="0002747F">
      <w:pPr>
        <w:pStyle w:val="Made"/>
      </w:pPr>
      <w:r>
        <w:t>Made</w:t>
      </w:r>
      <w:r w:rsidR="003B65CF" w:rsidRPr="003B65CF">
        <w:rPr>
          <w:i w:val="0"/>
        </w:rPr>
        <w:tab/>
      </w:r>
      <w:r>
        <w:t>-</w:t>
      </w:r>
      <w:r w:rsidR="003B65CF" w:rsidRPr="003B65CF">
        <w:rPr>
          <w:i w:val="0"/>
        </w:rPr>
        <w:tab/>
      </w:r>
      <w:r>
        <w:t>-</w:t>
      </w:r>
      <w:r w:rsidR="003B65CF" w:rsidRPr="003B65CF">
        <w:rPr>
          <w:i w:val="0"/>
        </w:rPr>
        <w:tab/>
      </w:r>
      <w:r>
        <w:t>-</w:t>
      </w:r>
      <w:r w:rsidR="003B65CF" w:rsidRPr="003B65CF">
        <w:rPr>
          <w:i w:val="0"/>
        </w:rPr>
        <w:tab/>
      </w:r>
      <w:r>
        <w:t>-</w:t>
      </w:r>
      <w:r w:rsidR="003B65CF" w:rsidRPr="003B65CF">
        <w:rPr>
          <w:i w:val="0"/>
        </w:rPr>
        <w:tab/>
      </w:r>
      <w:r>
        <w:t>***</w:t>
      </w:r>
    </w:p>
    <w:p w:rsidR="00BC3A4C" w:rsidRDefault="004463CB" w:rsidP="00252709">
      <w:pPr>
        <w:pStyle w:val="Coming"/>
      </w:pPr>
      <w:r>
        <w:t>Coming</w:t>
      </w:r>
      <w:r w:rsidR="003B65CF" w:rsidRPr="003B65CF">
        <w:t xml:space="preserve"> </w:t>
      </w:r>
      <w:r>
        <w:t>into</w:t>
      </w:r>
      <w:r w:rsidR="003B65CF" w:rsidRPr="003B65CF">
        <w:t xml:space="preserve"> </w:t>
      </w:r>
      <w:r>
        <w:t>operation</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regulation</w:t>
      </w:r>
      <w:r w:rsidR="003B65CF" w:rsidRPr="003B65CF">
        <w:t xml:space="preserve"> </w:t>
      </w:r>
      <w:r>
        <w:t>1(1)</w:t>
      </w:r>
    </w:p>
    <w:p w:rsidR="004463CB" w:rsidRDefault="004463CB" w:rsidP="004463CB">
      <w:pPr>
        <w:pStyle w:val="Pre"/>
      </w:pPr>
      <w:r>
        <w:t>The</w:t>
      </w:r>
      <w:r w:rsidR="003B65CF" w:rsidRPr="003B65CF">
        <w:t xml:space="preserve"> </w:t>
      </w:r>
      <w:r>
        <w:t>Department</w:t>
      </w:r>
      <w:r w:rsidR="003B65CF" w:rsidRPr="003B65CF">
        <w:t xml:space="preserve"> </w:t>
      </w:r>
      <w:r>
        <w:t>of</w:t>
      </w:r>
      <w:r w:rsidR="003B65CF" w:rsidRPr="003B65CF">
        <w:t xml:space="preserve"> </w:t>
      </w:r>
      <w:r>
        <w:t>Agriculture,</w:t>
      </w:r>
      <w:r w:rsidR="003B65CF" w:rsidRPr="003B65CF">
        <w:t xml:space="preserve"> </w:t>
      </w:r>
      <w:r>
        <w:t>Environment</w:t>
      </w:r>
      <w:r w:rsidR="003B65CF" w:rsidRPr="003B65CF">
        <w:t xml:space="preserve"> </w:t>
      </w:r>
      <w:r>
        <w:t>and</w:t>
      </w:r>
      <w:r w:rsidR="003B65CF" w:rsidRPr="003B65CF">
        <w:t xml:space="preserve"> </w:t>
      </w:r>
      <w:r>
        <w:t>Rural</w:t>
      </w:r>
      <w:r w:rsidR="003B65CF" w:rsidRPr="003B65CF">
        <w:t xml:space="preserve"> </w:t>
      </w:r>
      <w:r>
        <w:t>Affairs</w:t>
      </w:r>
      <w:bookmarkStart w:id="1" w:name="_Hlk86826011"/>
      <w:r w:rsidR="00172D87">
        <w:t>,</w:t>
      </w:r>
      <w:r w:rsidR="003B65CF" w:rsidRPr="003B65CF">
        <w:t xml:space="preserve"> </w:t>
      </w:r>
      <w:r>
        <w:t>in</w:t>
      </w:r>
      <w:r w:rsidR="003B65CF" w:rsidRPr="003B65CF">
        <w:t xml:space="preserve"> </w:t>
      </w:r>
      <w:r>
        <w:t>exercise</w:t>
      </w:r>
      <w:r w:rsidR="003B65CF" w:rsidRPr="003B65CF">
        <w:t xml:space="preserve"> </w:t>
      </w:r>
      <w:r>
        <w:t>of</w:t>
      </w:r>
      <w:r w:rsidR="003B65CF" w:rsidRPr="003B65CF">
        <w:t xml:space="preserve"> </w:t>
      </w:r>
      <w:r>
        <w:t>the</w:t>
      </w:r>
      <w:r w:rsidR="003B65CF" w:rsidRPr="003B65CF">
        <w:t xml:space="preserve"> </w:t>
      </w:r>
      <w:r>
        <w:t>powers</w:t>
      </w:r>
      <w:r w:rsidR="003B65CF" w:rsidRPr="003B65CF">
        <w:t xml:space="preserve"> </w:t>
      </w:r>
      <w:r>
        <w:t>conferred</w:t>
      </w:r>
      <w:r w:rsidR="003B65CF" w:rsidRPr="003B65CF">
        <w:t xml:space="preserve"> </w:t>
      </w:r>
      <w:r>
        <w:t>by</w:t>
      </w:r>
      <w:r w:rsidR="003B65CF" w:rsidRPr="003B65CF">
        <w:t xml:space="preserve"> </w:t>
      </w:r>
      <w:r>
        <w:t>sections</w:t>
      </w:r>
      <w:r w:rsidR="003B65CF" w:rsidRPr="003B65CF">
        <w:t xml:space="preserve"> </w:t>
      </w:r>
      <w:r>
        <w:t>11</w:t>
      </w:r>
      <w:r w:rsidR="003B65CF" w:rsidRPr="003B65CF">
        <w:t xml:space="preserve"> </w:t>
      </w:r>
      <w:r>
        <w:t>and</w:t>
      </w:r>
      <w:r w:rsidR="003B65CF" w:rsidRPr="003B65CF">
        <w:t xml:space="preserve"> </w:t>
      </w:r>
      <w:r>
        <w:t>22</w:t>
      </w:r>
      <w:r w:rsidR="003B65CF" w:rsidRPr="003B65CF">
        <w:t xml:space="preserve"> </w:t>
      </w:r>
      <w:r>
        <w:t>of</w:t>
      </w:r>
      <w:r w:rsidR="00172D87">
        <w:t>,</w:t>
      </w:r>
      <w:r w:rsidR="003B65CF" w:rsidRPr="003B65CF">
        <w:t xml:space="preserve"> </w:t>
      </w:r>
      <w:r>
        <w:t>and</w:t>
      </w:r>
      <w:r w:rsidR="003B65CF" w:rsidRPr="003B65CF">
        <w:t xml:space="preserve"> </w:t>
      </w:r>
      <w:r>
        <w:t>Part</w:t>
      </w:r>
      <w:r w:rsidR="003B65CF" w:rsidRPr="003B65CF">
        <w:t xml:space="preserve"> </w:t>
      </w:r>
      <w:r>
        <w:t>1C</w:t>
      </w:r>
      <w:r w:rsidR="003B65CF" w:rsidRPr="003B65CF">
        <w:t xml:space="preserve"> </w:t>
      </w:r>
      <w:r>
        <w:t>of</w:t>
      </w:r>
      <w:r w:rsidR="003B65CF" w:rsidRPr="003B65CF">
        <w:t xml:space="preserve"> </w:t>
      </w:r>
      <w:r>
        <w:t>Schedule</w:t>
      </w:r>
      <w:r w:rsidR="003B65CF" w:rsidRPr="003B65CF">
        <w:t xml:space="preserve"> </w:t>
      </w:r>
      <w:r>
        <w:t>2</w:t>
      </w:r>
      <w:r w:rsidR="003B65CF" w:rsidRPr="003B65CF">
        <w:t xml:space="preserve"> </w:t>
      </w:r>
      <w:r>
        <w:t>and</w:t>
      </w:r>
      <w:r w:rsidR="003B65CF" w:rsidRPr="003B65CF">
        <w:t xml:space="preserve"> </w:t>
      </w:r>
      <w:r>
        <w:t>paragraph</w:t>
      </w:r>
      <w:r w:rsidR="003B65CF" w:rsidRPr="003B65CF">
        <w:t xml:space="preserve"> </w:t>
      </w:r>
      <w:r>
        <w:t>21(b)</w:t>
      </w:r>
      <w:r w:rsidR="003B65CF" w:rsidRPr="003B65CF">
        <w:t xml:space="preserve"> </w:t>
      </w:r>
      <w:r>
        <w:t>of</w:t>
      </w:r>
      <w:r w:rsidR="003B65CF" w:rsidRPr="003B65CF">
        <w:t xml:space="preserve"> </w:t>
      </w:r>
      <w:r>
        <w:t>Schedule</w:t>
      </w:r>
      <w:r w:rsidR="003B65CF" w:rsidRPr="003B65CF">
        <w:t xml:space="preserve"> </w:t>
      </w:r>
      <w:r>
        <w:t>7</w:t>
      </w:r>
      <w:r w:rsidR="003B65CF" w:rsidRPr="003B65CF">
        <w:t xml:space="preserve"> </w:t>
      </w:r>
      <w:r>
        <w:t>to</w:t>
      </w:r>
      <w:r w:rsidR="00172D87">
        <w:t>,</w:t>
      </w:r>
      <w:r w:rsidR="003B65CF" w:rsidRPr="003B65CF">
        <w:t xml:space="preserve"> </w:t>
      </w:r>
      <w:r>
        <w:t>the</w:t>
      </w:r>
      <w:r w:rsidR="003B65CF" w:rsidRPr="003B65CF">
        <w:t xml:space="preserve"> </w:t>
      </w:r>
      <w:r>
        <w:t>Europ</w:t>
      </w:r>
      <w:r w:rsidR="001A4CC4">
        <w:t>ean</w:t>
      </w:r>
      <w:r w:rsidR="003B65CF" w:rsidRPr="003B65CF">
        <w:t xml:space="preserve"> </w:t>
      </w:r>
      <w:r w:rsidR="001A4CC4">
        <w:t>Union</w:t>
      </w:r>
      <w:r w:rsidR="003B65CF" w:rsidRPr="003B65CF">
        <w:t xml:space="preserve"> </w:t>
      </w:r>
      <w:r w:rsidR="001A4CC4">
        <w:t>(Withdrawal)</w:t>
      </w:r>
      <w:r w:rsidR="003B65CF" w:rsidRPr="003B65CF">
        <w:t xml:space="preserve"> </w:t>
      </w:r>
      <w:r w:rsidR="001A4CC4">
        <w:t>Act</w:t>
      </w:r>
      <w:r w:rsidR="003B65CF" w:rsidRPr="003B65CF">
        <w:t xml:space="preserve"> </w:t>
      </w:r>
      <w:r w:rsidR="001A4CC4">
        <w:t>2018</w:t>
      </w:r>
      <w:r>
        <w:t>(</w:t>
      </w:r>
      <w:r>
        <w:rPr>
          <w:rStyle w:val="FootnoteReference"/>
        </w:rPr>
        <w:footnoteReference w:id="2"/>
      </w:r>
      <w:r>
        <w:t>),</w:t>
      </w:r>
      <w:r w:rsidR="003B65CF" w:rsidRPr="003B65CF">
        <w:t xml:space="preserve"> </w:t>
      </w:r>
      <w:r>
        <w:t>makes</w:t>
      </w:r>
      <w:r w:rsidR="003B65CF" w:rsidRPr="003B65CF">
        <w:t xml:space="preserve"> </w:t>
      </w:r>
      <w:r>
        <w:t>the</w:t>
      </w:r>
      <w:r w:rsidR="003B65CF" w:rsidRPr="003B65CF">
        <w:t xml:space="preserve"> </w:t>
      </w:r>
      <w:r>
        <w:t>following</w:t>
      </w:r>
      <w:r w:rsidR="003B65CF" w:rsidRPr="003B65CF">
        <w:t xml:space="preserve"> </w:t>
      </w:r>
      <w:r>
        <w:t>Regulations.</w:t>
      </w:r>
    </w:p>
    <w:bookmarkEnd w:id="1"/>
    <w:p w:rsidR="006C6C50" w:rsidRDefault="006C6C50" w:rsidP="004463CB">
      <w:pPr>
        <w:pStyle w:val="Pre"/>
      </w:pPr>
      <w:r w:rsidRPr="006C6C50">
        <w:t>There</w:t>
      </w:r>
      <w:r w:rsidR="003B65CF" w:rsidRPr="003B65CF">
        <w:t xml:space="preserve"> </w:t>
      </w:r>
      <w:r w:rsidRPr="006C6C50">
        <w:t>has</w:t>
      </w:r>
      <w:r w:rsidR="003B65CF" w:rsidRPr="003B65CF">
        <w:t xml:space="preserve"> </w:t>
      </w:r>
      <w:r w:rsidRPr="006C6C50">
        <w:t>been</w:t>
      </w:r>
      <w:r w:rsidR="003B65CF" w:rsidRPr="003B65CF">
        <w:t xml:space="preserve"> </w:t>
      </w:r>
      <w:r w:rsidRPr="006C6C50">
        <w:t>open</w:t>
      </w:r>
      <w:r w:rsidR="003B65CF" w:rsidRPr="003B65CF">
        <w:t xml:space="preserve"> </w:t>
      </w:r>
      <w:r w:rsidRPr="006C6C50">
        <w:t>and</w:t>
      </w:r>
      <w:r w:rsidR="003B65CF" w:rsidRPr="003B65CF">
        <w:t xml:space="preserve"> </w:t>
      </w:r>
      <w:r w:rsidRPr="006C6C50">
        <w:t>transparent</w:t>
      </w:r>
      <w:r w:rsidR="003B65CF" w:rsidRPr="003B65CF">
        <w:t xml:space="preserve"> </w:t>
      </w:r>
      <w:r w:rsidRPr="006C6C50">
        <w:t>public</w:t>
      </w:r>
      <w:r w:rsidR="003B65CF" w:rsidRPr="003B65CF">
        <w:t xml:space="preserve"> </w:t>
      </w:r>
      <w:r w:rsidRPr="006C6C50">
        <w:t>consultation</w:t>
      </w:r>
      <w:r w:rsidR="003B65CF" w:rsidRPr="003B65CF">
        <w:t xml:space="preserve"> </w:t>
      </w:r>
      <w:r w:rsidRPr="006C6C50">
        <w:t>during</w:t>
      </w:r>
      <w:r w:rsidR="003B65CF" w:rsidRPr="003B65CF">
        <w:t xml:space="preserve"> </w:t>
      </w:r>
      <w:r w:rsidRPr="006C6C50">
        <w:t>the</w:t>
      </w:r>
      <w:r w:rsidR="003B65CF" w:rsidRPr="003B65CF">
        <w:t xml:space="preserve"> </w:t>
      </w:r>
      <w:r w:rsidRPr="006C6C50">
        <w:t>preparation</w:t>
      </w:r>
      <w:r w:rsidR="003B65CF" w:rsidRPr="003B65CF">
        <w:t xml:space="preserve"> </w:t>
      </w:r>
      <w:r w:rsidRPr="006C6C50">
        <w:t>of</w:t>
      </w:r>
      <w:r w:rsidR="003B65CF" w:rsidRPr="003B65CF">
        <w:t xml:space="preserve"> </w:t>
      </w:r>
      <w:r w:rsidRPr="006C6C50">
        <w:t>these</w:t>
      </w:r>
      <w:r w:rsidR="003B65CF" w:rsidRPr="003B65CF">
        <w:t xml:space="preserve"> </w:t>
      </w:r>
      <w:r w:rsidRPr="006C6C50">
        <w:t>Regulations</w:t>
      </w:r>
      <w:r w:rsidR="003B65CF" w:rsidRPr="003B65CF">
        <w:t xml:space="preserve"> </w:t>
      </w:r>
      <w:r w:rsidRPr="006C6C50">
        <w:t>as</w:t>
      </w:r>
      <w:r w:rsidR="003B65CF" w:rsidRPr="003B65CF">
        <w:t xml:space="preserve"> </w:t>
      </w:r>
      <w:r w:rsidRPr="006C6C50">
        <w:t>required</w:t>
      </w:r>
      <w:r w:rsidR="003B65CF" w:rsidRPr="003B65CF">
        <w:t xml:space="preserve"> </w:t>
      </w:r>
      <w:r w:rsidRPr="006C6C50">
        <w:t>by</w:t>
      </w:r>
      <w:r w:rsidR="003B65CF" w:rsidRPr="003B65CF">
        <w:t xml:space="preserve"> </w:t>
      </w:r>
      <w:r w:rsidRPr="006C6C50">
        <w:t>Article</w:t>
      </w:r>
      <w:r w:rsidR="003B65CF" w:rsidRPr="003B65CF">
        <w:t xml:space="preserve"> </w:t>
      </w:r>
      <w:r w:rsidRPr="006C6C50">
        <w:t>9</w:t>
      </w:r>
      <w:r w:rsidR="003B65CF" w:rsidRPr="003B65CF">
        <w:t xml:space="preserve"> </w:t>
      </w:r>
      <w:r>
        <w:t>of</w:t>
      </w:r>
      <w:r w:rsidR="003B65CF" w:rsidRPr="003B65CF">
        <w:t xml:space="preserve"> </w:t>
      </w:r>
      <w:r>
        <w:t>Regulation</w:t>
      </w:r>
      <w:r w:rsidR="003B65CF" w:rsidRPr="003B65CF">
        <w:t xml:space="preserve"> </w:t>
      </w:r>
      <w:r>
        <w:t>(EC)</w:t>
      </w:r>
      <w:r w:rsidR="003B65CF" w:rsidRPr="003B65CF">
        <w:t xml:space="preserve"> </w:t>
      </w:r>
      <w:r>
        <w:t>No</w:t>
      </w:r>
      <w:r w:rsidR="003B65CF" w:rsidRPr="003B65CF">
        <w:t xml:space="preserve"> </w:t>
      </w:r>
      <w:r>
        <w:t>178/2002(</w:t>
      </w:r>
      <w:r>
        <w:rPr>
          <w:rStyle w:val="FootnoteReference"/>
        </w:rPr>
        <w:footnoteReference w:id="3"/>
      </w:r>
      <w:r>
        <w:t>)</w:t>
      </w:r>
      <w:r w:rsidR="003B65CF" w:rsidRPr="003B65CF">
        <w:t xml:space="preserve"> </w:t>
      </w:r>
      <w:r w:rsidRPr="006C6C50">
        <w:t>of</w:t>
      </w:r>
      <w:r w:rsidR="003B65CF" w:rsidRPr="003B65CF">
        <w:t xml:space="preserve"> </w:t>
      </w:r>
      <w:r w:rsidRPr="006C6C50">
        <w:t>the</w:t>
      </w:r>
      <w:r w:rsidR="003B65CF" w:rsidRPr="003B65CF">
        <w:t xml:space="preserve"> </w:t>
      </w:r>
      <w:r w:rsidRPr="006C6C50">
        <w:t>European</w:t>
      </w:r>
      <w:r w:rsidR="003B65CF" w:rsidRPr="003B65CF">
        <w:t xml:space="preserve"> </w:t>
      </w:r>
      <w:r w:rsidRPr="006C6C50">
        <w:t>Parliament</w:t>
      </w:r>
      <w:r w:rsidR="003B65CF" w:rsidRPr="003B65CF">
        <w:t xml:space="preserve"> </w:t>
      </w:r>
      <w:r w:rsidRPr="006C6C50">
        <w:t>and</w:t>
      </w:r>
      <w:r w:rsidR="003B65CF" w:rsidRPr="003B65CF">
        <w:t xml:space="preserve"> </w:t>
      </w:r>
      <w:r w:rsidRPr="006C6C50">
        <w:t>of</w:t>
      </w:r>
      <w:r w:rsidR="003B65CF" w:rsidRPr="003B65CF">
        <w:t xml:space="preserve"> </w:t>
      </w:r>
      <w:r w:rsidRPr="006C6C50">
        <w:t>the</w:t>
      </w:r>
      <w:r w:rsidR="003B65CF" w:rsidRPr="003B65CF">
        <w:t xml:space="preserve"> </w:t>
      </w:r>
      <w:r w:rsidRPr="006C6C50">
        <w:t>Council</w:t>
      </w:r>
      <w:r w:rsidR="003B65CF" w:rsidRPr="003B65CF">
        <w:t xml:space="preserve"> </w:t>
      </w:r>
      <w:r w:rsidRPr="006C6C50">
        <w:t>laying</w:t>
      </w:r>
      <w:r w:rsidR="003B65CF" w:rsidRPr="003B65CF">
        <w:t xml:space="preserve"> </w:t>
      </w:r>
      <w:r w:rsidRPr="006C6C50">
        <w:t>down</w:t>
      </w:r>
      <w:r w:rsidR="003B65CF" w:rsidRPr="003B65CF">
        <w:t xml:space="preserve"> </w:t>
      </w:r>
      <w:r w:rsidRPr="006C6C50">
        <w:t>the</w:t>
      </w:r>
      <w:r w:rsidR="003B65CF" w:rsidRPr="003B65CF">
        <w:t xml:space="preserve"> </w:t>
      </w:r>
      <w:r w:rsidRPr="006C6C50">
        <w:t>general</w:t>
      </w:r>
      <w:r w:rsidR="003B65CF" w:rsidRPr="003B65CF">
        <w:t xml:space="preserve"> </w:t>
      </w:r>
      <w:r w:rsidRPr="006C6C50">
        <w:t>principles</w:t>
      </w:r>
      <w:r w:rsidR="003B65CF" w:rsidRPr="003B65CF">
        <w:t xml:space="preserve"> </w:t>
      </w:r>
      <w:r w:rsidRPr="006C6C50">
        <w:t>and</w:t>
      </w:r>
      <w:r w:rsidR="003B65CF" w:rsidRPr="003B65CF">
        <w:t xml:space="preserve"> </w:t>
      </w:r>
      <w:r w:rsidRPr="006C6C50">
        <w:t>requirements</w:t>
      </w:r>
      <w:r w:rsidR="003B65CF" w:rsidRPr="003B65CF">
        <w:t xml:space="preserve"> </w:t>
      </w:r>
      <w:r w:rsidRPr="006C6C50">
        <w:t>of</w:t>
      </w:r>
      <w:r w:rsidR="003B65CF" w:rsidRPr="003B65CF">
        <w:t xml:space="preserve"> </w:t>
      </w:r>
      <w:r w:rsidRPr="006C6C50">
        <w:t>food</w:t>
      </w:r>
      <w:r w:rsidR="003B65CF" w:rsidRPr="003B65CF">
        <w:t xml:space="preserve"> </w:t>
      </w:r>
      <w:r w:rsidRPr="006C6C50">
        <w:t>law,</w:t>
      </w:r>
      <w:r w:rsidR="003B65CF" w:rsidRPr="003B65CF">
        <w:t xml:space="preserve"> </w:t>
      </w:r>
      <w:r w:rsidRPr="006C6C50">
        <w:t>establishing</w:t>
      </w:r>
      <w:r w:rsidR="003B65CF" w:rsidRPr="003B65CF">
        <w:t xml:space="preserve"> </w:t>
      </w:r>
      <w:r w:rsidRPr="006C6C50">
        <w:t>the</w:t>
      </w:r>
      <w:r w:rsidR="003B65CF" w:rsidRPr="003B65CF">
        <w:t xml:space="preserve"> </w:t>
      </w:r>
      <w:r w:rsidRPr="006C6C50">
        <w:t>European</w:t>
      </w:r>
      <w:r w:rsidR="003B65CF" w:rsidRPr="003B65CF">
        <w:t xml:space="preserve"> </w:t>
      </w:r>
      <w:r w:rsidRPr="006C6C50">
        <w:t>Food</w:t>
      </w:r>
      <w:r w:rsidR="003B65CF" w:rsidRPr="003B65CF">
        <w:t xml:space="preserve"> </w:t>
      </w:r>
      <w:r w:rsidRPr="006C6C50">
        <w:t>Safety</w:t>
      </w:r>
      <w:r w:rsidR="003B65CF" w:rsidRPr="003B65CF">
        <w:t xml:space="preserve"> </w:t>
      </w:r>
      <w:r w:rsidRPr="006C6C50">
        <w:t>Authority</w:t>
      </w:r>
      <w:r w:rsidR="003B65CF" w:rsidRPr="003B65CF">
        <w:t xml:space="preserve"> </w:t>
      </w:r>
      <w:r w:rsidRPr="006C6C50">
        <w:t>and</w:t>
      </w:r>
      <w:r w:rsidR="003B65CF" w:rsidRPr="003B65CF">
        <w:t xml:space="preserve"> </w:t>
      </w:r>
      <w:r w:rsidRPr="006C6C50">
        <w:t>laying</w:t>
      </w:r>
      <w:r w:rsidR="003B65CF" w:rsidRPr="003B65CF">
        <w:t xml:space="preserve"> </w:t>
      </w:r>
      <w:r w:rsidRPr="006C6C50">
        <w:t>down</w:t>
      </w:r>
      <w:r w:rsidR="003B65CF" w:rsidRPr="003B65CF">
        <w:t xml:space="preserve"> </w:t>
      </w:r>
      <w:r w:rsidRPr="006C6C50">
        <w:t>procedures</w:t>
      </w:r>
      <w:r w:rsidR="003B65CF" w:rsidRPr="003B65CF">
        <w:t xml:space="preserve"> </w:t>
      </w:r>
      <w:r w:rsidRPr="006C6C50">
        <w:t>in</w:t>
      </w:r>
      <w:r w:rsidR="003B65CF" w:rsidRPr="003B65CF">
        <w:t xml:space="preserve"> </w:t>
      </w:r>
      <w:r w:rsidRPr="006C6C50">
        <w:t>matters</w:t>
      </w:r>
      <w:r w:rsidR="003B65CF" w:rsidRPr="003B65CF">
        <w:t xml:space="preserve"> </w:t>
      </w:r>
      <w:r w:rsidRPr="006C6C50">
        <w:t>of</w:t>
      </w:r>
      <w:r w:rsidR="003B65CF" w:rsidRPr="003B65CF">
        <w:t xml:space="preserve"> </w:t>
      </w:r>
      <w:r w:rsidRPr="006C6C50">
        <w:t>food</w:t>
      </w:r>
      <w:r w:rsidR="003B65CF" w:rsidRPr="003B65CF">
        <w:t xml:space="preserve"> </w:t>
      </w:r>
      <w:r w:rsidRPr="006C6C50">
        <w:t>safety.</w:t>
      </w:r>
    </w:p>
    <w:p w:rsidR="00AC2949" w:rsidRDefault="00AC2949">
      <w:pPr>
        <w:pStyle w:val="Part"/>
        <w:rPr>
          <w:noProof/>
        </w:rPr>
      </w:pPr>
      <w:r>
        <w:t>PART</w:t>
      </w:r>
      <w:r w:rsidR="003B65CF" w:rsidRPr="003B65CF">
        <w:t xml:space="preserve"> </w:t>
      </w:r>
      <w:r>
        <w:rPr>
          <w:noProof/>
        </w:rPr>
        <w:fldChar w:fldCharType="begin"/>
      </w:r>
      <w:r>
        <w:rPr>
          <w:noProof/>
        </w:rPr>
        <w:instrText xml:space="preserve"> SEQ Part_ \* arabic </w:instrText>
      </w:r>
      <w:r>
        <w:rPr>
          <w:noProof/>
        </w:rPr>
        <w:fldChar w:fldCharType="separate"/>
      </w:r>
      <w:r w:rsidR="003B65CF">
        <w:rPr>
          <w:noProof/>
        </w:rPr>
        <w:t>1</w:t>
      </w:r>
      <w:r>
        <w:rPr>
          <w:noProof/>
        </w:rPr>
        <w:fldChar w:fldCharType="end"/>
      </w:r>
    </w:p>
    <w:p w:rsidR="00AC2949" w:rsidRPr="00AC2949" w:rsidRDefault="00AC2949" w:rsidP="00AC2949">
      <w:pPr>
        <w:pStyle w:val="PartHead"/>
      </w:pPr>
      <w:r>
        <w:t>Introductory</w:t>
      </w:r>
    </w:p>
    <w:p w:rsidR="00252709" w:rsidRDefault="004463CB" w:rsidP="004463CB">
      <w:pPr>
        <w:pStyle w:val="H1"/>
      </w:pPr>
      <w:r>
        <w:t>Citation</w:t>
      </w:r>
      <w:r w:rsidR="003B65CF" w:rsidRPr="003B65CF">
        <w:t xml:space="preserve"> </w:t>
      </w:r>
      <w:r>
        <w:t>and</w:t>
      </w:r>
      <w:r w:rsidR="003B65CF" w:rsidRPr="003B65CF">
        <w:t xml:space="preserve"> </w:t>
      </w:r>
      <w:r>
        <w:t>commencement</w:t>
      </w:r>
    </w:p>
    <w:p w:rsidR="004463CB" w:rsidRDefault="004463CB" w:rsidP="004463CB">
      <w:pPr>
        <w:pStyle w:val="N1"/>
      </w:pPr>
      <w:r>
        <w:t>—</w:t>
      </w:r>
      <w:r>
        <w:fldChar w:fldCharType="begin"/>
      </w:r>
      <w:r>
        <w:instrText xml:space="preserve"> LISTNUM "SEQ1" \l 2 </w:instrText>
      </w:r>
      <w:r>
        <w:fldChar w:fldCharType="end">
          <w:numberingChange w:id="3" w:author="Boyd, Steve" w:date="2021-06-21T19:46:00Z" w:original="(1)"/>
        </w:fldChar>
      </w:r>
      <w:r w:rsidR="003B65CF" w:rsidRPr="003B65CF">
        <w:t> </w:t>
      </w:r>
      <w:r>
        <w:t>These</w:t>
      </w:r>
      <w:r w:rsidR="003B65CF" w:rsidRPr="003B65CF">
        <w:t xml:space="preserve"> </w:t>
      </w:r>
      <w:r>
        <w:t>Regulations</w:t>
      </w:r>
      <w:r w:rsidR="003B65CF" w:rsidRPr="003B65CF">
        <w:t xml:space="preserve"> </w:t>
      </w:r>
      <w:r>
        <w:t>may</w:t>
      </w:r>
      <w:r w:rsidR="003B65CF" w:rsidRPr="003B65CF">
        <w:t xml:space="preserve"> </w:t>
      </w:r>
      <w:r>
        <w:t>be</w:t>
      </w:r>
      <w:r w:rsidR="003B65CF" w:rsidRPr="003B65CF">
        <w:t xml:space="preserve"> </w:t>
      </w:r>
      <w:r>
        <w:t>cited</w:t>
      </w:r>
      <w:r w:rsidR="003B65CF" w:rsidRPr="003B65CF">
        <w:t xml:space="preserve"> </w:t>
      </w:r>
      <w:r>
        <w:t>as</w:t>
      </w:r>
      <w:r w:rsidR="003B65CF" w:rsidRPr="003B65CF">
        <w:t xml:space="preserve"> </w:t>
      </w:r>
      <w:r>
        <w:t>the</w:t>
      </w:r>
      <w:r w:rsidR="003B65CF" w:rsidRPr="003B65CF">
        <w:t xml:space="preserve"> </w:t>
      </w:r>
      <w:r>
        <w:t>Spirit</w:t>
      </w:r>
      <w:r w:rsidR="003B65CF" w:rsidRPr="003B65CF">
        <w:t xml:space="preserve"> </w:t>
      </w:r>
      <w:r>
        <w:t>Drinks</w:t>
      </w:r>
      <w:r w:rsidR="003B65CF" w:rsidRPr="003B65CF">
        <w:t xml:space="preserve"> </w:t>
      </w:r>
      <w:r>
        <w:t>Regulations</w:t>
      </w:r>
      <w:r w:rsidR="003B65CF" w:rsidRPr="003B65CF">
        <w:t xml:space="preserve"> </w:t>
      </w:r>
      <w:r>
        <w:t>(Northern</w:t>
      </w:r>
      <w:r w:rsidR="003B65CF" w:rsidRPr="003B65CF">
        <w:t xml:space="preserve"> </w:t>
      </w:r>
      <w:r>
        <w:t>Ireland)</w:t>
      </w:r>
      <w:r w:rsidR="003B65CF" w:rsidRPr="003B65CF">
        <w:t xml:space="preserve"> </w:t>
      </w:r>
      <w:r w:rsidR="00F23742">
        <w:t>2023</w:t>
      </w:r>
      <w:r w:rsidR="003B65CF" w:rsidRPr="003B65CF">
        <w:t xml:space="preserve"> </w:t>
      </w:r>
      <w:r>
        <w:t>and</w:t>
      </w:r>
      <w:r w:rsidR="003B65CF" w:rsidRPr="003B65CF">
        <w:t xml:space="preserve"> </w:t>
      </w:r>
      <w:r>
        <w:t>come</w:t>
      </w:r>
      <w:r w:rsidR="003B65CF" w:rsidRPr="003B65CF">
        <w:t xml:space="preserve"> </w:t>
      </w:r>
      <w:r>
        <w:t>into</w:t>
      </w:r>
      <w:r w:rsidR="003B65CF" w:rsidRPr="003B65CF">
        <w:t xml:space="preserve"> </w:t>
      </w:r>
      <w:r>
        <w:t>operation</w:t>
      </w:r>
      <w:r w:rsidR="003B65CF" w:rsidRPr="003B65CF">
        <w:t xml:space="preserve"> </w:t>
      </w:r>
      <w:r>
        <w:t>on</w:t>
      </w:r>
      <w:r w:rsidR="003B65CF" w:rsidRPr="003B65CF">
        <w:t xml:space="preserve"> </w:t>
      </w:r>
      <w:r>
        <w:t>the</w:t>
      </w:r>
      <w:r w:rsidR="003B65CF" w:rsidRPr="003B65CF">
        <w:t xml:space="preserve"> </w:t>
      </w:r>
      <w:r>
        <w:t>day</w:t>
      </w:r>
      <w:r w:rsidR="003B65CF" w:rsidRPr="003B65CF">
        <w:t xml:space="preserve"> </w:t>
      </w:r>
      <w:r>
        <w:t>following</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they</w:t>
      </w:r>
      <w:r w:rsidR="003B65CF" w:rsidRPr="003B65CF">
        <w:t xml:space="preserve"> </w:t>
      </w:r>
      <w:r>
        <w:t>are</w:t>
      </w:r>
      <w:r w:rsidR="003B65CF" w:rsidRPr="003B65CF">
        <w:t xml:space="preserve"> </w:t>
      </w:r>
      <w:r>
        <w:t>made.</w:t>
      </w:r>
    </w:p>
    <w:p w:rsidR="004463CB" w:rsidRDefault="004463CB" w:rsidP="004463CB">
      <w:pPr>
        <w:pStyle w:val="H1"/>
      </w:pPr>
      <w:r>
        <w:t>Interpretation</w:t>
      </w:r>
    </w:p>
    <w:p w:rsidR="008767A8" w:rsidRDefault="008767A8" w:rsidP="008767A8">
      <w:pPr>
        <w:pStyle w:val="N1"/>
      </w:pPr>
      <w:r>
        <w:t>—</w:t>
      </w:r>
      <w:r>
        <w:fldChar w:fldCharType="begin"/>
      </w:r>
      <w:r>
        <w:instrText xml:space="preserve"> LISTNUM "SEQ1" \l 2 </w:instrText>
      </w:r>
      <w:r>
        <w:fldChar w:fldCharType="end">
          <w:numberingChange w:id="4" w:author="Boyd, Steve" w:date="2021-11-04T13:01:00Z" w:original="(1)"/>
        </w:fldChar>
      </w:r>
      <w:r w:rsidR="003B65CF" w:rsidRPr="003B65CF">
        <w:t> </w:t>
      </w:r>
      <w:r>
        <w:t>The</w:t>
      </w:r>
      <w:r w:rsidR="003B65CF" w:rsidRPr="003B65CF">
        <w:t xml:space="preserve"> </w:t>
      </w:r>
      <w:r>
        <w:t>Interpretation</w:t>
      </w:r>
      <w:r w:rsidR="003B65CF" w:rsidRPr="003B65CF">
        <w:t xml:space="preserve"> </w:t>
      </w:r>
      <w:r>
        <w:t>Act</w:t>
      </w:r>
      <w:r w:rsidR="003B65CF" w:rsidRPr="003B65CF">
        <w:t xml:space="preserve"> </w:t>
      </w:r>
      <w:r>
        <w:t>(Northern</w:t>
      </w:r>
      <w:r w:rsidR="003B65CF" w:rsidRPr="003B65CF">
        <w:t xml:space="preserve"> </w:t>
      </w:r>
      <w:r>
        <w:t>Ireland)</w:t>
      </w:r>
      <w:r w:rsidR="003B65CF" w:rsidRPr="003B65CF">
        <w:t xml:space="preserve"> </w:t>
      </w:r>
      <w:r>
        <w:t>1954(</w:t>
      </w:r>
      <w:r>
        <w:rPr>
          <w:rStyle w:val="FootnoteReference"/>
        </w:rPr>
        <w:footnoteReference w:id="4"/>
      </w:r>
      <w:r>
        <w:t>)</w:t>
      </w:r>
      <w:r w:rsidR="003B65CF" w:rsidRPr="003B65CF">
        <w:t xml:space="preserve"> </w:t>
      </w:r>
      <w:r>
        <w:t>shall</w:t>
      </w:r>
      <w:r w:rsidR="003B65CF" w:rsidRPr="003B65CF">
        <w:t xml:space="preserve"> </w:t>
      </w:r>
      <w:r>
        <w:t>apply</w:t>
      </w:r>
      <w:r w:rsidR="003B65CF" w:rsidRPr="003B65CF">
        <w:t xml:space="preserve"> </w:t>
      </w:r>
      <w:r>
        <w:t>to</w:t>
      </w:r>
      <w:r w:rsidR="003B65CF" w:rsidRPr="003B65CF">
        <w:t xml:space="preserve"> </w:t>
      </w:r>
      <w:r>
        <w:t>these</w:t>
      </w:r>
      <w:r w:rsidR="003B65CF" w:rsidRPr="003B65CF">
        <w:t xml:space="preserve"> </w:t>
      </w:r>
      <w:r>
        <w:t>Regulations</w:t>
      </w:r>
      <w:r w:rsidR="003B65CF" w:rsidRPr="003B65CF">
        <w:t xml:space="preserve"> </w:t>
      </w:r>
      <w:r>
        <w:t>as</w:t>
      </w:r>
      <w:r w:rsidR="003B65CF" w:rsidRPr="003B65CF">
        <w:t xml:space="preserve"> </w:t>
      </w:r>
      <w:r>
        <w:t>it</w:t>
      </w:r>
      <w:r w:rsidR="003B65CF" w:rsidRPr="003B65CF">
        <w:t xml:space="preserve"> </w:t>
      </w:r>
      <w:r>
        <w:t>applies</w:t>
      </w:r>
      <w:r w:rsidR="003B65CF" w:rsidRPr="003B65CF">
        <w:t xml:space="preserve"> </w:t>
      </w:r>
      <w:r>
        <w:t>to</w:t>
      </w:r>
      <w:r w:rsidR="003B65CF" w:rsidRPr="003B65CF">
        <w:t xml:space="preserve"> </w:t>
      </w:r>
      <w:r>
        <w:t>an</w:t>
      </w:r>
      <w:r w:rsidR="003B65CF" w:rsidRPr="003B65CF">
        <w:t xml:space="preserve"> </w:t>
      </w:r>
      <w:r>
        <w:t>Act</w:t>
      </w:r>
      <w:r w:rsidR="003B65CF" w:rsidRPr="003B65CF">
        <w:t xml:space="preserve"> </w:t>
      </w:r>
      <w:r>
        <w:t>of</w:t>
      </w:r>
      <w:r w:rsidR="003B65CF" w:rsidRPr="003B65CF">
        <w:t xml:space="preserve"> </w:t>
      </w:r>
      <w:r>
        <w:t>the</w:t>
      </w:r>
      <w:r w:rsidR="003B65CF" w:rsidRPr="003B65CF">
        <w:t xml:space="preserve"> </w:t>
      </w:r>
      <w:r>
        <w:t>Northern</w:t>
      </w:r>
      <w:r w:rsidR="003B65CF" w:rsidRPr="003B65CF">
        <w:t xml:space="preserve"> </w:t>
      </w:r>
      <w:r>
        <w:t>Ireland</w:t>
      </w:r>
      <w:r w:rsidR="003B65CF" w:rsidRPr="003B65CF">
        <w:t xml:space="preserve"> </w:t>
      </w:r>
      <w:r>
        <w:t>Assembly.</w:t>
      </w:r>
    </w:p>
    <w:p w:rsidR="004463CB" w:rsidRDefault="004463CB" w:rsidP="008767A8">
      <w:pPr>
        <w:pStyle w:val="N2"/>
      </w:pPr>
      <w:r>
        <w:t>In</w:t>
      </w:r>
      <w:r w:rsidR="003B65CF" w:rsidRPr="003B65CF">
        <w:t xml:space="preserve"> </w:t>
      </w:r>
      <w:r>
        <w:t>these</w:t>
      </w:r>
      <w:r w:rsidR="003B65CF" w:rsidRPr="003B65CF">
        <w:t xml:space="preserve"> </w:t>
      </w:r>
      <w:r>
        <w:t>Regulations—</w:t>
      </w:r>
    </w:p>
    <w:p w:rsidR="004463CB" w:rsidRDefault="007D3FB2" w:rsidP="007D3FB2">
      <w:pPr>
        <w:pStyle w:val="DefPara"/>
      </w:pPr>
      <w:r>
        <w:t>“authorised</w:t>
      </w:r>
      <w:r w:rsidR="003B65CF" w:rsidRPr="003B65CF">
        <w:t xml:space="preserve"> </w:t>
      </w:r>
      <w:r>
        <w:t>officer”</w:t>
      </w:r>
      <w:r w:rsidR="003B65CF" w:rsidRPr="003B65CF">
        <w:t xml:space="preserve"> </w:t>
      </w:r>
      <w:r>
        <w:t>means</w:t>
      </w:r>
      <w:r w:rsidR="003B65CF" w:rsidRPr="003B65CF">
        <w:t xml:space="preserve"> </w:t>
      </w:r>
      <w:r>
        <w:t>any</w:t>
      </w:r>
      <w:r w:rsidR="003B65CF" w:rsidRPr="003B65CF">
        <w:t xml:space="preserve"> </w:t>
      </w:r>
      <w:r>
        <w:t>person</w:t>
      </w:r>
      <w:r w:rsidR="003B65CF" w:rsidRPr="003B65CF">
        <w:t xml:space="preserve"> </w:t>
      </w:r>
      <w:r>
        <w:t>appointed</w:t>
      </w:r>
      <w:r w:rsidR="003B65CF" w:rsidRPr="003B65CF">
        <w:t xml:space="preserve"> </w:t>
      </w:r>
      <w:r>
        <w:t>by</w:t>
      </w:r>
      <w:r w:rsidR="003B65CF" w:rsidRPr="003B65CF">
        <w:t xml:space="preserve"> </w:t>
      </w:r>
      <w:r>
        <w:t>an</w:t>
      </w:r>
      <w:r w:rsidR="003B65CF" w:rsidRPr="003B65CF">
        <w:t xml:space="preserve"> </w:t>
      </w:r>
      <w:r>
        <w:t>enforcement</w:t>
      </w:r>
      <w:r w:rsidR="003B65CF" w:rsidRPr="003B65CF">
        <w:t xml:space="preserve"> </w:t>
      </w:r>
      <w:r>
        <w:t>authority</w:t>
      </w:r>
      <w:r w:rsidR="003B65CF" w:rsidRPr="003B65CF">
        <w:t xml:space="preserve"> </w:t>
      </w:r>
      <w:r>
        <w:t>under</w:t>
      </w:r>
      <w:r w:rsidR="003B65CF" w:rsidRPr="003B65CF">
        <w:t xml:space="preserve"> </w:t>
      </w:r>
      <w:r>
        <w:t>regulation</w:t>
      </w:r>
      <w:r w:rsidR="003B65CF" w:rsidRPr="003B65CF">
        <w:t xml:space="preserve"> </w:t>
      </w:r>
      <w:r w:rsidR="001A4CC4">
        <w:t>6</w:t>
      </w:r>
      <w:r>
        <w:t>;</w:t>
      </w:r>
    </w:p>
    <w:p w:rsidR="006020BD" w:rsidRDefault="006020BD" w:rsidP="007D3FB2">
      <w:pPr>
        <w:pStyle w:val="DefPara"/>
      </w:pPr>
      <w:r>
        <w:t>“Annex</w:t>
      </w:r>
      <w:r w:rsidR="003B65CF" w:rsidRPr="003B65CF">
        <w:t xml:space="preserve"> </w:t>
      </w:r>
      <w:r>
        <w:t>I”</w:t>
      </w:r>
      <w:r w:rsidR="003B65CF" w:rsidRPr="003B65CF">
        <w:t xml:space="preserve"> </w:t>
      </w:r>
      <w:r>
        <w:t>means</w:t>
      </w:r>
      <w:r w:rsidR="003B65CF" w:rsidRPr="003B65CF">
        <w:t xml:space="preserve"> </w:t>
      </w:r>
      <w:r>
        <w:t>Annex</w:t>
      </w:r>
      <w:r w:rsidR="003B65CF" w:rsidRPr="003B65CF">
        <w:t xml:space="preserve"> </w:t>
      </w:r>
      <w:r>
        <w:t>I</w:t>
      </w:r>
      <w:r w:rsidR="003B65CF" w:rsidRPr="003B65CF">
        <w:t xml:space="preserve"> </w:t>
      </w:r>
      <w:r>
        <w:t>to</w:t>
      </w:r>
      <w:r w:rsidR="003B65CF" w:rsidRPr="003B65CF">
        <w:t xml:space="preserve"> </w:t>
      </w:r>
      <w:r>
        <w:t>Regulation</w:t>
      </w:r>
      <w:r w:rsidR="003B65CF" w:rsidRPr="003B65CF">
        <w:t xml:space="preserve"> </w:t>
      </w:r>
      <w:r>
        <w:t>(EU)</w:t>
      </w:r>
      <w:r w:rsidR="003B65CF" w:rsidRPr="003B65CF">
        <w:t xml:space="preserve"> </w:t>
      </w:r>
      <w:r>
        <w:t>2017/787;</w:t>
      </w:r>
    </w:p>
    <w:p w:rsidR="00851E64" w:rsidRDefault="00851E64" w:rsidP="00CB1994">
      <w:pPr>
        <w:pStyle w:val="DefPara"/>
      </w:pPr>
      <w:r w:rsidRPr="00851E64">
        <w:lastRenderedPageBreak/>
        <w:t>“contravention”</w:t>
      </w:r>
      <w:r w:rsidR="003B65CF" w:rsidRPr="003B65CF">
        <w:t xml:space="preserve"> </w:t>
      </w:r>
      <w:r w:rsidRPr="00851E64">
        <w:t>includes</w:t>
      </w:r>
      <w:r w:rsidR="003B65CF" w:rsidRPr="003B65CF">
        <w:t xml:space="preserve"> </w:t>
      </w:r>
      <w:r w:rsidRPr="00851E64">
        <w:t>a</w:t>
      </w:r>
      <w:r w:rsidR="003B65CF" w:rsidRPr="003B65CF">
        <w:t xml:space="preserve"> </w:t>
      </w:r>
      <w:r w:rsidRPr="00851E64">
        <w:t>failure</w:t>
      </w:r>
      <w:r w:rsidR="003B65CF" w:rsidRPr="003B65CF">
        <w:t xml:space="preserve"> </w:t>
      </w:r>
      <w:r w:rsidRPr="00851E64">
        <w:t>to</w:t>
      </w:r>
      <w:r w:rsidR="003B65CF" w:rsidRPr="003B65CF">
        <w:t xml:space="preserve"> </w:t>
      </w:r>
      <w:r w:rsidRPr="00851E64">
        <w:t>comply</w:t>
      </w:r>
      <w:r w:rsidR="00C519E3">
        <w:t>;</w:t>
      </w:r>
    </w:p>
    <w:p w:rsidR="007D3FB2" w:rsidRDefault="007D3FB2" w:rsidP="007D3FB2">
      <w:pPr>
        <w:pStyle w:val="DefPara"/>
      </w:pPr>
      <w:r>
        <w:t>“enforcement</w:t>
      </w:r>
      <w:r w:rsidR="003B65CF" w:rsidRPr="003B65CF">
        <w:t xml:space="preserve"> </w:t>
      </w:r>
      <w:r>
        <w:t>authority”</w:t>
      </w:r>
      <w:r w:rsidR="003B65CF" w:rsidRPr="003B65CF">
        <w:t xml:space="preserve"> </w:t>
      </w:r>
      <w:r>
        <w:t>means</w:t>
      </w:r>
      <w:r w:rsidR="003B65CF" w:rsidRPr="003B65CF">
        <w:t xml:space="preserve"> </w:t>
      </w:r>
      <w:r>
        <w:t>an</w:t>
      </w:r>
      <w:r w:rsidR="003B65CF" w:rsidRPr="003B65CF">
        <w:t xml:space="preserve"> </w:t>
      </w:r>
      <w:r>
        <w:t>authority</w:t>
      </w:r>
      <w:r w:rsidR="003B65CF" w:rsidRPr="003B65CF">
        <w:t xml:space="preserve"> </w:t>
      </w:r>
      <w:r>
        <w:t>exercising</w:t>
      </w:r>
      <w:r w:rsidR="003B65CF" w:rsidRPr="003B65CF">
        <w:t xml:space="preserve"> </w:t>
      </w:r>
      <w:r>
        <w:t>a</w:t>
      </w:r>
      <w:r w:rsidR="003B65CF" w:rsidRPr="003B65CF">
        <w:t xml:space="preserve"> </w:t>
      </w:r>
      <w:r>
        <w:t>functions</w:t>
      </w:r>
      <w:r w:rsidR="003B65CF" w:rsidRPr="003B65CF">
        <w:t xml:space="preserve"> </w:t>
      </w:r>
      <w:r>
        <w:t>conferred</w:t>
      </w:r>
      <w:r w:rsidR="003B65CF" w:rsidRPr="003B65CF">
        <w:t xml:space="preserve"> </w:t>
      </w:r>
      <w:r>
        <w:t>on</w:t>
      </w:r>
      <w:r w:rsidR="003B65CF" w:rsidRPr="003B65CF">
        <w:t xml:space="preserve"> </w:t>
      </w:r>
      <w:r>
        <w:t>it</w:t>
      </w:r>
      <w:r w:rsidR="003B65CF" w:rsidRPr="003B65CF">
        <w:t xml:space="preserve"> </w:t>
      </w:r>
      <w:r>
        <w:t>by</w:t>
      </w:r>
      <w:r w:rsidR="003B65CF" w:rsidRPr="003B65CF">
        <w:t xml:space="preserve"> </w:t>
      </w:r>
      <w:r>
        <w:t>regulation</w:t>
      </w:r>
      <w:r w:rsidR="003B65CF" w:rsidRPr="003B65CF">
        <w:t xml:space="preserve"> </w:t>
      </w:r>
      <w:r w:rsidR="001A4CC4">
        <w:t>5</w:t>
      </w:r>
      <w:r>
        <w:t>;</w:t>
      </w:r>
    </w:p>
    <w:p w:rsidR="007D3FB2" w:rsidRDefault="007D3FB2" w:rsidP="007D3FB2">
      <w:pPr>
        <w:pStyle w:val="DefPara"/>
      </w:pPr>
      <w:r>
        <w:t>“officer”</w:t>
      </w:r>
      <w:r w:rsidR="003B65CF" w:rsidRPr="003B65CF">
        <w:t xml:space="preserve"> </w:t>
      </w:r>
      <w:r>
        <w:t>–</w:t>
      </w:r>
    </w:p>
    <w:p w:rsidR="007D3FB2" w:rsidRDefault="007D3FB2" w:rsidP="007D3FB2">
      <w:pPr>
        <w:pStyle w:val="N3"/>
      </w:pPr>
      <w:r>
        <w:t>in</w:t>
      </w:r>
      <w:r w:rsidR="003B65CF" w:rsidRPr="003B65CF">
        <w:t xml:space="preserve"> </w:t>
      </w:r>
      <w:r>
        <w:t>relation</w:t>
      </w:r>
      <w:r w:rsidR="003B65CF" w:rsidRPr="003B65CF">
        <w:t xml:space="preserve"> </w:t>
      </w:r>
      <w:r>
        <w:t>to</w:t>
      </w:r>
      <w:r w:rsidR="003B65CF" w:rsidRPr="003B65CF">
        <w:t xml:space="preserve"> </w:t>
      </w:r>
      <w:r>
        <w:t>a</w:t>
      </w:r>
      <w:r w:rsidR="003B65CF" w:rsidRPr="003B65CF">
        <w:t xml:space="preserve"> </w:t>
      </w:r>
      <w:r>
        <w:t>body</w:t>
      </w:r>
      <w:r w:rsidR="003B65CF" w:rsidRPr="003B65CF">
        <w:t xml:space="preserve"> </w:t>
      </w:r>
      <w:r>
        <w:t>corporate</w:t>
      </w:r>
      <w:r w:rsidRPr="007D3FB2">
        <w:t>,</w:t>
      </w:r>
      <w:r w:rsidR="003B65CF" w:rsidRPr="003B65CF">
        <w:t xml:space="preserve"> </w:t>
      </w:r>
      <w:r w:rsidRPr="007D3FB2">
        <w:t>means</w:t>
      </w:r>
      <w:r w:rsidR="003B65CF" w:rsidRPr="003B65CF">
        <w:t xml:space="preserve"> </w:t>
      </w:r>
      <w:r w:rsidRPr="007D3FB2">
        <w:t>a</w:t>
      </w:r>
      <w:r w:rsidR="003B65CF" w:rsidRPr="003B65CF">
        <w:t xml:space="preserve"> </w:t>
      </w:r>
      <w:r w:rsidRPr="007D3FB2">
        <w:t>director,</w:t>
      </w:r>
      <w:r w:rsidR="003B65CF" w:rsidRPr="003B65CF">
        <w:t xml:space="preserve"> </w:t>
      </w:r>
      <w:r w:rsidRPr="007D3FB2">
        <w:t>member</w:t>
      </w:r>
      <w:r w:rsidR="003B65CF" w:rsidRPr="003B65CF">
        <w:t xml:space="preserve"> </w:t>
      </w:r>
      <w:r w:rsidRPr="007D3FB2">
        <w:t>of</w:t>
      </w:r>
      <w:r w:rsidR="003B65CF" w:rsidRPr="003B65CF">
        <w:t xml:space="preserve"> </w:t>
      </w:r>
      <w:r w:rsidRPr="007D3FB2">
        <w:t>the</w:t>
      </w:r>
      <w:r w:rsidR="003B65CF" w:rsidRPr="003B65CF">
        <w:t xml:space="preserve"> </w:t>
      </w:r>
      <w:r w:rsidRPr="007D3FB2">
        <w:t>committee</w:t>
      </w:r>
      <w:r w:rsidR="003B65CF" w:rsidRPr="003B65CF">
        <w:t xml:space="preserve"> </w:t>
      </w:r>
      <w:r w:rsidRPr="007D3FB2">
        <w:t>of</w:t>
      </w:r>
      <w:r w:rsidR="003B65CF" w:rsidRPr="003B65CF">
        <w:t xml:space="preserve"> </w:t>
      </w:r>
      <w:r w:rsidRPr="007D3FB2">
        <w:t>management,</w:t>
      </w:r>
      <w:r w:rsidR="003B65CF" w:rsidRPr="003B65CF">
        <w:t xml:space="preserve"> </w:t>
      </w:r>
      <w:r w:rsidRPr="007D3FB2">
        <w:t>chief</w:t>
      </w:r>
      <w:r w:rsidR="003B65CF" w:rsidRPr="003B65CF">
        <w:t xml:space="preserve"> </w:t>
      </w:r>
      <w:r w:rsidRPr="007D3FB2">
        <w:t>executive,</w:t>
      </w:r>
      <w:r w:rsidR="003B65CF" w:rsidRPr="003B65CF">
        <w:t xml:space="preserve"> </w:t>
      </w:r>
      <w:r w:rsidRPr="007D3FB2">
        <w:t>manager,</w:t>
      </w:r>
      <w:r w:rsidR="003B65CF" w:rsidRPr="003B65CF">
        <w:t xml:space="preserve"> </w:t>
      </w:r>
      <w:r w:rsidRPr="007D3FB2">
        <w:t>secretary</w:t>
      </w:r>
      <w:r w:rsidR="003B65CF" w:rsidRPr="003B65CF">
        <w:t xml:space="preserve"> </w:t>
      </w:r>
      <w:r w:rsidRPr="007D3FB2">
        <w:t>or</w:t>
      </w:r>
      <w:r w:rsidR="003B65CF" w:rsidRPr="003B65CF">
        <w:t xml:space="preserve"> </w:t>
      </w:r>
      <w:r w:rsidRPr="007D3FB2">
        <w:t>other</w:t>
      </w:r>
      <w:r w:rsidR="003B65CF" w:rsidRPr="003B65CF">
        <w:t xml:space="preserve"> </w:t>
      </w:r>
      <w:r w:rsidRPr="007D3FB2">
        <w:t>similar</w:t>
      </w:r>
      <w:r w:rsidR="003B65CF" w:rsidRPr="003B65CF">
        <w:t xml:space="preserve"> </w:t>
      </w:r>
      <w:r w:rsidRPr="007D3FB2">
        <w:t>officer</w:t>
      </w:r>
      <w:r w:rsidR="003B65CF" w:rsidRPr="003B65CF">
        <w:t xml:space="preserve"> </w:t>
      </w:r>
      <w:r w:rsidRPr="007D3FB2">
        <w:t>of</w:t>
      </w:r>
      <w:r w:rsidR="003B65CF" w:rsidRPr="003B65CF">
        <w:t xml:space="preserve"> </w:t>
      </w:r>
      <w:r w:rsidRPr="007D3FB2">
        <w:t>the</w:t>
      </w:r>
      <w:r w:rsidR="003B65CF" w:rsidRPr="003B65CF">
        <w:t xml:space="preserve"> </w:t>
      </w:r>
      <w:r w:rsidRPr="007D3FB2">
        <w:t>body;</w:t>
      </w:r>
    </w:p>
    <w:p w:rsidR="003B65CF" w:rsidRDefault="007D3FB2" w:rsidP="00AE54C1">
      <w:pPr>
        <w:pStyle w:val="N3"/>
      </w:pPr>
      <w:r w:rsidRPr="007D3FB2">
        <w:t>in</w:t>
      </w:r>
      <w:r w:rsidR="003B65CF" w:rsidRPr="003B65CF">
        <w:t xml:space="preserve"> </w:t>
      </w:r>
      <w:r w:rsidRPr="007D3FB2">
        <w:t>relation</w:t>
      </w:r>
      <w:r w:rsidR="003B65CF" w:rsidRPr="003B65CF">
        <w:t xml:space="preserve"> </w:t>
      </w:r>
      <w:r w:rsidRPr="007D3FB2">
        <w:t>to</w:t>
      </w:r>
      <w:r w:rsidR="003B65CF" w:rsidRPr="003B65CF">
        <w:t xml:space="preserve"> </w:t>
      </w:r>
      <w:r w:rsidRPr="007D3FB2">
        <w:t>an</w:t>
      </w:r>
      <w:r w:rsidR="003B65CF" w:rsidRPr="003B65CF">
        <w:t xml:space="preserve"> </w:t>
      </w:r>
      <w:r w:rsidRPr="007D3FB2">
        <w:t>unincorporated</w:t>
      </w:r>
      <w:r w:rsidR="003B65CF" w:rsidRPr="003B65CF">
        <w:t xml:space="preserve"> </w:t>
      </w:r>
      <w:r w:rsidRPr="007D3FB2">
        <w:t>body,</w:t>
      </w:r>
      <w:r w:rsidR="003B65CF" w:rsidRPr="003B65CF">
        <w:t xml:space="preserve"> </w:t>
      </w:r>
      <w:r w:rsidRPr="007D3FB2">
        <w:t>means</w:t>
      </w:r>
      <w:r w:rsidR="003B65CF" w:rsidRPr="003B65CF">
        <w:t xml:space="preserve"> </w:t>
      </w:r>
      <w:r w:rsidRPr="007D3FB2">
        <w:t>any</w:t>
      </w:r>
      <w:r w:rsidR="003B65CF" w:rsidRPr="003B65CF">
        <w:t xml:space="preserve"> </w:t>
      </w:r>
      <w:r w:rsidRPr="007D3FB2">
        <w:t>member</w:t>
      </w:r>
      <w:r w:rsidR="003B65CF" w:rsidRPr="003B65CF">
        <w:t xml:space="preserve"> </w:t>
      </w:r>
      <w:r w:rsidRPr="007D3FB2">
        <w:t>of</w:t>
      </w:r>
      <w:r w:rsidR="003B65CF" w:rsidRPr="003B65CF">
        <w:t xml:space="preserve"> </w:t>
      </w:r>
      <w:r w:rsidRPr="007D3FB2">
        <w:t>its</w:t>
      </w:r>
      <w:r w:rsidR="003B65CF" w:rsidRPr="003B65CF">
        <w:t xml:space="preserve"> </w:t>
      </w:r>
      <w:r w:rsidRPr="007D3FB2">
        <w:t>governing</w:t>
      </w:r>
      <w:r w:rsidR="003B65CF" w:rsidRPr="003B65CF">
        <w:t xml:space="preserve"> </w:t>
      </w:r>
      <w:r w:rsidRPr="007D3FB2">
        <w:t>body</w:t>
      </w:r>
      <w:r w:rsidR="003B65CF" w:rsidRPr="003B65CF">
        <w:t xml:space="preserve"> </w:t>
      </w:r>
      <w:r w:rsidRPr="007D3FB2">
        <w:t>or</w:t>
      </w:r>
      <w:r w:rsidR="003B65CF" w:rsidRPr="003B65CF">
        <w:t xml:space="preserve"> </w:t>
      </w:r>
      <w:r w:rsidRPr="007D3FB2">
        <w:t>a</w:t>
      </w:r>
      <w:r w:rsidR="003B65CF" w:rsidRPr="003B65CF">
        <w:t xml:space="preserve"> </w:t>
      </w:r>
      <w:r w:rsidRPr="007D3FB2">
        <w:t>chief</w:t>
      </w:r>
      <w:r w:rsidR="003B65CF" w:rsidRPr="003B65CF">
        <w:t xml:space="preserve"> </w:t>
      </w:r>
      <w:r w:rsidRPr="007D3FB2">
        <w:t>executive,</w:t>
      </w:r>
      <w:r w:rsidR="003B65CF" w:rsidRPr="003B65CF">
        <w:t xml:space="preserve"> </w:t>
      </w:r>
      <w:r w:rsidRPr="007D3FB2">
        <w:t>manager</w:t>
      </w:r>
      <w:r w:rsidR="003B65CF" w:rsidRPr="003B65CF">
        <w:t xml:space="preserve"> </w:t>
      </w:r>
      <w:r w:rsidRPr="007D3FB2">
        <w:t>or</w:t>
      </w:r>
      <w:r w:rsidR="003B65CF" w:rsidRPr="003B65CF">
        <w:t xml:space="preserve"> </w:t>
      </w:r>
      <w:r w:rsidRPr="007D3FB2">
        <w:t>other</w:t>
      </w:r>
      <w:r w:rsidR="003B65CF" w:rsidRPr="003B65CF">
        <w:t xml:space="preserve"> </w:t>
      </w:r>
      <w:r w:rsidRPr="007D3FB2">
        <w:t>similar</w:t>
      </w:r>
      <w:r w:rsidR="003B65CF" w:rsidRPr="003B65CF">
        <w:t xml:space="preserve"> </w:t>
      </w:r>
      <w:r w:rsidRPr="007D3FB2">
        <w:t>officer</w:t>
      </w:r>
      <w:r w:rsidR="003B65CF" w:rsidRPr="003B65CF">
        <w:t xml:space="preserve"> </w:t>
      </w:r>
      <w:r w:rsidRPr="007D3FB2">
        <w:t>of</w:t>
      </w:r>
      <w:r w:rsidR="003B65CF" w:rsidRPr="003B65CF">
        <w:t xml:space="preserve"> </w:t>
      </w:r>
      <w:r w:rsidRPr="007D3FB2">
        <w:t>the</w:t>
      </w:r>
      <w:r w:rsidR="003B65CF" w:rsidRPr="003B65CF">
        <w:t xml:space="preserve"> </w:t>
      </w:r>
      <w:r w:rsidRPr="007D3FB2">
        <w:t>body</w:t>
      </w:r>
      <w:r>
        <w:t>;</w:t>
      </w:r>
    </w:p>
    <w:p w:rsidR="000D5015" w:rsidRDefault="007D3FB2" w:rsidP="00E86CDA">
      <w:pPr>
        <w:pStyle w:val="DefPara"/>
      </w:pPr>
      <w:r>
        <w:t>“premises”</w:t>
      </w:r>
      <w:r w:rsidR="003B65CF" w:rsidRPr="003B65CF">
        <w:t xml:space="preserve"> </w:t>
      </w:r>
      <w:r>
        <w:t>includes</w:t>
      </w:r>
      <w:r w:rsidR="003B65CF" w:rsidRPr="003B65CF">
        <w:t xml:space="preserve"> </w:t>
      </w:r>
      <w:r>
        <w:t>any</w:t>
      </w:r>
      <w:r w:rsidR="003B65CF" w:rsidRPr="003B65CF">
        <w:t xml:space="preserve"> </w:t>
      </w:r>
      <w:r>
        <w:t>place,</w:t>
      </w:r>
      <w:r w:rsidR="003B65CF" w:rsidRPr="003B65CF">
        <w:t xml:space="preserve"> </w:t>
      </w:r>
      <w:r>
        <w:t>vehicle</w:t>
      </w:r>
      <w:r w:rsidR="003B65CF" w:rsidRPr="003B65CF">
        <w:t xml:space="preserve"> </w:t>
      </w:r>
      <w:r>
        <w:t>or</w:t>
      </w:r>
      <w:r w:rsidR="003B65CF" w:rsidRPr="003B65CF">
        <w:t xml:space="preserve"> </w:t>
      </w:r>
      <w:r>
        <w:t>trailer,</w:t>
      </w:r>
      <w:r w:rsidR="003B65CF" w:rsidRPr="003B65CF">
        <w:t xml:space="preserve"> </w:t>
      </w:r>
      <w:r>
        <w:t>shipping</w:t>
      </w:r>
      <w:r w:rsidR="003B65CF" w:rsidRPr="003B65CF">
        <w:t xml:space="preserve"> </w:t>
      </w:r>
      <w:r>
        <w:t>container</w:t>
      </w:r>
      <w:r w:rsidR="003B65CF" w:rsidRPr="003B65CF">
        <w:t xml:space="preserve"> </w:t>
      </w:r>
      <w:r>
        <w:t>(whether</w:t>
      </w:r>
      <w:r w:rsidR="003B65CF" w:rsidRPr="003B65CF">
        <w:t xml:space="preserve"> </w:t>
      </w:r>
      <w:r>
        <w:t>used</w:t>
      </w:r>
      <w:r w:rsidR="003B65CF" w:rsidRPr="003B65CF">
        <w:t xml:space="preserve"> </w:t>
      </w:r>
      <w:r>
        <w:t>for</w:t>
      </w:r>
      <w:r w:rsidR="003B65CF" w:rsidRPr="003B65CF">
        <w:t xml:space="preserve"> </w:t>
      </w:r>
      <w:r>
        <w:t>transporting</w:t>
      </w:r>
      <w:r w:rsidR="003B65CF" w:rsidRPr="003B65CF">
        <w:t xml:space="preserve"> </w:t>
      </w:r>
      <w:r>
        <w:t>cargo</w:t>
      </w:r>
      <w:r w:rsidR="003B65CF" w:rsidRPr="003B65CF">
        <w:t xml:space="preserve"> </w:t>
      </w:r>
      <w:r>
        <w:t>or</w:t>
      </w:r>
      <w:r w:rsidR="003B65CF" w:rsidRPr="003B65CF">
        <w:t xml:space="preserve"> </w:t>
      </w:r>
      <w:r>
        <w:t>for</w:t>
      </w:r>
      <w:r w:rsidR="003B65CF" w:rsidRPr="003B65CF">
        <w:t xml:space="preserve"> </w:t>
      </w:r>
      <w:r>
        <w:t>storage),</w:t>
      </w:r>
      <w:r w:rsidR="003B65CF" w:rsidRPr="003B65CF">
        <w:t xml:space="preserve"> </w:t>
      </w:r>
      <w:r>
        <w:t>stall</w:t>
      </w:r>
      <w:r w:rsidR="003B65CF" w:rsidRPr="003B65CF">
        <w:t xml:space="preserve"> </w:t>
      </w:r>
      <w:r>
        <w:t>or</w:t>
      </w:r>
      <w:r w:rsidR="003B65CF" w:rsidRPr="003B65CF">
        <w:t xml:space="preserve"> </w:t>
      </w:r>
      <w:r>
        <w:t>moveable</w:t>
      </w:r>
      <w:r w:rsidR="003B65CF" w:rsidRPr="003B65CF">
        <w:t xml:space="preserve"> </w:t>
      </w:r>
      <w:r>
        <w:t>structure,</w:t>
      </w:r>
      <w:r w:rsidR="003B65CF" w:rsidRPr="003B65CF">
        <w:t xml:space="preserve"> </w:t>
      </w:r>
      <w:r>
        <w:t>and</w:t>
      </w:r>
      <w:r w:rsidR="003B65CF" w:rsidRPr="003B65CF">
        <w:t xml:space="preserve"> </w:t>
      </w:r>
      <w:r>
        <w:t>ship</w:t>
      </w:r>
      <w:r w:rsidR="003B65CF" w:rsidRPr="003B65CF">
        <w:t xml:space="preserve"> </w:t>
      </w:r>
      <w:r>
        <w:t>or</w:t>
      </w:r>
      <w:r w:rsidR="003B65CF" w:rsidRPr="003B65CF">
        <w:t xml:space="preserve"> </w:t>
      </w:r>
      <w:r>
        <w:t>aircraft;</w:t>
      </w:r>
    </w:p>
    <w:p w:rsidR="007D3FB2" w:rsidRDefault="007D3FB2" w:rsidP="007D3FB2">
      <w:pPr>
        <w:pStyle w:val="DefPara"/>
      </w:pPr>
      <w:r w:rsidRPr="007D3FB2">
        <w:t>“Regulation</w:t>
      </w:r>
      <w:r w:rsidR="003B65CF" w:rsidRPr="003B65CF">
        <w:t xml:space="preserve"> </w:t>
      </w:r>
      <w:r w:rsidRPr="007D3FB2">
        <w:t>(EU)</w:t>
      </w:r>
      <w:r w:rsidR="003B65CF" w:rsidRPr="003B65CF">
        <w:t xml:space="preserve"> </w:t>
      </w:r>
      <w:r w:rsidRPr="007D3FB2">
        <w:t>2019/787”</w:t>
      </w:r>
      <w:r w:rsidR="003B65CF" w:rsidRPr="003B65CF">
        <w:t xml:space="preserve"> </w:t>
      </w:r>
      <w:r w:rsidRPr="007D3FB2">
        <w:t>means</w:t>
      </w:r>
      <w:r w:rsidR="003B65CF" w:rsidRPr="003B65CF">
        <w:t xml:space="preserve"> </w:t>
      </w:r>
      <w:r w:rsidRPr="007D3FB2">
        <w:t>Regulation</w:t>
      </w:r>
      <w:r w:rsidR="003B65CF" w:rsidRPr="003B65CF">
        <w:t xml:space="preserve"> </w:t>
      </w:r>
      <w:r w:rsidRPr="007D3FB2">
        <w:t>(EU)</w:t>
      </w:r>
      <w:r w:rsidR="003B65CF" w:rsidRPr="003B65CF">
        <w:t xml:space="preserve"> </w:t>
      </w:r>
      <w:r w:rsidRPr="007D3FB2">
        <w:t>2019/787</w:t>
      </w:r>
      <w:r w:rsidR="003B65CF" w:rsidRPr="003B65CF">
        <w:t xml:space="preserve"> </w:t>
      </w:r>
      <w:r w:rsidRPr="007D3FB2">
        <w:t>of</w:t>
      </w:r>
      <w:r w:rsidR="003B65CF" w:rsidRPr="003B65CF">
        <w:t xml:space="preserve"> </w:t>
      </w:r>
      <w:r w:rsidRPr="007D3FB2">
        <w:t>the</w:t>
      </w:r>
      <w:r w:rsidR="003B65CF" w:rsidRPr="003B65CF">
        <w:t xml:space="preserve"> </w:t>
      </w:r>
      <w:r w:rsidRPr="007D3FB2">
        <w:t>European</w:t>
      </w:r>
      <w:r w:rsidR="003B65CF" w:rsidRPr="003B65CF">
        <w:t xml:space="preserve"> </w:t>
      </w:r>
      <w:r w:rsidRPr="007D3FB2">
        <w:t>Parliament</w:t>
      </w:r>
      <w:r w:rsidR="003B65CF" w:rsidRPr="003B65CF">
        <w:t xml:space="preserve"> </w:t>
      </w:r>
      <w:r w:rsidRPr="007D3FB2">
        <w:t>and</w:t>
      </w:r>
      <w:r w:rsidR="003B65CF" w:rsidRPr="003B65CF">
        <w:t xml:space="preserve"> </w:t>
      </w:r>
      <w:r w:rsidRPr="007D3FB2">
        <w:t>of</w:t>
      </w:r>
      <w:r w:rsidR="003B65CF" w:rsidRPr="003B65CF">
        <w:t xml:space="preserve"> </w:t>
      </w:r>
      <w:r w:rsidRPr="007D3FB2">
        <w:t>the</w:t>
      </w:r>
      <w:r w:rsidR="003B65CF" w:rsidRPr="003B65CF">
        <w:t xml:space="preserve"> </w:t>
      </w:r>
      <w:r w:rsidRPr="007D3FB2">
        <w:t>Council</w:t>
      </w:r>
      <w:r w:rsidR="003B65CF" w:rsidRPr="003B65CF">
        <w:t xml:space="preserve"> </w:t>
      </w:r>
      <w:r w:rsidRPr="007D3FB2">
        <w:t>on</w:t>
      </w:r>
      <w:r w:rsidR="003B65CF" w:rsidRPr="003B65CF">
        <w:t xml:space="preserve"> </w:t>
      </w:r>
      <w:r w:rsidRPr="007D3FB2">
        <w:t>the</w:t>
      </w:r>
      <w:r w:rsidR="003B65CF" w:rsidRPr="003B65CF">
        <w:t xml:space="preserve"> </w:t>
      </w:r>
      <w:r w:rsidRPr="007D3FB2">
        <w:t>definition,</w:t>
      </w:r>
      <w:r w:rsidR="003B65CF" w:rsidRPr="003B65CF">
        <w:t xml:space="preserve"> </w:t>
      </w:r>
      <w:r w:rsidRPr="007D3FB2">
        <w:t>description,</w:t>
      </w:r>
      <w:r w:rsidR="003B65CF" w:rsidRPr="003B65CF">
        <w:t xml:space="preserve"> </w:t>
      </w:r>
      <w:r w:rsidRPr="007D3FB2">
        <w:t>presentation</w:t>
      </w:r>
      <w:r w:rsidR="003B65CF" w:rsidRPr="003B65CF">
        <w:t xml:space="preserve"> </w:t>
      </w:r>
      <w:r w:rsidRPr="007D3FB2">
        <w:t>and</w:t>
      </w:r>
      <w:r w:rsidR="003B65CF" w:rsidRPr="003B65CF">
        <w:t xml:space="preserve"> </w:t>
      </w:r>
      <w:r w:rsidRPr="007D3FB2">
        <w:t>labelling</w:t>
      </w:r>
      <w:r w:rsidR="003B65CF" w:rsidRPr="003B65CF">
        <w:t xml:space="preserve"> </w:t>
      </w:r>
      <w:r w:rsidRPr="007D3FB2">
        <w:t>of</w:t>
      </w:r>
      <w:r w:rsidR="003B65CF" w:rsidRPr="003B65CF">
        <w:t xml:space="preserve"> </w:t>
      </w:r>
      <w:r w:rsidRPr="007D3FB2">
        <w:t>spirit</w:t>
      </w:r>
      <w:r w:rsidR="003B65CF" w:rsidRPr="003B65CF">
        <w:t xml:space="preserve"> </w:t>
      </w:r>
      <w:r w:rsidRPr="007D3FB2">
        <w:t>drinks,</w:t>
      </w:r>
      <w:r w:rsidR="003B65CF" w:rsidRPr="003B65CF">
        <w:t xml:space="preserve"> </w:t>
      </w:r>
      <w:r w:rsidRPr="007D3FB2">
        <w:t>the</w:t>
      </w:r>
      <w:r w:rsidR="003B65CF" w:rsidRPr="003B65CF">
        <w:t xml:space="preserve"> </w:t>
      </w:r>
      <w:r w:rsidRPr="007D3FB2">
        <w:t>use</w:t>
      </w:r>
      <w:r w:rsidR="003B65CF" w:rsidRPr="003B65CF">
        <w:t xml:space="preserve"> </w:t>
      </w:r>
      <w:r w:rsidRPr="007D3FB2">
        <w:t>of</w:t>
      </w:r>
      <w:r w:rsidR="003B65CF" w:rsidRPr="003B65CF">
        <w:t xml:space="preserve"> </w:t>
      </w:r>
      <w:r w:rsidRPr="007D3FB2">
        <w:t>the</w:t>
      </w:r>
      <w:r w:rsidR="003B65CF" w:rsidRPr="003B65CF">
        <w:t xml:space="preserve"> </w:t>
      </w:r>
      <w:r w:rsidRPr="007D3FB2">
        <w:t>names</w:t>
      </w:r>
      <w:r w:rsidR="003B65CF" w:rsidRPr="003B65CF">
        <w:t xml:space="preserve"> </w:t>
      </w:r>
      <w:r w:rsidRPr="007D3FB2">
        <w:t>of</w:t>
      </w:r>
      <w:r w:rsidR="003B65CF" w:rsidRPr="003B65CF">
        <w:t xml:space="preserve"> </w:t>
      </w:r>
      <w:r w:rsidRPr="007D3FB2">
        <w:t>spirit</w:t>
      </w:r>
      <w:r w:rsidR="003B65CF" w:rsidRPr="003B65CF">
        <w:t xml:space="preserve"> </w:t>
      </w:r>
      <w:r w:rsidRPr="007D3FB2">
        <w:t>drinks</w:t>
      </w:r>
      <w:r w:rsidR="003B65CF" w:rsidRPr="003B65CF">
        <w:t xml:space="preserve"> </w:t>
      </w:r>
      <w:r w:rsidRPr="007D3FB2">
        <w:t>in</w:t>
      </w:r>
      <w:r w:rsidR="003B65CF" w:rsidRPr="003B65CF">
        <w:t xml:space="preserve"> </w:t>
      </w:r>
      <w:r w:rsidRPr="007D3FB2">
        <w:t>the</w:t>
      </w:r>
      <w:r w:rsidR="003B65CF" w:rsidRPr="003B65CF">
        <w:t xml:space="preserve"> </w:t>
      </w:r>
      <w:r w:rsidRPr="007D3FB2">
        <w:t>presentation</w:t>
      </w:r>
      <w:r w:rsidR="003B65CF" w:rsidRPr="003B65CF">
        <w:t xml:space="preserve"> </w:t>
      </w:r>
      <w:r w:rsidRPr="007D3FB2">
        <w:t>and</w:t>
      </w:r>
      <w:r w:rsidR="003B65CF" w:rsidRPr="003B65CF">
        <w:t xml:space="preserve"> </w:t>
      </w:r>
      <w:r w:rsidRPr="007D3FB2">
        <w:t>labelling</w:t>
      </w:r>
      <w:r w:rsidR="003B65CF" w:rsidRPr="003B65CF">
        <w:t xml:space="preserve"> </w:t>
      </w:r>
      <w:r w:rsidRPr="007D3FB2">
        <w:t>of</w:t>
      </w:r>
      <w:r w:rsidR="003B65CF" w:rsidRPr="003B65CF">
        <w:t xml:space="preserve"> </w:t>
      </w:r>
      <w:r w:rsidRPr="007D3FB2">
        <w:t>other</w:t>
      </w:r>
      <w:r w:rsidR="003B65CF" w:rsidRPr="003B65CF">
        <w:t xml:space="preserve"> </w:t>
      </w:r>
      <w:r w:rsidRPr="007D3FB2">
        <w:t>foodstuffs,</w:t>
      </w:r>
      <w:r w:rsidR="003B65CF" w:rsidRPr="003B65CF">
        <w:t xml:space="preserve"> </w:t>
      </w:r>
      <w:r w:rsidRPr="007D3FB2">
        <w:t>the</w:t>
      </w:r>
      <w:r w:rsidR="003B65CF" w:rsidRPr="003B65CF">
        <w:t xml:space="preserve"> </w:t>
      </w:r>
      <w:r w:rsidRPr="007D3FB2">
        <w:t>protection</w:t>
      </w:r>
      <w:r w:rsidR="003B65CF" w:rsidRPr="003B65CF">
        <w:t xml:space="preserve"> </w:t>
      </w:r>
      <w:r w:rsidRPr="007D3FB2">
        <w:t>of</w:t>
      </w:r>
      <w:r w:rsidR="003B65CF" w:rsidRPr="003B65CF">
        <w:t xml:space="preserve"> </w:t>
      </w:r>
      <w:r w:rsidRPr="007D3FB2">
        <w:t>geographical</w:t>
      </w:r>
      <w:r w:rsidR="003B65CF" w:rsidRPr="003B65CF">
        <w:t xml:space="preserve"> </w:t>
      </w:r>
      <w:r w:rsidRPr="007D3FB2">
        <w:t>indications</w:t>
      </w:r>
      <w:r w:rsidR="003B65CF" w:rsidRPr="003B65CF">
        <w:t xml:space="preserve"> </w:t>
      </w:r>
      <w:r w:rsidRPr="007D3FB2">
        <w:t>for</w:t>
      </w:r>
      <w:r w:rsidR="003B65CF" w:rsidRPr="003B65CF">
        <w:t xml:space="preserve"> </w:t>
      </w:r>
      <w:r w:rsidRPr="007D3FB2">
        <w:t>spirit</w:t>
      </w:r>
      <w:r w:rsidR="003B65CF" w:rsidRPr="003B65CF">
        <w:t xml:space="preserve"> </w:t>
      </w:r>
      <w:r w:rsidRPr="007D3FB2">
        <w:t>drinks,</w:t>
      </w:r>
      <w:r w:rsidR="003B65CF" w:rsidRPr="003B65CF">
        <w:t xml:space="preserve"> </w:t>
      </w:r>
      <w:r w:rsidRPr="007D3FB2">
        <w:t>the</w:t>
      </w:r>
      <w:r w:rsidR="003B65CF" w:rsidRPr="003B65CF">
        <w:t xml:space="preserve"> </w:t>
      </w:r>
      <w:r w:rsidRPr="007D3FB2">
        <w:t>use</w:t>
      </w:r>
      <w:r w:rsidR="003B65CF" w:rsidRPr="003B65CF">
        <w:t xml:space="preserve"> </w:t>
      </w:r>
      <w:r w:rsidRPr="007D3FB2">
        <w:t>of</w:t>
      </w:r>
      <w:r w:rsidR="003B65CF" w:rsidRPr="003B65CF">
        <w:t xml:space="preserve"> </w:t>
      </w:r>
      <w:r w:rsidRPr="007D3FB2">
        <w:t>ethyl</w:t>
      </w:r>
      <w:r w:rsidR="003B65CF" w:rsidRPr="003B65CF">
        <w:t xml:space="preserve"> </w:t>
      </w:r>
      <w:r w:rsidRPr="007D3FB2">
        <w:t>alcohol</w:t>
      </w:r>
      <w:r w:rsidR="003B65CF" w:rsidRPr="003B65CF">
        <w:t xml:space="preserve"> </w:t>
      </w:r>
      <w:r w:rsidRPr="007D3FB2">
        <w:t>and</w:t>
      </w:r>
      <w:r w:rsidR="003B65CF" w:rsidRPr="003B65CF">
        <w:t xml:space="preserve"> </w:t>
      </w:r>
      <w:r w:rsidRPr="007D3FB2">
        <w:t>distillates</w:t>
      </w:r>
      <w:r w:rsidR="003B65CF" w:rsidRPr="003B65CF">
        <w:t xml:space="preserve"> </w:t>
      </w:r>
      <w:r w:rsidRPr="007D3FB2">
        <w:t>of</w:t>
      </w:r>
      <w:r w:rsidR="003B65CF" w:rsidRPr="003B65CF">
        <w:t xml:space="preserve"> </w:t>
      </w:r>
      <w:r w:rsidRPr="007D3FB2">
        <w:t>agricultural</w:t>
      </w:r>
      <w:r w:rsidR="003B65CF" w:rsidRPr="003B65CF">
        <w:t xml:space="preserve"> </w:t>
      </w:r>
      <w:r w:rsidRPr="007D3FB2">
        <w:t>origin</w:t>
      </w:r>
      <w:r w:rsidR="003B65CF" w:rsidRPr="003B65CF">
        <w:t xml:space="preserve"> </w:t>
      </w:r>
      <w:r w:rsidRPr="007D3FB2">
        <w:t>in</w:t>
      </w:r>
      <w:r w:rsidR="003B65CF" w:rsidRPr="003B65CF">
        <w:t xml:space="preserve"> </w:t>
      </w:r>
      <w:r w:rsidRPr="007D3FB2">
        <w:t>alcoholic</w:t>
      </w:r>
      <w:r w:rsidR="003B65CF" w:rsidRPr="003B65CF">
        <w:t xml:space="preserve"> </w:t>
      </w:r>
      <w:r w:rsidRPr="007D3FB2">
        <w:t>beverages,</w:t>
      </w:r>
      <w:r w:rsidR="003B65CF" w:rsidRPr="003B65CF">
        <w:t xml:space="preserve"> </w:t>
      </w:r>
      <w:r w:rsidRPr="007D3FB2">
        <w:t>and</w:t>
      </w:r>
      <w:r w:rsidR="003B65CF" w:rsidRPr="003B65CF">
        <w:t xml:space="preserve"> </w:t>
      </w:r>
      <w:r w:rsidRPr="007D3FB2">
        <w:t>repealing</w:t>
      </w:r>
      <w:r w:rsidR="003B65CF" w:rsidRPr="003B65CF">
        <w:t xml:space="preserve"> </w:t>
      </w:r>
      <w:r w:rsidRPr="007D3FB2">
        <w:t>Regulation</w:t>
      </w:r>
      <w:r w:rsidR="003B65CF" w:rsidRPr="003B65CF">
        <w:t xml:space="preserve"> </w:t>
      </w:r>
      <w:r w:rsidRPr="001A4CC4">
        <w:t>(EC)</w:t>
      </w:r>
      <w:r w:rsidR="003B65CF" w:rsidRPr="003B65CF">
        <w:t xml:space="preserve"> </w:t>
      </w:r>
      <w:r w:rsidRPr="001A4CC4">
        <w:t>No</w:t>
      </w:r>
      <w:r w:rsidR="003B65CF" w:rsidRPr="003B65CF">
        <w:t xml:space="preserve"> </w:t>
      </w:r>
      <w:r w:rsidRPr="001A4CC4">
        <w:t>110/2008</w:t>
      </w:r>
      <w:r w:rsidRPr="007D3FB2">
        <w:t>;</w:t>
      </w:r>
    </w:p>
    <w:p w:rsidR="004A3DCC" w:rsidRDefault="004A3DCC" w:rsidP="007D3FB2">
      <w:pPr>
        <w:pStyle w:val="DefPara"/>
      </w:pPr>
      <w:r>
        <w:t>“Regulation (EC) 936/2009” means Commission</w:t>
      </w:r>
      <w:r w:rsidRPr="003B65CF">
        <w:t xml:space="preserve"> </w:t>
      </w:r>
      <w:r>
        <w:t>Regulation</w:t>
      </w:r>
      <w:r w:rsidRPr="003B65CF">
        <w:t xml:space="preserve"> </w:t>
      </w:r>
      <w:r>
        <w:t>(EC)</w:t>
      </w:r>
      <w:r w:rsidRPr="003B65CF">
        <w:t xml:space="preserve"> </w:t>
      </w:r>
      <w:r>
        <w:t>936/2009(</w:t>
      </w:r>
      <w:r>
        <w:rPr>
          <w:rStyle w:val="FootnoteReference"/>
        </w:rPr>
        <w:footnoteReference w:id="5"/>
      </w:r>
      <w:r>
        <w:t>)</w:t>
      </w:r>
      <w:r w:rsidRPr="003B65CF">
        <w:t xml:space="preserve"> </w:t>
      </w:r>
      <w:r>
        <w:t>applying</w:t>
      </w:r>
      <w:r w:rsidRPr="003B65CF">
        <w:t xml:space="preserve"> </w:t>
      </w:r>
      <w:r>
        <w:t>the</w:t>
      </w:r>
      <w:r w:rsidRPr="003B65CF">
        <w:t xml:space="preserve"> </w:t>
      </w:r>
      <w:r>
        <w:t>agreements</w:t>
      </w:r>
      <w:r w:rsidRPr="003B65CF">
        <w:t xml:space="preserve"> </w:t>
      </w:r>
      <w:r>
        <w:t>between</w:t>
      </w:r>
      <w:r w:rsidRPr="003B65CF">
        <w:t xml:space="preserve"> </w:t>
      </w:r>
      <w:r>
        <w:t>the</w:t>
      </w:r>
      <w:r w:rsidRPr="003B65CF">
        <w:t xml:space="preserve"> </w:t>
      </w:r>
      <w:r>
        <w:t>European</w:t>
      </w:r>
      <w:r w:rsidRPr="003B65CF">
        <w:t xml:space="preserve"> </w:t>
      </w:r>
      <w:r>
        <w:t>Union</w:t>
      </w:r>
      <w:r w:rsidRPr="003B65CF">
        <w:t xml:space="preserve"> </w:t>
      </w:r>
      <w:r>
        <w:t>and</w:t>
      </w:r>
      <w:r w:rsidRPr="003B65CF">
        <w:t xml:space="preserve"> </w:t>
      </w:r>
      <w:r>
        <w:t>third</w:t>
      </w:r>
      <w:r w:rsidRPr="003B65CF">
        <w:t xml:space="preserve"> </w:t>
      </w:r>
      <w:r>
        <w:t>countries</w:t>
      </w:r>
      <w:r w:rsidRPr="003B65CF">
        <w:t xml:space="preserve"> </w:t>
      </w:r>
      <w:r>
        <w:t>on</w:t>
      </w:r>
      <w:r w:rsidRPr="003B65CF">
        <w:t xml:space="preserve"> </w:t>
      </w:r>
      <w:r>
        <w:t>the</w:t>
      </w:r>
      <w:r w:rsidRPr="003B65CF">
        <w:t xml:space="preserve"> </w:t>
      </w:r>
      <w:r>
        <w:t>mutual</w:t>
      </w:r>
      <w:r w:rsidRPr="003B65CF">
        <w:t xml:space="preserve"> </w:t>
      </w:r>
      <w:r>
        <w:t>recognition</w:t>
      </w:r>
      <w:r w:rsidRPr="003B65CF">
        <w:t xml:space="preserve"> </w:t>
      </w:r>
      <w:r>
        <w:t>of</w:t>
      </w:r>
      <w:r w:rsidRPr="003B65CF">
        <w:t xml:space="preserve"> </w:t>
      </w:r>
      <w:r>
        <w:t>certain</w:t>
      </w:r>
      <w:r w:rsidRPr="003B65CF">
        <w:t xml:space="preserve"> </w:t>
      </w:r>
      <w:r>
        <w:t>spirit</w:t>
      </w:r>
      <w:r w:rsidRPr="003B65CF">
        <w:t xml:space="preserve"> </w:t>
      </w:r>
      <w:r>
        <w:t>drinks;</w:t>
      </w:r>
    </w:p>
    <w:p w:rsidR="007D3FB2" w:rsidRDefault="007D3FB2" w:rsidP="007D3FB2">
      <w:pPr>
        <w:pStyle w:val="DefPara"/>
      </w:pPr>
      <w:r w:rsidRPr="007D3FB2">
        <w:t>“spirit</w:t>
      </w:r>
      <w:r w:rsidR="003B65CF" w:rsidRPr="003B65CF">
        <w:t xml:space="preserve"> </w:t>
      </w:r>
      <w:r w:rsidRPr="007D3FB2">
        <w:t>drink”</w:t>
      </w:r>
      <w:r w:rsidR="003B65CF" w:rsidRPr="003B65CF">
        <w:t xml:space="preserve"> </w:t>
      </w:r>
      <w:r w:rsidRPr="007D3FB2">
        <w:t>has</w:t>
      </w:r>
      <w:r w:rsidR="003B65CF" w:rsidRPr="003B65CF">
        <w:t xml:space="preserve"> </w:t>
      </w:r>
      <w:r w:rsidRPr="007D3FB2">
        <w:t>the</w:t>
      </w:r>
      <w:r w:rsidR="003B65CF" w:rsidRPr="003B65CF">
        <w:t xml:space="preserve"> </w:t>
      </w:r>
      <w:r w:rsidRPr="007D3FB2">
        <w:t>meaning</w:t>
      </w:r>
      <w:r w:rsidR="003B65CF" w:rsidRPr="003B65CF">
        <w:t xml:space="preserve"> </w:t>
      </w:r>
      <w:r w:rsidRPr="007D3FB2">
        <w:t>given</w:t>
      </w:r>
      <w:r w:rsidR="003B65CF" w:rsidRPr="003B65CF">
        <w:t xml:space="preserve"> </w:t>
      </w:r>
      <w:r w:rsidRPr="007D3FB2">
        <w:t>in</w:t>
      </w:r>
      <w:r w:rsidR="003B65CF" w:rsidRPr="003B65CF">
        <w:t xml:space="preserve"> </w:t>
      </w:r>
      <w:r w:rsidRPr="007D3FB2">
        <w:t>paragraph</w:t>
      </w:r>
      <w:r w:rsidR="003B65CF" w:rsidRPr="003B65CF">
        <w:t xml:space="preserve"> </w:t>
      </w:r>
      <w:r w:rsidRPr="007D3FB2">
        <w:t>(1)</w:t>
      </w:r>
      <w:r w:rsidR="003B65CF" w:rsidRPr="003B65CF">
        <w:t xml:space="preserve"> </w:t>
      </w:r>
      <w:r w:rsidRPr="007D3FB2">
        <w:t>of</w:t>
      </w:r>
      <w:r w:rsidR="003B65CF" w:rsidRPr="003B65CF">
        <w:t xml:space="preserve"> </w:t>
      </w:r>
      <w:r w:rsidRPr="007D3FB2">
        <w:t>Article</w:t>
      </w:r>
      <w:r w:rsidR="003B65CF" w:rsidRPr="003B65CF">
        <w:t xml:space="preserve"> </w:t>
      </w:r>
      <w:r w:rsidRPr="007D3FB2">
        <w:t>2</w:t>
      </w:r>
      <w:r w:rsidR="003B65CF" w:rsidRPr="003B65CF">
        <w:t xml:space="preserve"> </w:t>
      </w:r>
      <w:r w:rsidRPr="007D3FB2">
        <w:t>of</w:t>
      </w:r>
      <w:r w:rsidR="003B65CF" w:rsidRPr="003B65CF">
        <w:t xml:space="preserve"> </w:t>
      </w:r>
      <w:r w:rsidRPr="007D3FB2">
        <w:t>Regulation</w:t>
      </w:r>
      <w:r w:rsidR="003B65CF" w:rsidRPr="003B65CF">
        <w:t xml:space="preserve"> </w:t>
      </w:r>
      <w:r w:rsidRPr="007D3FB2">
        <w:t>(EU)</w:t>
      </w:r>
      <w:r w:rsidR="003B65CF" w:rsidRPr="003B65CF">
        <w:t xml:space="preserve"> </w:t>
      </w:r>
      <w:r w:rsidRPr="007D3FB2">
        <w:t>2019/787</w:t>
      </w:r>
      <w:r>
        <w:t>.</w:t>
      </w:r>
    </w:p>
    <w:p w:rsidR="007D3FB2" w:rsidRDefault="007D3FB2" w:rsidP="007D3FB2">
      <w:pPr>
        <w:pStyle w:val="N2"/>
      </w:pPr>
      <w:r w:rsidRPr="007D3FB2">
        <w:t>Other</w:t>
      </w:r>
      <w:r w:rsidR="003B65CF" w:rsidRPr="003B65CF">
        <w:t xml:space="preserve"> </w:t>
      </w:r>
      <w:r w:rsidRPr="007D3FB2">
        <w:t>expressions</w:t>
      </w:r>
      <w:r w:rsidR="003B65CF" w:rsidRPr="003B65CF">
        <w:t xml:space="preserve"> </w:t>
      </w:r>
      <w:r w:rsidRPr="007D3FB2">
        <w:t>used</w:t>
      </w:r>
      <w:r w:rsidR="003B65CF" w:rsidRPr="003B65CF">
        <w:t xml:space="preserve"> </w:t>
      </w:r>
      <w:r w:rsidRPr="007D3FB2">
        <w:t>in</w:t>
      </w:r>
      <w:r w:rsidR="003B65CF" w:rsidRPr="003B65CF">
        <w:t xml:space="preserve"> </w:t>
      </w:r>
      <w:r w:rsidRPr="007D3FB2">
        <w:t>these</w:t>
      </w:r>
      <w:r w:rsidR="003B65CF" w:rsidRPr="003B65CF">
        <w:t xml:space="preserve"> </w:t>
      </w:r>
      <w:r w:rsidRPr="007D3FB2">
        <w:t>Regulations</w:t>
      </w:r>
      <w:r w:rsidR="003B65CF" w:rsidRPr="003B65CF">
        <w:t xml:space="preserve"> </w:t>
      </w:r>
      <w:r w:rsidRPr="007D3FB2">
        <w:t>and</w:t>
      </w:r>
      <w:r w:rsidR="003B65CF" w:rsidRPr="003B65CF">
        <w:t xml:space="preserve"> </w:t>
      </w:r>
      <w:r w:rsidRPr="007D3FB2">
        <w:t>Regulation</w:t>
      </w:r>
      <w:r w:rsidR="003B65CF" w:rsidRPr="003B65CF">
        <w:t xml:space="preserve"> </w:t>
      </w:r>
      <w:r w:rsidRPr="007D3FB2">
        <w:t>(EU)</w:t>
      </w:r>
      <w:r w:rsidR="003B65CF" w:rsidRPr="003B65CF">
        <w:t xml:space="preserve"> </w:t>
      </w:r>
      <w:r w:rsidRPr="007D3FB2">
        <w:t>2019/787</w:t>
      </w:r>
      <w:r w:rsidR="003B65CF" w:rsidRPr="003B65CF">
        <w:t xml:space="preserve"> </w:t>
      </w:r>
      <w:r w:rsidRPr="007D3FB2">
        <w:t>have</w:t>
      </w:r>
      <w:r w:rsidR="003B65CF" w:rsidRPr="003B65CF">
        <w:t xml:space="preserve"> </w:t>
      </w:r>
      <w:r w:rsidRPr="007D3FB2">
        <w:t>their</w:t>
      </w:r>
      <w:r w:rsidR="003B65CF" w:rsidRPr="003B65CF">
        <w:t xml:space="preserve"> </w:t>
      </w:r>
      <w:r w:rsidRPr="007D3FB2">
        <w:t>meaning</w:t>
      </w:r>
      <w:r w:rsidR="003B65CF" w:rsidRPr="003B65CF">
        <w:t xml:space="preserve"> </w:t>
      </w:r>
      <w:r w:rsidRPr="007D3FB2">
        <w:t>in</w:t>
      </w:r>
      <w:r w:rsidR="003B65CF" w:rsidRPr="003B65CF">
        <w:t xml:space="preserve"> </w:t>
      </w:r>
      <w:r w:rsidRPr="007D3FB2">
        <w:t>Regulation</w:t>
      </w:r>
      <w:r w:rsidR="003B65CF" w:rsidRPr="003B65CF">
        <w:t xml:space="preserve"> </w:t>
      </w:r>
      <w:r w:rsidRPr="007D3FB2">
        <w:t>(EU)</w:t>
      </w:r>
      <w:r w:rsidR="003B65CF" w:rsidRPr="003B65CF">
        <w:t xml:space="preserve"> </w:t>
      </w:r>
      <w:r w:rsidRPr="007D3FB2">
        <w:t>2019/787</w:t>
      </w:r>
      <w:r>
        <w:t>.</w:t>
      </w:r>
    </w:p>
    <w:p w:rsidR="00AC2949" w:rsidRDefault="007D3FB2" w:rsidP="00AC2949">
      <w:pPr>
        <w:pStyle w:val="N2"/>
      </w:pPr>
      <w:r w:rsidRPr="007D3FB2">
        <w:t>Part</w:t>
      </w:r>
      <w:r w:rsidR="003B65CF" w:rsidRPr="003B65CF">
        <w:t xml:space="preserve"> </w:t>
      </w:r>
      <w:r w:rsidRPr="007D3FB2">
        <w:t>1</w:t>
      </w:r>
      <w:r w:rsidR="003B65CF" w:rsidRPr="003B65CF">
        <w:t xml:space="preserve"> </w:t>
      </w:r>
      <w:r w:rsidRPr="007D3FB2">
        <w:t>of</w:t>
      </w:r>
      <w:r w:rsidR="003B65CF" w:rsidRPr="003B65CF">
        <w:t xml:space="preserve"> </w:t>
      </w:r>
      <w:r w:rsidR="0073596D" w:rsidRPr="0073596D">
        <w:t>Schedule</w:t>
      </w:r>
      <w:r w:rsidR="003B65CF" w:rsidRPr="003B65CF">
        <w:t xml:space="preserve"> </w:t>
      </w:r>
      <w:r w:rsidR="0073596D" w:rsidRPr="0073596D">
        <w:t>1</w:t>
      </w:r>
      <w:r w:rsidR="003B65CF" w:rsidRPr="003B65CF">
        <w:t xml:space="preserve"> </w:t>
      </w:r>
      <w:r w:rsidRPr="007D3FB2">
        <w:t>applies</w:t>
      </w:r>
      <w:r w:rsidR="003B65CF" w:rsidRPr="003B65CF">
        <w:t xml:space="preserve"> </w:t>
      </w:r>
      <w:r w:rsidRPr="007D3FB2">
        <w:t>to</w:t>
      </w:r>
      <w:r w:rsidR="003B65CF" w:rsidRPr="003B65CF">
        <w:t xml:space="preserve"> </w:t>
      </w:r>
      <w:r w:rsidRPr="007D3FB2">
        <w:t>the</w:t>
      </w:r>
      <w:r w:rsidR="003B65CF" w:rsidRPr="003B65CF">
        <w:t xml:space="preserve"> </w:t>
      </w:r>
      <w:r w:rsidRPr="007D3FB2">
        <w:t>interpretat</w:t>
      </w:r>
      <w:r w:rsidR="00AC2949">
        <w:t>ion</w:t>
      </w:r>
      <w:r w:rsidR="003B65CF" w:rsidRPr="003B65CF">
        <w:t xml:space="preserve"> </w:t>
      </w:r>
      <w:r w:rsidR="00AC2949">
        <w:t>of</w:t>
      </w:r>
      <w:r w:rsidR="003B65CF" w:rsidRPr="003B65CF">
        <w:t xml:space="preserve"> </w:t>
      </w:r>
      <w:r w:rsidR="00AC2949">
        <w:t>Part</w:t>
      </w:r>
      <w:r w:rsidR="003B65CF" w:rsidRPr="003B65CF">
        <w:t xml:space="preserve"> </w:t>
      </w:r>
      <w:r w:rsidR="00AC2949">
        <w:t>2</w:t>
      </w:r>
      <w:r w:rsidR="003B65CF" w:rsidRPr="003B65CF">
        <w:t xml:space="preserve"> </w:t>
      </w:r>
      <w:r w:rsidR="00AC2949">
        <w:t>of</w:t>
      </w:r>
      <w:r w:rsidR="003B65CF" w:rsidRPr="003B65CF">
        <w:t xml:space="preserve"> </w:t>
      </w:r>
      <w:r w:rsidR="00AC2949">
        <w:t>that</w:t>
      </w:r>
      <w:r w:rsidR="003B65CF" w:rsidRPr="003B65CF">
        <w:t xml:space="preserve"> </w:t>
      </w:r>
      <w:r w:rsidR="00AC2949">
        <w:t>Schedule.</w:t>
      </w:r>
    </w:p>
    <w:p w:rsidR="00AC2949" w:rsidRDefault="00AC2949">
      <w:pPr>
        <w:pStyle w:val="Part"/>
        <w:rPr>
          <w:noProof/>
        </w:rPr>
      </w:pPr>
      <w:r>
        <w:t>PART</w:t>
      </w:r>
      <w:r w:rsidR="003B65CF" w:rsidRPr="003B65CF">
        <w:t xml:space="preserve"> </w:t>
      </w:r>
      <w:r>
        <w:rPr>
          <w:noProof/>
        </w:rPr>
        <w:fldChar w:fldCharType="begin"/>
      </w:r>
      <w:r>
        <w:rPr>
          <w:noProof/>
        </w:rPr>
        <w:instrText xml:space="preserve"> SEQ Part_ \* arabic </w:instrText>
      </w:r>
      <w:r>
        <w:rPr>
          <w:noProof/>
        </w:rPr>
        <w:fldChar w:fldCharType="separate"/>
      </w:r>
      <w:r w:rsidR="003B65CF">
        <w:rPr>
          <w:noProof/>
        </w:rPr>
        <w:t>2</w:t>
      </w:r>
      <w:r>
        <w:rPr>
          <w:noProof/>
        </w:rPr>
        <w:fldChar w:fldCharType="end"/>
      </w:r>
    </w:p>
    <w:p w:rsidR="00AC2949" w:rsidRPr="00AC2949" w:rsidRDefault="00AC2949" w:rsidP="00AC2949">
      <w:pPr>
        <w:pStyle w:val="PartHead"/>
      </w:pPr>
      <w:r>
        <w:t>Enforcement</w:t>
      </w:r>
      <w:r w:rsidR="003B65CF" w:rsidRPr="003B65CF">
        <w:t xml:space="preserve"> </w:t>
      </w:r>
      <w:r>
        <w:t>of</w:t>
      </w:r>
      <w:r w:rsidR="003B65CF" w:rsidRPr="003B65CF">
        <w:t xml:space="preserve"> </w:t>
      </w:r>
      <w:r>
        <w:t>European</w:t>
      </w:r>
      <w:r w:rsidR="003B65CF" w:rsidRPr="003B65CF">
        <w:t xml:space="preserve"> </w:t>
      </w:r>
      <w:r>
        <w:t>Union</w:t>
      </w:r>
      <w:r w:rsidR="003B65CF" w:rsidRPr="003B65CF">
        <w:t xml:space="preserve"> </w:t>
      </w:r>
      <w:r>
        <w:t>provisions</w:t>
      </w:r>
    </w:p>
    <w:p w:rsidR="007D3FB2" w:rsidRDefault="007D3FB2" w:rsidP="007D3FB2">
      <w:pPr>
        <w:pStyle w:val="H1"/>
      </w:pPr>
      <w:r>
        <w:t>Compliance</w:t>
      </w:r>
      <w:r w:rsidR="003B65CF" w:rsidRPr="003B65CF">
        <w:t xml:space="preserve"> </w:t>
      </w:r>
      <w:r>
        <w:t>with</w:t>
      </w:r>
      <w:r w:rsidR="003B65CF" w:rsidRPr="003B65CF">
        <w:t xml:space="preserve"> </w:t>
      </w:r>
      <w:r>
        <w:t>European</w:t>
      </w:r>
      <w:r w:rsidR="003B65CF" w:rsidRPr="003B65CF">
        <w:t xml:space="preserve"> </w:t>
      </w:r>
      <w:r>
        <w:t>Union</w:t>
      </w:r>
      <w:r w:rsidR="003B65CF" w:rsidRPr="003B65CF">
        <w:t xml:space="preserve"> </w:t>
      </w:r>
      <w:r>
        <w:t>provisions</w:t>
      </w:r>
    </w:p>
    <w:p w:rsidR="0073596D" w:rsidRDefault="0073596D" w:rsidP="0073596D">
      <w:pPr>
        <w:pStyle w:val="N1"/>
      </w:pPr>
      <w:r>
        <w:t>—</w:t>
      </w:r>
      <w:r>
        <w:fldChar w:fldCharType="begin"/>
      </w:r>
      <w:r>
        <w:instrText xml:space="preserve"> LISTNUM "SEQ1" \l 2 </w:instrText>
      </w:r>
      <w:r>
        <w:fldChar w:fldCharType="end">
          <w:numberingChange w:id="5" w:author="Boyd, Steve" w:date="2021-06-21T19:46:00Z" w:original="(1)"/>
        </w:fldChar>
      </w:r>
      <w:r w:rsidR="003B65CF" w:rsidRPr="003B65CF">
        <w:t> </w:t>
      </w:r>
      <w:r w:rsidRPr="0073596D">
        <w:t>A</w:t>
      </w:r>
      <w:r w:rsidR="003B65CF" w:rsidRPr="003B65CF">
        <w:t xml:space="preserve"> </w:t>
      </w:r>
      <w:r w:rsidRPr="0073596D">
        <w:t>person</w:t>
      </w:r>
      <w:r w:rsidR="003B65CF" w:rsidRPr="003B65CF">
        <w:t xml:space="preserve"> </w:t>
      </w:r>
      <w:r w:rsidRPr="0073596D">
        <w:t>is</w:t>
      </w:r>
      <w:r w:rsidR="003B65CF" w:rsidRPr="003B65CF">
        <w:t xml:space="preserve"> </w:t>
      </w:r>
      <w:r w:rsidRPr="0073596D">
        <w:t>guilty</w:t>
      </w:r>
      <w:r w:rsidR="003B65CF" w:rsidRPr="003B65CF">
        <w:t xml:space="preserve"> </w:t>
      </w:r>
      <w:r w:rsidRPr="0073596D">
        <w:t>of</w:t>
      </w:r>
      <w:r w:rsidR="003B65CF" w:rsidRPr="003B65CF">
        <w:t xml:space="preserve"> </w:t>
      </w:r>
      <w:r w:rsidRPr="0073596D">
        <w:t>an</w:t>
      </w:r>
      <w:r w:rsidR="003B65CF" w:rsidRPr="003B65CF">
        <w:t xml:space="preserve"> </w:t>
      </w:r>
      <w:r w:rsidRPr="0073596D">
        <w:t>offence</w:t>
      </w:r>
      <w:r w:rsidR="003B65CF" w:rsidRPr="003B65CF">
        <w:t xml:space="preserve"> </w:t>
      </w:r>
      <w:r w:rsidRPr="0073596D">
        <w:t>if</w:t>
      </w:r>
      <w:r w:rsidR="003B65CF" w:rsidRPr="003B65CF">
        <w:t xml:space="preserve"> </w:t>
      </w:r>
      <w:r w:rsidRPr="0073596D">
        <w:t>they</w:t>
      </w:r>
      <w:r w:rsidR="003B65CF" w:rsidRPr="003B65CF">
        <w:t xml:space="preserve"> </w:t>
      </w:r>
      <w:r w:rsidRPr="0073596D">
        <w:t>contravene</w:t>
      </w:r>
      <w:r w:rsidR="003B65CF" w:rsidRPr="003B65CF">
        <w:t xml:space="preserve"> </w:t>
      </w:r>
      <w:r w:rsidRPr="0073596D">
        <w:t>any</w:t>
      </w:r>
      <w:r w:rsidR="003B65CF" w:rsidRPr="003B65CF">
        <w:t xml:space="preserve"> </w:t>
      </w:r>
      <w:r w:rsidRPr="0073596D">
        <w:t>provision</w:t>
      </w:r>
      <w:r w:rsidR="003B65CF" w:rsidRPr="003B65CF">
        <w:t xml:space="preserve"> </w:t>
      </w:r>
      <w:r w:rsidRPr="0073596D">
        <w:t>of</w:t>
      </w:r>
      <w:r w:rsidR="003B65CF" w:rsidRPr="003B65CF">
        <w:t xml:space="preserve"> </w:t>
      </w:r>
      <w:r w:rsidRPr="0073596D">
        <w:t>Regulation</w:t>
      </w:r>
      <w:r w:rsidR="003B65CF" w:rsidRPr="003B65CF">
        <w:t xml:space="preserve"> </w:t>
      </w:r>
      <w:r w:rsidRPr="0073596D">
        <w:t>(EU)</w:t>
      </w:r>
      <w:r w:rsidR="003B65CF" w:rsidRPr="003B65CF">
        <w:t xml:space="preserve"> </w:t>
      </w:r>
      <w:r w:rsidRPr="0073596D">
        <w:t>2019/787</w:t>
      </w:r>
      <w:r w:rsidR="003B65CF" w:rsidRPr="003B65CF">
        <w:t xml:space="preserve"> </w:t>
      </w:r>
      <w:r w:rsidRPr="0073596D">
        <w:t>mentioned</w:t>
      </w:r>
      <w:r w:rsidR="003B65CF" w:rsidRPr="003B65CF">
        <w:t xml:space="preserve"> </w:t>
      </w:r>
      <w:r w:rsidRPr="0073596D">
        <w:t>in</w:t>
      </w:r>
      <w:r w:rsidR="003B65CF" w:rsidRPr="003B65CF">
        <w:t xml:space="preserve"> </w:t>
      </w:r>
      <w:r>
        <w:t>column</w:t>
      </w:r>
      <w:r w:rsidR="003B65CF" w:rsidRPr="003B65CF">
        <w:t xml:space="preserve"> </w:t>
      </w:r>
      <w:r>
        <w:t>1</w:t>
      </w:r>
      <w:r w:rsidR="003B65CF" w:rsidRPr="003B65CF">
        <w:t xml:space="preserve"> </w:t>
      </w:r>
      <w:r>
        <w:t>of</w:t>
      </w:r>
      <w:r w:rsidR="003B65CF" w:rsidRPr="003B65CF">
        <w:t xml:space="preserve"> </w:t>
      </w:r>
      <w:r>
        <w:t>Part</w:t>
      </w:r>
      <w:r w:rsidR="003B65CF" w:rsidRPr="003B65CF">
        <w:t xml:space="preserve"> </w:t>
      </w:r>
      <w:r>
        <w:t>2</w:t>
      </w:r>
      <w:r w:rsidR="003B65CF" w:rsidRPr="003B65CF">
        <w:t xml:space="preserve"> </w:t>
      </w:r>
      <w:r>
        <w:t>of</w:t>
      </w:r>
      <w:r w:rsidR="003B65CF" w:rsidRPr="003B65CF">
        <w:t xml:space="preserve"> </w:t>
      </w:r>
      <w:r>
        <w:t>Schedule</w:t>
      </w:r>
      <w:r w:rsidR="003B65CF" w:rsidRPr="003B65CF">
        <w:t xml:space="preserve"> </w:t>
      </w:r>
      <w:r>
        <w:t>1</w:t>
      </w:r>
      <w:r w:rsidR="003B65CF" w:rsidRPr="003B65CF">
        <w:t xml:space="preserve"> </w:t>
      </w:r>
      <w:r w:rsidRPr="0073596D">
        <w:t>as</w:t>
      </w:r>
      <w:r w:rsidR="003B65CF" w:rsidRPr="003B65CF">
        <w:t xml:space="preserve"> </w:t>
      </w:r>
      <w:r w:rsidRPr="0073596D">
        <w:t>read</w:t>
      </w:r>
      <w:r w:rsidR="003B65CF" w:rsidRPr="003B65CF">
        <w:t xml:space="preserve"> </w:t>
      </w:r>
      <w:r w:rsidRPr="0073596D">
        <w:t>with</w:t>
      </w:r>
      <w:r w:rsidR="003B65CF" w:rsidRPr="003B65CF">
        <w:t xml:space="preserve"> </w:t>
      </w:r>
      <w:r w:rsidRPr="0073596D">
        <w:t>any</w:t>
      </w:r>
      <w:r w:rsidR="003B65CF" w:rsidRPr="003B65CF">
        <w:t xml:space="preserve"> </w:t>
      </w:r>
      <w:r w:rsidRPr="0073596D">
        <w:t>provision</w:t>
      </w:r>
      <w:r w:rsidR="003B65CF" w:rsidRPr="003B65CF">
        <w:t xml:space="preserve"> </w:t>
      </w:r>
      <w:r w:rsidRPr="0073596D">
        <w:t>mentioned</w:t>
      </w:r>
      <w:r w:rsidR="003B65CF" w:rsidRPr="003B65CF">
        <w:t xml:space="preserve"> </w:t>
      </w:r>
      <w:r w:rsidRPr="0073596D">
        <w:t>in</w:t>
      </w:r>
      <w:r w:rsidR="003B65CF" w:rsidRPr="003B65CF">
        <w:t xml:space="preserve"> </w:t>
      </w:r>
      <w:r w:rsidRPr="0073596D">
        <w:t>any</w:t>
      </w:r>
      <w:r w:rsidR="003B65CF" w:rsidRPr="003B65CF">
        <w:t xml:space="preserve"> </w:t>
      </w:r>
      <w:r w:rsidRPr="0073596D">
        <w:t>corresponding</w:t>
      </w:r>
      <w:r w:rsidR="003B65CF" w:rsidRPr="003B65CF">
        <w:t xml:space="preserve"> </w:t>
      </w:r>
      <w:r w:rsidRPr="0073596D">
        <w:t>entry</w:t>
      </w:r>
      <w:r w:rsidR="003B65CF" w:rsidRPr="003B65CF">
        <w:t xml:space="preserve"> </w:t>
      </w:r>
      <w:r w:rsidRPr="0073596D">
        <w:t>in</w:t>
      </w:r>
      <w:r w:rsidR="003B65CF" w:rsidRPr="003B65CF">
        <w:t xml:space="preserve"> </w:t>
      </w:r>
      <w:r w:rsidRPr="0073596D">
        <w:t>column</w:t>
      </w:r>
      <w:r w:rsidR="003B65CF" w:rsidRPr="003B65CF">
        <w:t xml:space="preserve"> </w:t>
      </w:r>
      <w:r w:rsidRPr="0073596D">
        <w:t>2</w:t>
      </w:r>
      <w:r w:rsidR="003B65CF" w:rsidRPr="003B65CF">
        <w:t xml:space="preserve"> </w:t>
      </w:r>
      <w:r w:rsidRPr="0073596D">
        <w:t>of</w:t>
      </w:r>
      <w:r w:rsidR="003B65CF" w:rsidRPr="003B65CF">
        <w:t xml:space="preserve"> </w:t>
      </w:r>
      <w:r w:rsidRPr="0073596D">
        <w:t>that</w:t>
      </w:r>
      <w:r w:rsidR="003B65CF" w:rsidRPr="003B65CF">
        <w:t xml:space="preserve"> </w:t>
      </w:r>
      <w:r w:rsidRPr="0073596D">
        <w:t>Part</w:t>
      </w:r>
      <w:r w:rsidR="003B65CF" w:rsidRPr="003B65CF">
        <w:t xml:space="preserve"> </w:t>
      </w:r>
      <w:r w:rsidRPr="0073596D">
        <w:t>of</w:t>
      </w:r>
      <w:r w:rsidR="003B65CF" w:rsidRPr="003B65CF">
        <w:t xml:space="preserve"> </w:t>
      </w:r>
      <w:r w:rsidRPr="0073596D">
        <w:t>that</w:t>
      </w:r>
      <w:r w:rsidR="003B65CF" w:rsidRPr="003B65CF">
        <w:t xml:space="preserve"> </w:t>
      </w:r>
      <w:r w:rsidRPr="0073596D">
        <w:t>Schedule</w:t>
      </w:r>
      <w:r>
        <w:t>.</w:t>
      </w:r>
    </w:p>
    <w:p w:rsidR="003B65CF" w:rsidRDefault="0019407B" w:rsidP="00672658">
      <w:pPr>
        <w:pStyle w:val="N2"/>
      </w:pPr>
      <w:r>
        <w:t>But</w:t>
      </w:r>
      <w:r w:rsidR="003B65CF" w:rsidRPr="003B65CF">
        <w:t xml:space="preserve"> </w:t>
      </w:r>
      <w:r>
        <w:t>paragraph</w:t>
      </w:r>
      <w:r w:rsidR="003B65CF" w:rsidRPr="003B65CF">
        <w:t xml:space="preserve"> </w:t>
      </w:r>
      <w:r>
        <w:t>(1)</w:t>
      </w:r>
      <w:r w:rsidR="003B65CF" w:rsidRPr="003B65CF">
        <w:t xml:space="preserve"> </w:t>
      </w:r>
      <w:r w:rsidR="00672658">
        <w:t>do</w:t>
      </w:r>
      <w:r>
        <w:t>es</w:t>
      </w:r>
      <w:r w:rsidR="003B65CF" w:rsidRPr="003B65CF">
        <w:t xml:space="preserve"> </w:t>
      </w:r>
      <w:r w:rsidR="00672658">
        <w:t>not</w:t>
      </w:r>
      <w:r w:rsidR="003B65CF" w:rsidRPr="003B65CF">
        <w:t xml:space="preserve"> </w:t>
      </w:r>
      <w:r w:rsidR="00672658">
        <w:t>apply—</w:t>
      </w:r>
    </w:p>
    <w:p w:rsidR="00672658" w:rsidRDefault="00672658" w:rsidP="00672658">
      <w:pPr>
        <w:pStyle w:val="N3"/>
      </w:pPr>
      <w:r>
        <w:t>to</w:t>
      </w:r>
      <w:r w:rsidR="003B65CF" w:rsidRPr="003B65CF">
        <w:t xml:space="preserve"> </w:t>
      </w:r>
      <w:r>
        <w:t>the</w:t>
      </w:r>
      <w:r w:rsidR="003B65CF" w:rsidRPr="003B65CF">
        <w:t xml:space="preserve"> </w:t>
      </w:r>
      <w:r>
        <w:t>production</w:t>
      </w:r>
      <w:r w:rsidR="003B65CF" w:rsidRPr="003B65CF">
        <w:t xml:space="preserve"> </w:t>
      </w:r>
      <w:r>
        <w:t>of</w:t>
      </w:r>
      <w:r w:rsidR="003B65CF" w:rsidRPr="003B65CF">
        <w:t xml:space="preserve"> </w:t>
      </w:r>
      <w:r>
        <w:t>a</w:t>
      </w:r>
      <w:r w:rsidR="003B65CF" w:rsidRPr="003B65CF">
        <w:t xml:space="preserve"> </w:t>
      </w:r>
      <w:r>
        <w:t>spirit</w:t>
      </w:r>
      <w:r w:rsidR="003B65CF" w:rsidRPr="003B65CF">
        <w:t xml:space="preserve"> </w:t>
      </w:r>
      <w:r>
        <w:t>drink</w:t>
      </w:r>
      <w:r w:rsidR="003B65CF" w:rsidRPr="003B65CF">
        <w:t xml:space="preserve"> </w:t>
      </w:r>
      <w:r>
        <w:t>that</w:t>
      </w:r>
      <w:r w:rsidR="003B65CF" w:rsidRPr="003B65CF">
        <w:t xml:space="preserve"> </w:t>
      </w:r>
      <w:r>
        <w:t>is</w:t>
      </w:r>
      <w:r w:rsidR="003B65CF" w:rsidRPr="003B65CF">
        <w:t xml:space="preserve"> </w:t>
      </w:r>
      <w:r>
        <w:t>produced</w:t>
      </w:r>
      <w:r w:rsidR="003B65CF" w:rsidRPr="003B65CF">
        <w:t xml:space="preserve"> </w:t>
      </w:r>
      <w:r>
        <w:t>on</w:t>
      </w:r>
      <w:r w:rsidR="003B65CF" w:rsidRPr="003B65CF">
        <w:t xml:space="preserve"> </w:t>
      </w:r>
      <w:r>
        <w:t>or</w:t>
      </w:r>
      <w:r w:rsidR="003B65CF" w:rsidRPr="003B65CF">
        <w:t xml:space="preserve"> </w:t>
      </w:r>
      <w:r>
        <w:t>before</w:t>
      </w:r>
      <w:r w:rsidR="003B65CF" w:rsidRPr="003B65CF">
        <w:t xml:space="preserve"> </w:t>
      </w:r>
      <w:r>
        <w:t>19th</w:t>
      </w:r>
      <w:r w:rsidR="003B65CF" w:rsidRPr="003B65CF">
        <w:t xml:space="preserve"> </w:t>
      </w:r>
      <w:r>
        <w:t>May</w:t>
      </w:r>
      <w:r w:rsidR="003B65CF" w:rsidRPr="003B65CF">
        <w:t xml:space="preserve"> </w:t>
      </w:r>
      <w:r>
        <w:t>2009</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the</w:t>
      </w:r>
      <w:r w:rsidR="003B65CF" w:rsidRPr="003B65CF">
        <w:t xml:space="preserve"> </w:t>
      </w:r>
      <w:r>
        <w:t>requirements</w:t>
      </w:r>
      <w:r w:rsidR="003B65CF" w:rsidRPr="003B65CF">
        <w:t xml:space="preserve"> </w:t>
      </w:r>
      <w:r>
        <w:t>of—</w:t>
      </w:r>
    </w:p>
    <w:p w:rsidR="00672658" w:rsidRDefault="00672658" w:rsidP="00672658">
      <w:pPr>
        <w:pStyle w:val="N4"/>
      </w:pPr>
      <w:r>
        <w:t>Council</w:t>
      </w:r>
      <w:r w:rsidR="003B65CF" w:rsidRPr="003B65CF">
        <w:t xml:space="preserve"> </w:t>
      </w:r>
      <w:r>
        <w:t>Regulation</w:t>
      </w:r>
      <w:r w:rsidR="003B65CF" w:rsidRPr="003B65CF">
        <w:t xml:space="preserve"> </w:t>
      </w:r>
      <w:r>
        <w:t>(EEC)</w:t>
      </w:r>
      <w:r w:rsidR="003B65CF" w:rsidRPr="003B65CF">
        <w:t xml:space="preserve"> </w:t>
      </w:r>
      <w:r>
        <w:t>No</w:t>
      </w:r>
      <w:r w:rsidR="003B65CF" w:rsidRPr="003B65CF">
        <w:t xml:space="preserve"> </w:t>
      </w:r>
      <w:r>
        <w:t>1576/89(</w:t>
      </w:r>
      <w:r>
        <w:rPr>
          <w:rStyle w:val="FootnoteReference"/>
        </w:rPr>
        <w:footnoteReference w:id="6"/>
      </w:r>
      <w:r>
        <w:t>)</w:t>
      </w:r>
      <w:r w:rsidR="003B65CF" w:rsidRPr="003B65CF">
        <w:t xml:space="preserve"> </w:t>
      </w:r>
      <w:r>
        <w:t>laying</w:t>
      </w:r>
      <w:r w:rsidR="003B65CF" w:rsidRPr="003B65CF">
        <w:t xml:space="preserve"> </w:t>
      </w:r>
      <w:r>
        <w:t>down</w:t>
      </w:r>
      <w:r w:rsidR="003B65CF" w:rsidRPr="003B65CF">
        <w:t xml:space="preserve"> </w:t>
      </w:r>
      <w:r>
        <w:t>general</w:t>
      </w:r>
      <w:r w:rsidR="003B65CF" w:rsidRPr="003B65CF">
        <w:t xml:space="preserve"> </w:t>
      </w:r>
      <w:r>
        <w:t>rules</w:t>
      </w:r>
      <w:r w:rsidR="003B65CF" w:rsidRPr="003B65CF">
        <w:t xml:space="preserve"> </w:t>
      </w:r>
      <w:r>
        <w:t>on</w:t>
      </w:r>
      <w:r w:rsidR="003B65CF" w:rsidRPr="003B65CF">
        <w:t xml:space="preserve"> </w:t>
      </w:r>
      <w:r>
        <w:t>the</w:t>
      </w:r>
      <w:r w:rsidR="003B65CF" w:rsidRPr="003B65CF">
        <w:t xml:space="preserve"> </w:t>
      </w:r>
      <w:r>
        <w:t>definition,</w:t>
      </w:r>
      <w:r w:rsidR="003B65CF" w:rsidRPr="003B65CF">
        <w:t xml:space="preserve"> </w:t>
      </w:r>
      <w:r>
        <w:t>description</w:t>
      </w:r>
      <w:r w:rsidR="003B65CF" w:rsidRPr="003B65CF">
        <w:t xml:space="preserve"> </w:t>
      </w:r>
      <w:r>
        <w:t>and</w:t>
      </w:r>
      <w:r w:rsidR="003B65CF" w:rsidRPr="003B65CF">
        <w:t xml:space="preserve"> </w:t>
      </w:r>
      <w:r>
        <w:t>presentation</w:t>
      </w:r>
      <w:r w:rsidR="003B65CF" w:rsidRPr="003B65CF">
        <w:t xml:space="preserve"> </w:t>
      </w:r>
      <w:r>
        <w:t>of</w:t>
      </w:r>
      <w:r w:rsidR="003B65CF" w:rsidRPr="003B65CF">
        <w:t xml:space="preserve"> </w:t>
      </w:r>
      <w:r>
        <w:t>spirit</w:t>
      </w:r>
      <w:r w:rsidR="003B65CF" w:rsidRPr="003B65CF">
        <w:t xml:space="preserve"> </w:t>
      </w:r>
      <w:r>
        <w:t>drinks</w:t>
      </w:r>
      <w:r w:rsidR="0057121E">
        <w:t>,</w:t>
      </w:r>
      <w:r w:rsidR="003B65CF" w:rsidRPr="003B65CF">
        <w:t xml:space="preserve"> </w:t>
      </w:r>
      <w:r>
        <w:t>and</w:t>
      </w:r>
    </w:p>
    <w:p w:rsidR="00672658" w:rsidRDefault="00672658" w:rsidP="00672658">
      <w:pPr>
        <w:pStyle w:val="N4"/>
      </w:pPr>
      <w:r>
        <w:t>Commission</w:t>
      </w:r>
      <w:r w:rsidR="003B65CF" w:rsidRPr="003B65CF">
        <w:t xml:space="preserve"> </w:t>
      </w:r>
      <w:r>
        <w:t>Regulation</w:t>
      </w:r>
      <w:r w:rsidR="003B65CF" w:rsidRPr="003B65CF">
        <w:t xml:space="preserve"> </w:t>
      </w:r>
      <w:r>
        <w:t>(EEC)</w:t>
      </w:r>
      <w:r w:rsidR="003B65CF" w:rsidRPr="003B65CF">
        <w:t xml:space="preserve"> </w:t>
      </w:r>
      <w:r>
        <w:t>No</w:t>
      </w:r>
      <w:r w:rsidR="003B65CF" w:rsidRPr="003B65CF">
        <w:t xml:space="preserve"> </w:t>
      </w:r>
      <w:r>
        <w:t>1014/90(</w:t>
      </w:r>
      <w:r>
        <w:rPr>
          <w:rStyle w:val="FootnoteReference"/>
        </w:rPr>
        <w:footnoteReference w:id="7"/>
      </w:r>
      <w:r>
        <w:t>)</w:t>
      </w:r>
      <w:r w:rsidR="003B65CF" w:rsidRPr="003B65CF">
        <w:t xml:space="preserve"> </w:t>
      </w:r>
      <w:r>
        <w:t>laying</w:t>
      </w:r>
      <w:r w:rsidR="003B65CF" w:rsidRPr="003B65CF">
        <w:t xml:space="preserve"> </w:t>
      </w:r>
      <w:r>
        <w:t>down</w:t>
      </w:r>
      <w:r w:rsidR="003B65CF" w:rsidRPr="003B65CF">
        <w:t xml:space="preserve"> </w:t>
      </w:r>
      <w:r>
        <w:t>detailed</w:t>
      </w:r>
      <w:r w:rsidR="003B65CF" w:rsidRPr="003B65CF">
        <w:t xml:space="preserve"> </w:t>
      </w:r>
      <w:r>
        <w:t>implementing</w:t>
      </w:r>
      <w:r w:rsidR="003B65CF" w:rsidRPr="003B65CF">
        <w:t xml:space="preserve"> </w:t>
      </w:r>
      <w:r>
        <w:t>rules</w:t>
      </w:r>
      <w:r w:rsidR="003B65CF" w:rsidRPr="003B65CF">
        <w:t xml:space="preserve"> </w:t>
      </w:r>
      <w:r>
        <w:t>on</w:t>
      </w:r>
      <w:r w:rsidR="003B65CF" w:rsidRPr="003B65CF">
        <w:t xml:space="preserve"> </w:t>
      </w:r>
      <w:r>
        <w:t>the</w:t>
      </w:r>
      <w:r w:rsidR="003B65CF" w:rsidRPr="003B65CF">
        <w:t xml:space="preserve"> </w:t>
      </w:r>
      <w:r>
        <w:t>definition,</w:t>
      </w:r>
      <w:r w:rsidR="003B65CF" w:rsidRPr="003B65CF">
        <w:t xml:space="preserve"> </w:t>
      </w:r>
      <w:r>
        <w:t>description</w:t>
      </w:r>
      <w:r w:rsidR="003B65CF" w:rsidRPr="003B65CF">
        <w:t xml:space="preserve"> </w:t>
      </w:r>
      <w:r>
        <w:t>and</w:t>
      </w:r>
      <w:r w:rsidR="003B65CF" w:rsidRPr="003B65CF">
        <w:t xml:space="preserve"> </w:t>
      </w:r>
      <w:r>
        <w:t>presentation</w:t>
      </w:r>
      <w:r w:rsidR="003B65CF" w:rsidRPr="003B65CF">
        <w:t xml:space="preserve"> </w:t>
      </w:r>
      <w:r>
        <w:t>of</w:t>
      </w:r>
      <w:r w:rsidR="003B65CF" w:rsidRPr="003B65CF">
        <w:t xml:space="preserve"> </w:t>
      </w:r>
      <w:r>
        <w:t>spirit</w:t>
      </w:r>
      <w:r w:rsidR="003B65CF" w:rsidRPr="003B65CF">
        <w:t xml:space="preserve"> </w:t>
      </w:r>
      <w:r>
        <w:t>drinks;</w:t>
      </w:r>
    </w:p>
    <w:p w:rsidR="00672658" w:rsidRDefault="00672658" w:rsidP="00672658">
      <w:pPr>
        <w:pStyle w:val="N3"/>
      </w:pPr>
      <w:r>
        <w:t>to</w:t>
      </w:r>
      <w:r w:rsidR="003B65CF" w:rsidRPr="003B65CF">
        <w:t xml:space="preserve"> </w:t>
      </w:r>
      <w:r>
        <w:t>the</w:t>
      </w:r>
      <w:r w:rsidR="003B65CF" w:rsidRPr="003B65CF">
        <w:t xml:space="preserve"> </w:t>
      </w:r>
      <w:r>
        <w:t>marketing</w:t>
      </w:r>
      <w:r w:rsidR="003B65CF" w:rsidRPr="003B65CF">
        <w:t xml:space="preserve"> </w:t>
      </w:r>
      <w:r>
        <w:t>of</w:t>
      </w:r>
      <w:r w:rsidR="003B65CF" w:rsidRPr="003B65CF">
        <w:t xml:space="preserve"> </w:t>
      </w:r>
      <w:r>
        <w:t>a</w:t>
      </w:r>
      <w:r w:rsidR="003B65CF" w:rsidRPr="003B65CF">
        <w:t xml:space="preserve"> </w:t>
      </w:r>
      <w:r>
        <w:t>spirit</w:t>
      </w:r>
      <w:r w:rsidR="003B65CF" w:rsidRPr="003B65CF">
        <w:t xml:space="preserve"> </w:t>
      </w:r>
      <w:r>
        <w:t>drink</w:t>
      </w:r>
      <w:r w:rsidR="003B65CF" w:rsidRPr="003B65CF">
        <w:t xml:space="preserve"> </w:t>
      </w:r>
      <w:r>
        <w:t>produced</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the</w:t>
      </w:r>
      <w:r w:rsidR="003B65CF" w:rsidRPr="003B65CF">
        <w:t xml:space="preserve"> </w:t>
      </w:r>
      <w:r>
        <w:t>requirements</w:t>
      </w:r>
      <w:r w:rsidR="003B65CF" w:rsidRPr="003B65CF">
        <w:t xml:space="preserve"> </w:t>
      </w:r>
      <w:r>
        <w:t>of</w:t>
      </w:r>
      <w:r w:rsidR="003B65CF" w:rsidRPr="003B65CF">
        <w:t xml:space="preserve"> </w:t>
      </w:r>
      <w:r>
        <w:t>Council</w:t>
      </w:r>
      <w:r w:rsidR="003B65CF" w:rsidRPr="003B65CF">
        <w:t xml:space="preserve"> </w:t>
      </w:r>
      <w:r>
        <w:t>Regulation</w:t>
      </w:r>
      <w:r w:rsidR="003B65CF" w:rsidRPr="003B65CF">
        <w:t xml:space="preserve"> </w:t>
      </w:r>
      <w:r>
        <w:t>(EEC)</w:t>
      </w:r>
      <w:r w:rsidR="003B65CF" w:rsidRPr="003B65CF">
        <w:t xml:space="preserve"> </w:t>
      </w:r>
      <w:r>
        <w:t>No</w:t>
      </w:r>
      <w:r w:rsidR="003B65CF" w:rsidRPr="003B65CF">
        <w:t xml:space="preserve"> </w:t>
      </w:r>
      <w:r>
        <w:t>1576/89</w:t>
      </w:r>
      <w:r w:rsidR="003B65CF" w:rsidRPr="003B65CF">
        <w:t xml:space="preserve"> </w:t>
      </w:r>
      <w:r>
        <w:t>and</w:t>
      </w:r>
      <w:r w:rsidR="003B65CF" w:rsidRPr="003B65CF">
        <w:t xml:space="preserve"> </w:t>
      </w:r>
      <w:r>
        <w:t>Commission</w:t>
      </w:r>
      <w:r w:rsidR="003B65CF" w:rsidRPr="003B65CF">
        <w:t xml:space="preserve"> </w:t>
      </w:r>
      <w:r>
        <w:t>Regulation</w:t>
      </w:r>
      <w:r w:rsidR="003B65CF" w:rsidRPr="003B65CF">
        <w:t xml:space="preserve"> </w:t>
      </w:r>
      <w:r>
        <w:t>(EEC)</w:t>
      </w:r>
      <w:r w:rsidR="003B65CF" w:rsidRPr="003B65CF">
        <w:t xml:space="preserve"> </w:t>
      </w:r>
      <w:r>
        <w:t>No</w:t>
      </w:r>
      <w:r w:rsidR="003B65CF" w:rsidRPr="003B65CF">
        <w:t xml:space="preserve"> </w:t>
      </w:r>
      <w:r>
        <w:t>1014/90</w:t>
      </w:r>
      <w:r w:rsidR="003B65CF" w:rsidRPr="003B65CF">
        <w:t xml:space="preserve"> </w:t>
      </w:r>
      <w:r>
        <w:t>on</w:t>
      </w:r>
      <w:r w:rsidR="003B65CF" w:rsidRPr="003B65CF">
        <w:t xml:space="preserve"> </w:t>
      </w:r>
      <w:r>
        <w:t>or</w:t>
      </w:r>
      <w:r w:rsidR="003B65CF" w:rsidRPr="003B65CF">
        <w:t xml:space="preserve"> </w:t>
      </w:r>
      <w:r>
        <w:lastRenderedPageBreak/>
        <w:t>before</w:t>
      </w:r>
      <w:r w:rsidR="003B65CF" w:rsidRPr="003B65CF">
        <w:t xml:space="preserve"> </w:t>
      </w:r>
      <w:r>
        <w:t>19th</w:t>
      </w:r>
      <w:r w:rsidR="003B65CF" w:rsidRPr="003B65CF">
        <w:t xml:space="preserve"> </w:t>
      </w:r>
      <w:r>
        <w:t>May</w:t>
      </w:r>
      <w:r w:rsidR="003B65CF" w:rsidRPr="003B65CF">
        <w:t xml:space="preserve"> </w:t>
      </w:r>
      <w:r>
        <w:t>2009</w:t>
      </w:r>
      <w:r w:rsidR="003B65CF" w:rsidRPr="003B65CF">
        <w:t xml:space="preserve"> </w:t>
      </w:r>
      <w:r>
        <w:t>and</w:t>
      </w:r>
      <w:r w:rsidR="003B65CF" w:rsidRPr="003B65CF">
        <w:t xml:space="preserve"> </w:t>
      </w:r>
      <w:r>
        <w:t>marketed</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the</w:t>
      </w:r>
      <w:r w:rsidR="003B65CF" w:rsidRPr="003B65CF">
        <w:t xml:space="preserve"> </w:t>
      </w:r>
      <w:r>
        <w:t>requirements</w:t>
      </w:r>
      <w:r w:rsidR="003B65CF" w:rsidRPr="003B65CF">
        <w:t xml:space="preserve"> </w:t>
      </w:r>
      <w:r>
        <w:t>of</w:t>
      </w:r>
      <w:r w:rsidR="003B65CF" w:rsidRPr="003B65CF">
        <w:t xml:space="preserve"> </w:t>
      </w:r>
      <w:r>
        <w:t>those</w:t>
      </w:r>
      <w:r w:rsidR="003B65CF" w:rsidRPr="003B65CF">
        <w:t xml:space="preserve"> </w:t>
      </w:r>
      <w:r>
        <w:t>Regulations</w:t>
      </w:r>
      <w:r w:rsidR="008767A8">
        <w:t>;</w:t>
      </w:r>
    </w:p>
    <w:p w:rsidR="00573A0E" w:rsidRDefault="00573A0E" w:rsidP="001C22E5">
      <w:pPr>
        <w:pStyle w:val="N3"/>
      </w:pPr>
      <w:r>
        <w:t>to</w:t>
      </w:r>
      <w:r w:rsidR="003B65CF" w:rsidRPr="003B65CF">
        <w:t xml:space="preserve"> </w:t>
      </w:r>
      <w:r>
        <w:t>the</w:t>
      </w:r>
      <w:r w:rsidR="003B65CF" w:rsidRPr="003B65CF">
        <w:t xml:space="preserve"> </w:t>
      </w:r>
      <w:r>
        <w:t>marketing</w:t>
      </w:r>
      <w:r w:rsidR="003B65CF" w:rsidRPr="003B65CF">
        <w:t xml:space="preserve"> </w:t>
      </w:r>
      <w:r>
        <w:t>of</w:t>
      </w:r>
      <w:r w:rsidR="003B65CF" w:rsidRPr="003B65CF">
        <w:t xml:space="preserve"> </w:t>
      </w:r>
      <w:r>
        <w:t>a</w:t>
      </w:r>
      <w:r w:rsidR="003B65CF" w:rsidRPr="003B65CF">
        <w:t xml:space="preserve"> </w:t>
      </w:r>
      <w:r>
        <w:t>spirit</w:t>
      </w:r>
      <w:r w:rsidR="003B65CF" w:rsidRPr="003B65CF">
        <w:t xml:space="preserve"> </w:t>
      </w:r>
      <w:r>
        <w:t>drink</w:t>
      </w:r>
      <w:r w:rsidR="003B65CF" w:rsidRPr="003B65CF">
        <w:t xml:space="preserve"> </w:t>
      </w:r>
      <w:r>
        <w:t>produced</w:t>
      </w:r>
      <w:r w:rsidR="003B65CF" w:rsidRPr="003B65CF">
        <w:t xml:space="preserve"> </w:t>
      </w:r>
      <w:r>
        <w:t>in</w:t>
      </w:r>
      <w:r w:rsidR="003B65CF" w:rsidRPr="003B65CF">
        <w:t xml:space="preserve"> </w:t>
      </w:r>
      <w:r>
        <w:t>acco</w:t>
      </w:r>
      <w:r w:rsidR="00B4510A">
        <w:t>rdance</w:t>
      </w:r>
      <w:r w:rsidR="003B65CF" w:rsidRPr="003B65CF">
        <w:t xml:space="preserve"> </w:t>
      </w:r>
      <w:r w:rsidR="00B4510A">
        <w:t>with</w:t>
      </w:r>
      <w:r w:rsidR="003B65CF" w:rsidRPr="003B65CF">
        <w:t xml:space="preserve"> </w:t>
      </w:r>
      <w:r w:rsidR="00B4510A">
        <w:t>the</w:t>
      </w:r>
      <w:r w:rsidR="003B65CF" w:rsidRPr="003B65CF">
        <w:t xml:space="preserve"> </w:t>
      </w:r>
      <w:r w:rsidR="00B4510A">
        <w:t>requirements</w:t>
      </w:r>
      <w:r w:rsidR="003B65CF" w:rsidRPr="003B65CF">
        <w:t xml:space="preserve"> </w:t>
      </w:r>
      <w:r w:rsidR="00B4510A">
        <w:t>of</w:t>
      </w:r>
      <w:r w:rsidR="003B65CF" w:rsidRPr="003B65CF">
        <w:t xml:space="preserve"> </w:t>
      </w:r>
      <w:r w:rsidR="00B4510A">
        <w:t>Chapters</w:t>
      </w:r>
      <w:r w:rsidR="003B65CF" w:rsidRPr="003B65CF">
        <w:t xml:space="preserve"> </w:t>
      </w:r>
      <w:r w:rsidR="00B4510A">
        <w:t>I</w:t>
      </w:r>
      <w:r w:rsidR="003B65CF" w:rsidRPr="003B65CF">
        <w:t xml:space="preserve"> </w:t>
      </w:r>
      <w:r w:rsidR="00842F31">
        <w:t>and</w:t>
      </w:r>
      <w:r w:rsidR="003B65CF" w:rsidRPr="003B65CF">
        <w:t xml:space="preserve"> </w:t>
      </w:r>
      <w:r w:rsidR="00B4510A">
        <w:t>II</w:t>
      </w:r>
      <w:r w:rsidR="003B65CF" w:rsidRPr="003B65CF">
        <w:t xml:space="preserve"> </w:t>
      </w:r>
      <w:r w:rsidR="00B4510A">
        <w:t>of</w:t>
      </w:r>
      <w:r w:rsidR="003B65CF" w:rsidRPr="003B65CF">
        <w:t xml:space="preserve"> </w:t>
      </w:r>
      <w:r w:rsidR="00B4510A">
        <w:t>Regulation</w:t>
      </w:r>
      <w:r w:rsidR="003B65CF" w:rsidRPr="003B65CF">
        <w:t xml:space="preserve"> </w:t>
      </w:r>
      <w:r>
        <w:t>(EC)</w:t>
      </w:r>
      <w:r w:rsidR="003B65CF" w:rsidRPr="003B65CF">
        <w:t xml:space="preserve"> </w:t>
      </w:r>
      <w:r>
        <w:t>No</w:t>
      </w:r>
      <w:r w:rsidR="003B65CF" w:rsidRPr="003B65CF">
        <w:t xml:space="preserve"> </w:t>
      </w:r>
      <w:r>
        <w:t>110/2008</w:t>
      </w:r>
      <w:r w:rsidR="008767A8">
        <w:t>(</w:t>
      </w:r>
      <w:r w:rsidR="008767A8">
        <w:rPr>
          <w:rStyle w:val="FootnoteReference"/>
        </w:rPr>
        <w:footnoteReference w:id="8"/>
      </w:r>
      <w:r w:rsidR="008767A8">
        <w:t>)</w:t>
      </w:r>
      <w:r w:rsidR="003B65CF" w:rsidRPr="003B65CF">
        <w:t xml:space="preserve"> </w:t>
      </w:r>
      <w:r>
        <w:t>on</w:t>
      </w:r>
      <w:r w:rsidR="003B65CF" w:rsidRPr="003B65CF">
        <w:t xml:space="preserve"> </w:t>
      </w:r>
      <w:r>
        <w:t>or</w:t>
      </w:r>
      <w:r w:rsidR="003B65CF" w:rsidRPr="003B65CF">
        <w:t xml:space="preserve"> </w:t>
      </w:r>
      <w:r>
        <w:t>before</w:t>
      </w:r>
      <w:r w:rsidR="003B65CF" w:rsidRPr="003B65CF">
        <w:t xml:space="preserve"> </w:t>
      </w:r>
      <w:r>
        <w:t>25th</w:t>
      </w:r>
      <w:r w:rsidR="003B65CF" w:rsidRPr="003B65CF">
        <w:t xml:space="preserve"> </w:t>
      </w:r>
      <w:r>
        <w:t>May</w:t>
      </w:r>
      <w:r w:rsidR="003B65CF" w:rsidRPr="003B65CF">
        <w:t xml:space="preserve"> </w:t>
      </w:r>
      <w:r>
        <w:t>2021</w:t>
      </w:r>
      <w:r w:rsidR="003B65CF" w:rsidRPr="003B65CF">
        <w:t xml:space="preserve"> </w:t>
      </w:r>
      <w:r>
        <w:t>and</w:t>
      </w:r>
      <w:r w:rsidR="003B65CF" w:rsidRPr="003B65CF">
        <w:t xml:space="preserve"> </w:t>
      </w:r>
      <w:r>
        <w:t>marketed</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the</w:t>
      </w:r>
      <w:r w:rsidR="003B65CF" w:rsidRPr="003B65CF">
        <w:t xml:space="preserve"> </w:t>
      </w:r>
      <w:r>
        <w:t>requirements</w:t>
      </w:r>
      <w:r w:rsidR="003B65CF" w:rsidRPr="003B65CF">
        <w:t xml:space="preserve"> </w:t>
      </w:r>
      <w:r>
        <w:t>of</w:t>
      </w:r>
      <w:r w:rsidR="003B65CF" w:rsidRPr="003B65CF">
        <w:t xml:space="preserve"> </w:t>
      </w:r>
      <w:r w:rsidR="00B4510A">
        <w:t>those</w:t>
      </w:r>
      <w:r w:rsidR="003B65CF" w:rsidRPr="003B65CF">
        <w:t xml:space="preserve"> </w:t>
      </w:r>
      <w:r w:rsidR="00B4510A">
        <w:t>Chapters</w:t>
      </w:r>
      <w:r w:rsidR="003B65CF" w:rsidRPr="003B65CF">
        <w:t xml:space="preserve"> </w:t>
      </w:r>
      <w:r w:rsidR="00B4510A">
        <w:t>of</w:t>
      </w:r>
      <w:r w:rsidR="003B65CF" w:rsidRPr="003B65CF">
        <w:t xml:space="preserve"> </w:t>
      </w:r>
      <w:r w:rsidR="00B4510A">
        <w:t>that</w:t>
      </w:r>
      <w:r w:rsidR="003B65CF" w:rsidRPr="003B65CF">
        <w:t xml:space="preserve"> </w:t>
      </w:r>
      <w:r w:rsidR="00B4510A">
        <w:t>Regulation</w:t>
      </w:r>
      <w:r w:rsidR="001D2FBF">
        <w:t>;</w:t>
      </w:r>
    </w:p>
    <w:p w:rsidR="004F2FAD" w:rsidRPr="008767A8" w:rsidRDefault="004F2FAD" w:rsidP="004A3DCC">
      <w:pPr>
        <w:pStyle w:val="N2"/>
      </w:pPr>
      <w:r>
        <w:t>A</w:t>
      </w:r>
      <w:r w:rsidR="003B65CF" w:rsidRPr="003B65CF">
        <w:t xml:space="preserve"> </w:t>
      </w:r>
      <w:r>
        <w:t>person</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an</w:t>
      </w:r>
      <w:r w:rsidR="003B65CF" w:rsidRPr="003B65CF">
        <w:t xml:space="preserve"> </w:t>
      </w:r>
      <w:r>
        <w:t>offence</w:t>
      </w:r>
      <w:r w:rsidR="003B65CF" w:rsidRPr="003B65CF">
        <w:t xml:space="preserve"> </w:t>
      </w:r>
      <w:r>
        <w:t>if</w:t>
      </w:r>
      <w:r w:rsidR="003B65CF" w:rsidRPr="003B65CF">
        <w:t xml:space="preserve"> </w:t>
      </w:r>
      <w:r>
        <w:t>they</w:t>
      </w:r>
      <w:r w:rsidR="003B65CF" w:rsidRPr="003B65CF">
        <w:t xml:space="preserve"> </w:t>
      </w:r>
      <w:r>
        <w:t>contravene</w:t>
      </w:r>
      <w:r w:rsidR="003B65CF" w:rsidRPr="003B65CF">
        <w:t xml:space="preserve"> </w:t>
      </w:r>
      <w:r>
        <w:t>Article</w:t>
      </w:r>
      <w:r w:rsidR="003B65CF" w:rsidRPr="003B65CF">
        <w:t xml:space="preserve"> </w:t>
      </w:r>
      <w:r>
        <w:t>1</w:t>
      </w:r>
      <w:r w:rsidR="003B65CF" w:rsidRPr="003B65CF">
        <w:t xml:space="preserve"> </w:t>
      </w:r>
      <w:r>
        <w:t>of</w:t>
      </w:r>
      <w:r w:rsidR="003B65CF" w:rsidRPr="003B65CF">
        <w:t xml:space="preserve"> </w:t>
      </w:r>
      <w:r w:rsidR="004A3DCC">
        <w:t>Regulation (EC) 936/2009.</w:t>
      </w:r>
    </w:p>
    <w:p w:rsidR="001C22E5" w:rsidRPr="008767A8" w:rsidRDefault="001C22E5" w:rsidP="0032097F">
      <w:pPr>
        <w:pStyle w:val="H1"/>
      </w:pPr>
      <w:r w:rsidRPr="008767A8">
        <w:t>Designation</w:t>
      </w:r>
      <w:r w:rsidR="003B65CF" w:rsidRPr="003B65CF">
        <w:t xml:space="preserve"> </w:t>
      </w:r>
      <w:r w:rsidRPr="008767A8">
        <w:t>of</w:t>
      </w:r>
      <w:r w:rsidR="003B65CF" w:rsidRPr="003B65CF">
        <w:t xml:space="preserve"> </w:t>
      </w:r>
      <w:r w:rsidRPr="008767A8">
        <w:t>competent</w:t>
      </w:r>
      <w:r w:rsidR="003B65CF" w:rsidRPr="003B65CF">
        <w:t xml:space="preserve"> </w:t>
      </w:r>
      <w:r w:rsidRPr="008767A8">
        <w:t>authorities</w:t>
      </w:r>
    </w:p>
    <w:p w:rsidR="00687A5D" w:rsidRDefault="0032097F" w:rsidP="0032097F">
      <w:pPr>
        <w:pStyle w:val="N1"/>
      </w:pPr>
      <w:r>
        <w:t>—</w:t>
      </w:r>
      <w:r>
        <w:fldChar w:fldCharType="begin"/>
      </w:r>
      <w:r>
        <w:instrText xml:space="preserve"> LISTNUM "SEQ1" \l 2 </w:instrText>
      </w:r>
      <w:r>
        <w:fldChar w:fldCharType="end">
          <w:numberingChange w:id="6" w:author="Boyd, Steve" w:date="2021-11-04T13:49:00Z" w:original="(1)"/>
        </w:fldChar>
      </w:r>
      <w:r w:rsidR="003B65CF" w:rsidRPr="003B65CF">
        <w:t> </w:t>
      </w:r>
      <w:r w:rsidR="001C22E5" w:rsidRPr="008767A8">
        <w:t>Each</w:t>
      </w:r>
      <w:r w:rsidR="003B65CF" w:rsidRPr="003B65CF">
        <w:t xml:space="preserve"> </w:t>
      </w:r>
      <w:r w:rsidR="00F945B8" w:rsidRPr="008767A8">
        <w:t>district</w:t>
      </w:r>
      <w:r w:rsidR="003B65CF" w:rsidRPr="003B65CF">
        <w:t xml:space="preserve"> </w:t>
      </w:r>
      <w:r w:rsidR="00F945B8" w:rsidRPr="008767A8">
        <w:t>council</w:t>
      </w:r>
      <w:r w:rsidR="003B65CF" w:rsidRPr="003B65CF">
        <w:t xml:space="preserve"> </w:t>
      </w:r>
      <w:r w:rsidR="001C22E5" w:rsidRPr="008767A8">
        <w:t>is</w:t>
      </w:r>
      <w:r w:rsidR="003B65CF" w:rsidRPr="003B65CF">
        <w:t xml:space="preserve"> </w:t>
      </w:r>
      <w:r w:rsidR="001C22E5" w:rsidRPr="008767A8">
        <w:t>designated</w:t>
      </w:r>
      <w:r w:rsidR="003B65CF" w:rsidRPr="003B65CF">
        <w:t xml:space="preserve"> </w:t>
      </w:r>
      <w:r w:rsidR="001C22E5" w:rsidRPr="008767A8">
        <w:t>as</w:t>
      </w:r>
      <w:r w:rsidR="003B65CF" w:rsidRPr="003B65CF">
        <w:t xml:space="preserve"> </w:t>
      </w:r>
      <w:r w:rsidR="001C22E5" w:rsidRPr="008767A8">
        <w:t>the</w:t>
      </w:r>
      <w:r w:rsidR="003B65CF" w:rsidRPr="003B65CF">
        <w:t xml:space="preserve"> </w:t>
      </w:r>
      <w:r w:rsidR="001C22E5" w:rsidRPr="008767A8">
        <w:t>competent</w:t>
      </w:r>
      <w:r w:rsidR="003B65CF" w:rsidRPr="003B65CF">
        <w:t xml:space="preserve"> </w:t>
      </w:r>
      <w:r w:rsidR="001C22E5" w:rsidRPr="008767A8">
        <w:t>authority</w:t>
      </w:r>
      <w:r w:rsidR="003B65CF" w:rsidRPr="003B65CF">
        <w:t xml:space="preserve"> </w:t>
      </w:r>
      <w:r w:rsidR="001C22E5" w:rsidRPr="008767A8">
        <w:t>for</w:t>
      </w:r>
      <w:r w:rsidR="003B65CF" w:rsidRPr="003B65CF">
        <w:t xml:space="preserve"> </w:t>
      </w:r>
      <w:r w:rsidR="001C22E5" w:rsidRPr="008767A8">
        <w:t>the</w:t>
      </w:r>
      <w:r w:rsidR="003B65CF" w:rsidRPr="003B65CF">
        <w:t xml:space="preserve"> </w:t>
      </w:r>
      <w:r w:rsidR="001C22E5" w:rsidRPr="008767A8">
        <w:t>pur</w:t>
      </w:r>
      <w:r w:rsidR="001C22E5" w:rsidRPr="001C22E5">
        <w:t>pose</w:t>
      </w:r>
      <w:r w:rsidR="003B65CF" w:rsidRPr="003B65CF">
        <w:t xml:space="preserve"> </w:t>
      </w:r>
      <w:r w:rsidR="00C73F8F">
        <w:t>of</w:t>
      </w:r>
      <w:r w:rsidR="003B65CF" w:rsidRPr="003B65CF">
        <w:t xml:space="preserve"> </w:t>
      </w:r>
      <w:r w:rsidR="00C73F8F">
        <w:t>Article</w:t>
      </w:r>
      <w:r w:rsidR="003B65CF" w:rsidRPr="003B65CF">
        <w:t xml:space="preserve"> </w:t>
      </w:r>
      <w:r w:rsidR="00C73F8F">
        <w:t>43(1)</w:t>
      </w:r>
      <w:r w:rsidR="003B65CF" w:rsidRPr="003B65CF">
        <w:t xml:space="preserve"> </w:t>
      </w:r>
      <w:r w:rsidR="00C73F8F">
        <w:t>of</w:t>
      </w:r>
      <w:r w:rsidR="003B65CF" w:rsidRPr="003B65CF">
        <w:t xml:space="preserve"> </w:t>
      </w:r>
      <w:r w:rsidR="00C73F8F">
        <w:t>Regulation</w:t>
      </w:r>
      <w:r w:rsidR="003B65CF" w:rsidRPr="003B65CF">
        <w:t xml:space="preserve"> </w:t>
      </w:r>
      <w:r w:rsidR="001C22E5" w:rsidRPr="001C22E5">
        <w:t>(EU)</w:t>
      </w:r>
      <w:r w:rsidR="003B65CF" w:rsidRPr="003B65CF">
        <w:t xml:space="preserve"> </w:t>
      </w:r>
      <w:r w:rsidR="001C22E5" w:rsidRPr="001C22E5">
        <w:t>2019/787</w:t>
      </w:r>
      <w:r w:rsidR="003B65CF" w:rsidRPr="003B65CF">
        <w:t xml:space="preserve"> </w:t>
      </w:r>
      <w:r w:rsidR="001C22E5" w:rsidRPr="001C22E5">
        <w:t>for</w:t>
      </w:r>
      <w:r w:rsidR="003B65CF" w:rsidRPr="003B65CF">
        <w:t xml:space="preserve"> </w:t>
      </w:r>
      <w:r w:rsidR="001C22E5" w:rsidRPr="001C22E5">
        <w:t>the</w:t>
      </w:r>
      <w:r w:rsidR="003B65CF" w:rsidRPr="003B65CF">
        <w:t xml:space="preserve"> </w:t>
      </w:r>
      <w:r w:rsidR="001C22E5" w:rsidRPr="001C22E5">
        <w:t>control</w:t>
      </w:r>
      <w:r w:rsidR="003B65CF" w:rsidRPr="003B65CF">
        <w:t xml:space="preserve"> </w:t>
      </w:r>
      <w:r w:rsidR="001C22E5" w:rsidRPr="001C22E5">
        <w:t>of</w:t>
      </w:r>
      <w:r w:rsidR="003B65CF" w:rsidRPr="003B65CF">
        <w:t xml:space="preserve"> </w:t>
      </w:r>
      <w:r w:rsidR="001C22E5" w:rsidRPr="001C22E5">
        <w:t>spirit</w:t>
      </w:r>
      <w:r w:rsidR="003B65CF" w:rsidRPr="003B65CF">
        <w:t xml:space="preserve"> </w:t>
      </w:r>
      <w:r w:rsidR="001C22E5" w:rsidRPr="001C22E5">
        <w:t>drinks</w:t>
      </w:r>
      <w:r w:rsidR="003B65CF" w:rsidRPr="003B65CF">
        <w:t xml:space="preserve"> </w:t>
      </w:r>
      <w:r w:rsidR="001C22E5" w:rsidRPr="001C22E5">
        <w:t>in</w:t>
      </w:r>
      <w:r w:rsidR="003B65CF" w:rsidRPr="003B65CF">
        <w:t xml:space="preserve"> </w:t>
      </w:r>
      <w:r w:rsidR="001C22E5" w:rsidRPr="001C22E5">
        <w:t>its</w:t>
      </w:r>
      <w:r w:rsidR="003B65CF" w:rsidRPr="003B65CF">
        <w:t xml:space="preserve"> </w:t>
      </w:r>
      <w:r w:rsidR="004B6B66">
        <w:t>district</w:t>
      </w:r>
      <w:r w:rsidR="00687A5D">
        <w:t>,</w:t>
      </w:r>
      <w:r w:rsidR="003B65CF" w:rsidRPr="003B65CF">
        <w:t xml:space="preserve"> </w:t>
      </w:r>
      <w:r w:rsidR="00687A5D">
        <w:t>including</w:t>
      </w:r>
      <w:r w:rsidR="003B65CF" w:rsidRPr="003B65CF">
        <w:t xml:space="preserve"> </w:t>
      </w:r>
      <w:r w:rsidR="00687A5D">
        <w:t>for</w:t>
      </w:r>
      <w:r w:rsidR="003B65CF" w:rsidRPr="003B65CF">
        <w:t xml:space="preserve"> </w:t>
      </w:r>
      <w:r w:rsidR="00687A5D">
        <w:t>drinks</w:t>
      </w:r>
      <w:r w:rsidR="003B65CF" w:rsidRPr="003B65CF">
        <w:t xml:space="preserve"> </w:t>
      </w:r>
      <w:r w:rsidR="00687A5D">
        <w:t>being—</w:t>
      </w:r>
    </w:p>
    <w:p w:rsidR="00687A5D" w:rsidRDefault="00687A5D" w:rsidP="005617D8">
      <w:pPr>
        <w:pStyle w:val="N3"/>
      </w:pPr>
      <w:r>
        <w:t>imported</w:t>
      </w:r>
      <w:r w:rsidR="003B65CF" w:rsidRPr="003B65CF">
        <w:t xml:space="preserve"> </w:t>
      </w:r>
      <w:r>
        <w:t>into,</w:t>
      </w:r>
      <w:r w:rsidR="003B65CF" w:rsidRPr="003B65CF">
        <w:t xml:space="preserve"> </w:t>
      </w:r>
      <w:r>
        <w:t>or</w:t>
      </w:r>
      <w:r w:rsidR="003B65CF" w:rsidRPr="003B65CF">
        <w:t xml:space="preserve"> </w:t>
      </w:r>
      <w:r>
        <w:t>exported</w:t>
      </w:r>
      <w:r w:rsidR="003B65CF" w:rsidRPr="003B65CF">
        <w:t xml:space="preserve"> </w:t>
      </w:r>
      <w:r>
        <w:t>from,</w:t>
      </w:r>
      <w:r w:rsidR="003B65CF" w:rsidRPr="003B65CF">
        <w:t xml:space="preserve"> </w:t>
      </w:r>
      <w:r>
        <w:t>Northern</w:t>
      </w:r>
      <w:r w:rsidR="003B65CF" w:rsidRPr="003B65CF">
        <w:t xml:space="preserve"> </w:t>
      </w:r>
      <w:r>
        <w:t>Ireland;</w:t>
      </w:r>
    </w:p>
    <w:p w:rsidR="00687A5D" w:rsidRDefault="00687A5D" w:rsidP="005617D8">
      <w:pPr>
        <w:pStyle w:val="N3"/>
      </w:pPr>
      <w:r>
        <w:t>moved</w:t>
      </w:r>
      <w:r w:rsidR="003B65CF" w:rsidRPr="003B65CF">
        <w:t xml:space="preserve"> </w:t>
      </w:r>
      <w:r>
        <w:t>from</w:t>
      </w:r>
      <w:r w:rsidR="003B65CF" w:rsidRPr="003B65CF">
        <w:t xml:space="preserve"> </w:t>
      </w:r>
      <w:r>
        <w:t>Northern</w:t>
      </w:r>
      <w:r w:rsidR="003B65CF" w:rsidRPr="003B65CF">
        <w:t xml:space="preserve"> </w:t>
      </w:r>
      <w:r>
        <w:t>Ireland</w:t>
      </w:r>
      <w:r w:rsidR="003B65CF" w:rsidRPr="003B65CF">
        <w:t xml:space="preserve"> </w:t>
      </w:r>
      <w:r>
        <w:t>into</w:t>
      </w:r>
      <w:r w:rsidR="003B65CF" w:rsidRPr="003B65CF">
        <w:t xml:space="preserve"> </w:t>
      </w:r>
      <w:r>
        <w:t>Great</w:t>
      </w:r>
      <w:r w:rsidR="003B65CF" w:rsidRPr="003B65CF">
        <w:t xml:space="preserve"> </w:t>
      </w:r>
      <w:r>
        <w:t>Britain;</w:t>
      </w:r>
    </w:p>
    <w:p w:rsidR="001C22E5" w:rsidRDefault="00687A5D" w:rsidP="005617D8">
      <w:pPr>
        <w:pStyle w:val="N3"/>
      </w:pPr>
      <w:r>
        <w:t>moved</w:t>
      </w:r>
      <w:r w:rsidR="003B65CF" w:rsidRPr="003B65CF">
        <w:t xml:space="preserve"> </w:t>
      </w:r>
      <w:r>
        <w:t>into</w:t>
      </w:r>
      <w:r w:rsidR="003B65CF" w:rsidRPr="003B65CF">
        <w:t xml:space="preserve"> </w:t>
      </w:r>
      <w:r>
        <w:t>Northern</w:t>
      </w:r>
      <w:r w:rsidR="003B65CF" w:rsidRPr="003B65CF">
        <w:t xml:space="preserve"> </w:t>
      </w:r>
      <w:r>
        <w:t>Ireland</w:t>
      </w:r>
      <w:r w:rsidR="003B65CF" w:rsidRPr="003B65CF">
        <w:t xml:space="preserve"> </w:t>
      </w:r>
      <w:r>
        <w:t>from</w:t>
      </w:r>
      <w:r w:rsidR="003B65CF" w:rsidRPr="003B65CF">
        <w:t xml:space="preserve"> </w:t>
      </w:r>
      <w:r>
        <w:t>Great</w:t>
      </w:r>
      <w:r w:rsidR="003B65CF" w:rsidRPr="003B65CF">
        <w:t xml:space="preserve"> </w:t>
      </w:r>
      <w:r>
        <w:t>Britain.</w:t>
      </w:r>
    </w:p>
    <w:p w:rsidR="0032097F" w:rsidRDefault="0032097F" w:rsidP="0032097F">
      <w:pPr>
        <w:pStyle w:val="N2"/>
      </w:pPr>
      <w:r w:rsidRPr="0032097F">
        <w:t>Each</w:t>
      </w:r>
      <w:r w:rsidR="003B65CF" w:rsidRPr="003B65CF">
        <w:t xml:space="preserve"> </w:t>
      </w:r>
      <w:r w:rsidR="00DA3E2C">
        <w:t>district council</w:t>
      </w:r>
      <w:r w:rsidR="003B65CF" w:rsidRPr="003B65CF">
        <w:t xml:space="preserve"> </w:t>
      </w:r>
      <w:r w:rsidRPr="0032097F">
        <w:t>is</w:t>
      </w:r>
      <w:r w:rsidR="003B65CF" w:rsidRPr="003B65CF">
        <w:t xml:space="preserve"> </w:t>
      </w:r>
      <w:r w:rsidRPr="0032097F">
        <w:t>designated</w:t>
      </w:r>
      <w:r w:rsidR="003B65CF" w:rsidRPr="003B65CF">
        <w:t xml:space="preserve"> </w:t>
      </w:r>
      <w:r w:rsidRPr="0032097F">
        <w:t>as</w:t>
      </w:r>
      <w:r w:rsidR="003B65CF" w:rsidRPr="003B65CF">
        <w:t xml:space="preserve"> </w:t>
      </w:r>
      <w:r w:rsidRPr="0032097F">
        <w:t>the</w:t>
      </w:r>
      <w:r w:rsidR="003B65CF" w:rsidRPr="003B65CF">
        <w:t xml:space="preserve"> </w:t>
      </w:r>
      <w:r w:rsidRPr="0032097F">
        <w:t>competent</w:t>
      </w:r>
      <w:r w:rsidR="003B65CF" w:rsidRPr="003B65CF">
        <w:t xml:space="preserve"> </w:t>
      </w:r>
      <w:r w:rsidRPr="0032097F">
        <w:t>authority</w:t>
      </w:r>
      <w:r w:rsidR="003B65CF" w:rsidRPr="003B65CF">
        <w:t xml:space="preserve"> </w:t>
      </w:r>
      <w:r w:rsidRPr="0032097F">
        <w:t>responsible</w:t>
      </w:r>
      <w:r w:rsidR="003B65CF" w:rsidRPr="003B65CF">
        <w:t xml:space="preserve"> </w:t>
      </w:r>
      <w:r w:rsidRPr="0032097F">
        <w:t>for</w:t>
      </w:r>
      <w:r w:rsidR="003B65CF" w:rsidRPr="003B65CF">
        <w:t xml:space="preserve"> </w:t>
      </w:r>
      <w:r w:rsidRPr="0032097F">
        <w:t>controls</w:t>
      </w:r>
      <w:r w:rsidR="003B65CF" w:rsidRPr="003B65CF">
        <w:t xml:space="preserve"> </w:t>
      </w:r>
      <w:r w:rsidRPr="0032097F">
        <w:t>in</w:t>
      </w:r>
      <w:r w:rsidR="003B65CF" w:rsidRPr="003B65CF">
        <w:t xml:space="preserve"> </w:t>
      </w:r>
      <w:r w:rsidRPr="0032097F">
        <w:t>respect</w:t>
      </w:r>
      <w:r w:rsidR="003B65CF" w:rsidRPr="003B65CF">
        <w:t xml:space="preserve"> </w:t>
      </w:r>
      <w:r w:rsidRPr="0032097F">
        <w:t>of</w:t>
      </w:r>
      <w:r w:rsidR="003B65CF" w:rsidRPr="003B65CF">
        <w:t xml:space="preserve"> </w:t>
      </w:r>
      <w:r w:rsidRPr="0032097F">
        <w:t>the</w:t>
      </w:r>
      <w:r w:rsidR="003B65CF" w:rsidRPr="003B65CF">
        <w:t xml:space="preserve"> </w:t>
      </w:r>
      <w:r w:rsidRPr="0032097F">
        <w:t>enforcement</w:t>
      </w:r>
      <w:r w:rsidR="003B65CF" w:rsidRPr="003B65CF">
        <w:t xml:space="preserve"> </w:t>
      </w:r>
      <w:r w:rsidRPr="0032097F">
        <w:t>of</w:t>
      </w:r>
      <w:r w:rsidR="003B65CF" w:rsidRPr="003B65CF">
        <w:t xml:space="preserve"> </w:t>
      </w:r>
      <w:r w:rsidRPr="0032097F">
        <w:t>Article</w:t>
      </w:r>
      <w:r w:rsidR="003B65CF" w:rsidRPr="003B65CF">
        <w:t xml:space="preserve"> </w:t>
      </w:r>
      <w:r w:rsidRPr="0032097F">
        <w:t>1</w:t>
      </w:r>
      <w:r w:rsidR="003B65CF" w:rsidRPr="003B65CF">
        <w:t xml:space="preserve"> </w:t>
      </w:r>
      <w:r w:rsidRPr="0032097F">
        <w:t>of</w:t>
      </w:r>
      <w:r w:rsidR="003B65CF" w:rsidRPr="003B65CF">
        <w:t xml:space="preserve"> </w:t>
      </w:r>
      <w:r w:rsidRPr="0032097F">
        <w:t>Regulation</w:t>
      </w:r>
      <w:r w:rsidR="003B65CF" w:rsidRPr="003B65CF">
        <w:t xml:space="preserve"> </w:t>
      </w:r>
      <w:r w:rsidRPr="0032097F">
        <w:t>(EC)</w:t>
      </w:r>
      <w:r w:rsidR="003B65CF" w:rsidRPr="003B65CF">
        <w:t xml:space="preserve"> </w:t>
      </w:r>
      <w:r w:rsidRPr="0032097F">
        <w:t>No</w:t>
      </w:r>
      <w:r w:rsidR="003B65CF" w:rsidRPr="003B65CF">
        <w:t xml:space="preserve"> </w:t>
      </w:r>
      <w:r w:rsidRPr="0032097F">
        <w:t>936/2009</w:t>
      </w:r>
      <w:r w:rsidR="003B65CF" w:rsidRPr="003B65CF">
        <w:t xml:space="preserve"> </w:t>
      </w:r>
      <w:r w:rsidRPr="0032097F">
        <w:t>in</w:t>
      </w:r>
      <w:r w:rsidR="003B65CF" w:rsidRPr="003B65CF">
        <w:t xml:space="preserve"> </w:t>
      </w:r>
      <w:r w:rsidRPr="0032097F">
        <w:t>its</w:t>
      </w:r>
      <w:r w:rsidR="003B65CF" w:rsidRPr="003B65CF">
        <w:t xml:space="preserve"> </w:t>
      </w:r>
      <w:r>
        <w:t>district,</w:t>
      </w:r>
      <w:r w:rsidR="003B65CF" w:rsidRPr="003B65CF">
        <w:t xml:space="preserve"> </w:t>
      </w:r>
      <w:r>
        <w:t>including</w:t>
      </w:r>
      <w:r w:rsidR="003B65CF" w:rsidRPr="003B65CF">
        <w:t xml:space="preserve"> </w:t>
      </w:r>
      <w:r>
        <w:t>for</w:t>
      </w:r>
      <w:r w:rsidR="003B65CF" w:rsidRPr="003B65CF">
        <w:t xml:space="preserve"> </w:t>
      </w:r>
      <w:r>
        <w:t>drinks</w:t>
      </w:r>
      <w:r w:rsidR="003B65CF" w:rsidRPr="003B65CF">
        <w:t xml:space="preserve"> </w:t>
      </w:r>
      <w:r>
        <w:t>being—</w:t>
      </w:r>
    </w:p>
    <w:p w:rsidR="0032097F" w:rsidRDefault="0032097F" w:rsidP="0032097F">
      <w:pPr>
        <w:pStyle w:val="N3"/>
      </w:pPr>
      <w:r>
        <w:t>imported</w:t>
      </w:r>
      <w:r w:rsidR="003B65CF" w:rsidRPr="003B65CF">
        <w:t xml:space="preserve"> </w:t>
      </w:r>
      <w:r>
        <w:t>into,</w:t>
      </w:r>
      <w:r w:rsidR="003B65CF" w:rsidRPr="003B65CF">
        <w:t xml:space="preserve"> </w:t>
      </w:r>
      <w:r>
        <w:t>or</w:t>
      </w:r>
      <w:r w:rsidR="003B65CF" w:rsidRPr="003B65CF">
        <w:t xml:space="preserve"> </w:t>
      </w:r>
      <w:r>
        <w:t>exported</w:t>
      </w:r>
      <w:r w:rsidR="003B65CF" w:rsidRPr="003B65CF">
        <w:t xml:space="preserve"> </w:t>
      </w:r>
      <w:r>
        <w:t>from,</w:t>
      </w:r>
      <w:r w:rsidR="003B65CF" w:rsidRPr="003B65CF">
        <w:t xml:space="preserve"> </w:t>
      </w:r>
      <w:r>
        <w:t>Northern</w:t>
      </w:r>
      <w:r w:rsidR="003B65CF" w:rsidRPr="003B65CF">
        <w:t xml:space="preserve"> </w:t>
      </w:r>
      <w:r>
        <w:t>Ireland;</w:t>
      </w:r>
    </w:p>
    <w:p w:rsidR="0032097F" w:rsidRDefault="0032097F" w:rsidP="0032097F">
      <w:pPr>
        <w:pStyle w:val="N3"/>
      </w:pPr>
      <w:r>
        <w:t>moved</w:t>
      </w:r>
      <w:r w:rsidR="003B65CF" w:rsidRPr="003B65CF">
        <w:t xml:space="preserve"> </w:t>
      </w:r>
      <w:r>
        <w:t>from</w:t>
      </w:r>
      <w:r w:rsidR="003B65CF" w:rsidRPr="003B65CF">
        <w:t xml:space="preserve"> </w:t>
      </w:r>
      <w:r>
        <w:t>Northern</w:t>
      </w:r>
      <w:r w:rsidR="003B65CF" w:rsidRPr="003B65CF">
        <w:t xml:space="preserve"> </w:t>
      </w:r>
      <w:r>
        <w:t>Ireland</w:t>
      </w:r>
      <w:r w:rsidR="003B65CF" w:rsidRPr="003B65CF">
        <w:t xml:space="preserve"> </w:t>
      </w:r>
      <w:r>
        <w:t>into</w:t>
      </w:r>
      <w:r w:rsidR="003B65CF" w:rsidRPr="003B65CF">
        <w:t xml:space="preserve"> </w:t>
      </w:r>
      <w:r>
        <w:t>Great</w:t>
      </w:r>
      <w:r w:rsidR="003B65CF" w:rsidRPr="003B65CF">
        <w:t xml:space="preserve"> </w:t>
      </w:r>
      <w:r>
        <w:t>Britain;</w:t>
      </w:r>
    </w:p>
    <w:p w:rsidR="0032097F" w:rsidRPr="0032097F" w:rsidRDefault="0032097F" w:rsidP="0032097F">
      <w:pPr>
        <w:pStyle w:val="N3"/>
      </w:pPr>
      <w:r>
        <w:t>moved</w:t>
      </w:r>
      <w:r w:rsidR="003B65CF" w:rsidRPr="003B65CF">
        <w:t xml:space="preserve"> </w:t>
      </w:r>
      <w:r>
        <w:t>into</w:t>
      </w:r>
      <w:r w:rsidR="003B65CF" w:rsidRPr="003B65CF">
        <w:t xml:space="preserve"> </w:t>
      </w:r>
      <w:r>
        <w:t>Northern</w:t>
      </w:r>
      <w:r w:rsidR="003B65CF" w:rsidRPr="003B65CF">
        <w:t xml:space="preserve"> </w:t>
      </w:r>
      <w:r>
        <w:t>Ireland</w:t>
      </w:r>
      <w:r w:rsidR="003B65CF" w:rsidRPr="003B65CF">
        <w:t xml:space="preserve"> </w:t>
      </w:r>
      <w:r>
        <w:t>from</w:t>
      </w:r>
      <w:r w:rsidR="003B65CF" w:rsidRPr="003B65CF">
        <w:t xml:space="preserve"> </w:t>
      </w:r>
      <w:r>
        <w:t>Great</w:t>
      </w:r>
      <w:r w:rsidR="003B65CF" w:rsidRPr="003B65CF">
        <w:t xml:space="preserve"> </w:t>
      </w:r>
      <w:r>
        <w:t>Britain.</w:t>
      </w:r>
    </w:p>
    <w:p w:rsidR="00127A70" w:rsidRDefault="00127A70" w:rsidP="00127A70">
      <w:pPr>
        <w:pStyle w:val="H1"/>
      </w:pPr>
      <w:r w:rsidRPr="00127A70">
        <w:t>Enforcement</w:t>
      </w:r>
    </w:p>
    <w:p w:rsidR="00687A5D" w:rsidRDefault="003B65CF" w:rsidP="0032097F">
      <w:pPr>
        <w:pStyle w:val="N1"/>
      </w:pPr>
      <w:r w:rsidRPr="003B65CF">
        <w:t> </w:t>
      </w:r>
      <w:r w:rsidR="00127A70" w:rsidRPr="00127A70">
        <w:t>Each</w:t>
      </w:r>
      <w:r w:rsidRPr="003B65CF">
        <w:t xml:space="preserve"> </w:t>
      </w:r>
      <w:r w:rsidR="00F945B8">
        <w:t>district</w:t>
      </w:r>
      <w:r w:rsidRPr="003B65CF">
        <w:t xml:space="preserve"> </w:t>
      </w:r>
      <w:r w:rsidR="00F945B8">
        <w:t>council</w:t>
      </w:r>
      <w:r w:rsidRPr="003B65CF">
        <w:t xml:space="preserve"> </w:t>
      </w:r>
      <w:r w:rsidR="00127A70" w:rsidRPr="00127A70">
        <w:t>must</w:t>
      </w:r>
      <w:r w:rsidRPr="003B65CF">
        <w:t xml:space="preserve"> </w:t>
      </w:r>
      <w:r w:rsidR="00127A70" w:rsidRPr="00127A70">
        <w:t>enforce</w:t>
      </w:r>
      <w:r w:rsidRPr="003B65CF">
        <w:t xml:space="preserve"> </w:t>
      </w:r>
      <w:r w:rsidR="00127A70" w:rsidRPr="00127A70">
        <w:t>the</w:t>
      </w:r>
      <w:r w:rsidRPr="003B65CF">
        <w:t xml:space="preserve"> </w:t>
      </w:r>
      <w:r w:rsidR="00127A70" w:rsidRPr="00127A70">
        <w:t>provisions</w:t>
      </w:r>
      <w:r w:rsidRPr="003B65CF">
        <w:t xml:space="preserve"> </w:t>
      </w:r>
      <w:r w:rsidR="00127A70" w:rsidRPr="00127A70">
        <w:t>of</w:t>
      </w:r>
      <w:r w:rsidRPr="003B65CF">
        <w:t xml:space="preserve"> </w:t>
      </w:r>
      <w:r w:rsidR="00127A70" w:rsidRPr="00127A70">
        <w:t>these</w:t>
      </w:r>
      <w:r w:rsidRPr="003B65CF">
        <w:t xml:space="preserve"> </w:t>
      </w:r>
      <w:r w:rsidR="00127A70" w:rsidRPr="00127A70">
        <w:t>Regulations</w:t>
      </w:r>
      <w:r w:rsidRPr="003B65CF">
        <w:t xml:space="preserve"> </w:t>
      </w:r>
      <w:r w:rsidR="00127A70" w:rsidRPr="00127A70">
        <w:t>within</w:t>
      </w:r>
      <w:r w:rsidRPr="003B65CF">
        <w:t xml:space="preserve"> </w:t>
      </w:r>
      <w:r w:rsidR="00127A70" w:rsidRPr="00127A70">
        <w:t>its</w:t>
      </w:r>
      <w:r w:rsidRPr="003B65CF">
        <w:t xml:space="preserve"> </w:t>
      </w:r>
      <w:r w:rsidR="004B6B66">
        <w:t>district</w:t>
      </w:r>
      <w:r w:rsidR="00687A5D">
        <w:t>,</w:t>
      </w:r>
      <w:r w:rsidRPr="003B65CF">
        <w:t xml:space="preserve"> </w:t>
      </w:r>
      <w:r w:rsidR="00687A5D">
        <w:t>including</w:t>
      </w:r>
      <w:r w:rsidRPr="003B65CF">
        <w:t xml:space="preserve"> </w:t>
      </w:r>
      <w:r w:rsidR="00687A5D">
        <w:t>for</w:t>
      </w:r>
      <w:r w:rsidRPr="003B65CF">
        <w:t xml:space="preserve"> </w:t>
      </w:r>
      <w:r w:rsidR="00687A5D">
        <w:t>drinks</w:t>
      </w:r>
      <w:r w:rsidRPr="003B65CF">
        <w:t xml:space="preserve"> </w:t>
      </w:r>
      <w:r w:rsidR="00687A5D">
        <w:t>being—</w:t>
      </w:r>
    </w:p>
    <w:p w:rsidR="00687A5D" w:rsidRDefault="00687A5D" w:rsidP="00687A5D">
      <w:pPr>
        <w:pStyle w:val="N3"/>
      </w:pPr>
      <w:r>
        <w:t>imported</w:t>
      </w:r>
      <w:r w:rsidR="003B65CF" w:rsidRPr="003B65CF">
        <w:t xml:space="preserve"> </w:t>
      </w:r>
      <w:r>
        <w:t>into,</w:t>
      </w:r>
      <w:r w:rsidR="003B65CF" w:rsidRPr="003B65CF">
        <w:t xml:space="preserve"> </w:t>
      </w:r>
      <w:r>
        <w:t>or</w:t>
      </w:r>
      <w:r w:rsidR="003B65CF" w:rsidRPr="003B65CF">
        <w:t xml:space="preserve"> </w:t>
      </w:r>
      <w:r>
        <w:t>exported</w:t>
      </w:r>
      <w:r w:rsidR="003B65CF" w:rsidRPr="003B65CF">
        <w:t xml:space="preserve"> </w:t>
      </w:r>
      <w:r>
        <w:t>from,</w:t>
      </w:r>
      <w:r w:rsidR="003B65CF" w:rsidRPr="003B65CF">
        <w:t xml:space="preserve"> </w:t>
      </w:r>
      <w:r>
        <w:t>Northern</w:t>
      </w:r>
      <w:r w:rsidR="003B65CF" w:rsidRPr="003B65CF">
        <w:t xml:space="preserve"> </w:t>
      </w:r>
      <w:r>
        <w:t>Ireland;</w:t>
      </w:r>
    </w:p>
    <w:p w:rsidR="00687A5D" w:rsidRDefault="00687A5D" w:rsidP="00687A5D">
      <w:pPr>
        <w:pStyle w:val="N3"/>
      </w:pPr>
      <w:r>
        <w:t>moved</w:t>
      </w:r>
      <w:r w:rsidR="003B65CF" w:rsidRPr="003B65CF">
        <w:t xml:space="preserve"> </w:t>
      </w:r>
      <w:r>
        <w:t>from</w:t>
      </w:r>
      <w:r w:rsidR="003B65CF" w:rsidRPr="003B65CF">
        <w:t xml:space="preserve"> </w:t>
      </w:r>
      <w:r>
        <w:t>Northern</w:t>
      </w:r>
      <w:r w:rsidR="003B65CF" w:rsidRPr="003B65CF">
        <w:t xml:space="preserve"> </w:t>
      </w:r>
      <w:r>
        <w:t>Ireland</w:t>
      </w:r>
      <w:r w:rsidR="003B65CF" w:rsidRPr="003B65CF">
        <w:t xml:space="preserve"> </w:t>
      </w:r>
      <w:r>
        <w:t>into</w:t>
      </w:r>
      <w:r w:rsidR="003B65CF" w:rsidRPr="003B65CF">
        <w:t xml:space="preserve"> </w:t>
      </w:r>
      <w:r>
        <w:t>Great</w:t>
      </w:r>
      <w:r w:rsidR="003B65CF" w:rsidRPr="003B65CF">
        <w:t xml:space="preserve"> </w:t>
      </w:r>
      <w:r>
        <w:t>Britain;</w:t>
      </w:r>
    </w:p>
    <w:p w:rsidR="00127A70" w:rsidRDefault="00687A5D" w:rsidP="003B5A21">
      <w:pPr>
        <w:pStyle w:val="N3"/>
      </w:pPr>
      <w:r>
        <w:t>moved</w:t>
      </w:r>
      <w:r w:rsidR="003B65CF" w:rsidRPr="003B65CF">
        <w:t xml:space="preserve"> </w:t>
      </w:r>
      <w:r>
        <w:t>into</w:t>
      </w:r>
      <w:r w:rsidR="003B65CF" w:rsidRPr="003B65CF">
        <w:t xml:space="preserve"> </w:t>
      </w:r>
      <w:r>
        <w:t>Northern</w:t>
      </w:r>
      <w:r w:rsidR="003B65CF" w:rsidRPr="003B65CF">
        <w:t xml:space="preserve"> </w:t>
      </w:r>
      <w:r>
        <w:t>Ireland</w:t>
      </w:r>
      <w:r w:rsidR="003B65CF" w:rsidRPr="003B65CF">
        <w:t xml:space="preserve"> </w:t>
      </w:r>
      <w:r>
        <w:t>from</w:t>
      </w:r>
      <w:r w:rsidR="003B65CF" w:rsidRPr="003B65CF">
        <w:t xml:space="preserve"> </w:t>
      </w:r>
      <w:r>
        <w:t>Great</w:t>
      </w:r>
      <w:r w:rsidR="003B65CF" w:rsidRPr="003B65CF">
        <w:t xml:space="preserve"> </w:t>
      </w:r>
      <w:r>
        <w:t>Britain.</w:t>
      </w:r>
    </w:p>
    <w:p w:rsidR="004E4230" w:rsidRDefault="004E4230" w:rsidP="004E4230">
      <w:pPr>
        <w:pStyle w:val="H1"/>
      </w:pPr>
      <w:r w:rsidRPr="004E4230">
        <w:t>Appointment</w:t>
      </w:r>
      <w:r w:rsidR="003B65CF" w:rsidRPr="003B65CF">
        <w:t xml:space="preserve"> </w:t>
      </w:r>
      <w:r w:rsidRPr="004E4230">
        <w:t>of</w:t>
      </w:r>
      <w:r w:rsidR="003B65CF" w:rsidRPr="003B65CF">
        <w:t xml:space="preserve"> </w:t>
      </w:r>
      <w:r w:rsidRPr="004E4230">
        <w:t>officers</w:t>
      </w:r>
    </w:p>
    <w:p w:rsidR="004E4230" w:rsidRDefault="003B65CF" w:rsidP="0032097F">
      <w:pPr>
        <w:pStyle w:val="N1"/>
      </w:pPr>
      <w:r>
        <w:t> </w:t>
      </w:r>
      <w:r w:rsidR="004E4230" w:rsidRPr="004E4230">
        <w:t>Each</w:t>
      </w:r>
      <w:r w:rsidRPr="003B65CF">
        <w:t xml:space="preserve"> </w:t>
      </w:r>
      <w:r w:rsidR="00F945B8">
        <w:t>district</w:t>
      </w:r>
      <w:r w:rsidRPr="003B65CF">
        <w:t xml:space="preserve"> </w:t>
      </w:r>
      <w:r w:rsidR="00F945B8">
        <w:t>council</w:t>
      </w:r>
      <w:r w:rsidRPr="003B65CF">
        <w:t xml:space="preserve"> </w:t>
      </w:r>
      <w:r w:rsidR="004E4230" w:rsidRPr="004E4230">
        <w:t>must</w:t>
      </w:r>
      <w:r w:rsidRPr="003B65CF">
        <w:t xml:space="preserve"> </w:t>
      </w:r>
      <w:r w:rsidR="004E4230" w:rsidRPr="004E4230">
        <w:t>appoint</w:t>
      </w:r>
      <w:r w:rsidRPr="003B65CF">
        <w:t xml:space="preserve"> </w:t>
      </w:r>
      <w:r w:rsidR="0032097F">
        <w:t>persons</w:t>
      </w:r>
      <w:r w:rsidRPr="003B65CF">
        <w:t xml:space="preserve"> </w:t>
      </w:r>
      <w:r w:rsidR="0032097F">
        <w:t>as</w:t>
      </w:r>
      <w:r w:rsidRPr="003B65CF">
        <w:t xml:space="preserve"> </w:t>
      </w:r>
      <w:r w:rsidR="0032097F">
        <w:t>authorised</w:t>
      </w:r>
      <w:r w:rsidRPr="003B65CF">
        <w:t xml:space="preserve"> </w:t>
      </w:r>
      <w:r w:rsidR="0032097F">
        <w:t>officers</w:t>
      </w:r>
      <w:r w:rsidRPr="003B65CF">
        <w:t xml:space="preserve"> </w:t>
      </w:r>
      <w:r w:rsidR="004E4230" w:rsidRPr="004E4230">
        <w:t>for</w:t>
      </w:r>
      <w:r w:rsidRPr="003B65CF">
        <w:t xml:space="preserve"> </w:t>
      </w:r>
      <w:r w:rsidR="004E4230" w:rsidRPr="004E4230">
        <w:t>the</w:t>
      </w:r>
      <w:r w:rsidRPr="003B65CF">
        <w:t xml:space="preserve"> </w:t>
      </w:r>
      <w:r w:rsidR="004E4230" w:rsidRPr="004E4230">
        <w:t>purposes</w:t>
      </w:r>
      <w:r w:rsidRPr="003B65CF">
        <w:t xml:space="preserve"> </w:t>
      </w:r>
      <w:r w:rsidR="004E4230" w:rsidRPr="004E4230">
        <w:t>of</w:t>
      </w:r>
      <w:r w:rsidRPr="003B65CF">
        <w:t xml:space="preserve"> </w:t>
      </w:r>
      <w:r w:rsidR="004E4230" w:rsidRPr="004E4230">
        <w:t>the</w:t>
      </w:r>
      <w:r w:rsidRPr="003B65CF">
        <w:t xml:space="preserve"> </w:t>
      </w:r>
      <w:r w:rsidR="004E4230" w:rsidRPr="004E4230">
        <w:t>enforcement</w:t>
      </w:r>
      <w:r w:rsidRPr="003B65CF">
        <w:t xml:space="preserve"> </w:t>
      </w:r>
      <w:r w:rsidR="004E4230" w:rsidRPr="004E4230">
        <w:t>of</w:t>
      </w:r>
      <w:r w:rsidRPr="003B65CF">
        <w:t xml:space="preserve"> </w:t>
      </w:r>
      <w:r w:rsidR="004E4230" w:rsidRPr="004E4230">
        <w:t>these</w:t>
      </w:r>
      <w:r w:rsidRPr="003B65CF">
        <w:t xml:space="preserve"> </w:t>
      </w:r>
      <w:r w:rsidR="004E4230" w:rsidRPr="004E4230">
        <w:t>Regulations.</w:t>
      </w:r>
    </w:p>
    <w:p w:rsidR="004E4230" w:rsidRDefault="004E4230" w:rsidP="004E4230">
      <w:pPr>
        <w:pStyle w:val="H1"/>
      </w:pPr>
      <w:r w:rsidRPr="004E4230">
        <w:t>Duty</w:t>
      </w:r>
      <w:r w:rsidR="003B65CF" w:rsidRPr="003B65CF">
        <w:t xml:space="preserve"> </w:t>
      </w:r>
      <w:r w:rsidRPr="004E4230">
        <w:t>to</w:t>
      </w:r>
      <w:r w:rsidR="003B65CF" w:rsidRPr="003B65CF">
        <w:t xml:space="preserve"> </w:t>
      </w:r>
      <w:r w:rsidRPr="004E4230">
        <w:t>give</w:t>
      </w:r>
      <w:r w:rsidR="003B65CF" w:rsidRPr="003B65CF">
        <w:t xml:space="preserve"> </w:t>
      </w:r>
      <w:r w:rsidRPr="004E4230">
        <w:t>assistance</w:t>
      </w:r>
      <w:r w:rsidR="003B65CF" w:rsidRPr="003B65CF">
        <w:t xml:space="preserve"> </w:t>
      </w:r>
      <w:r w:rsidRPr="004E4230">
        <w:t>and</w:t>
      </w:r>
      <w:r w:rsidR="003B65CF" w:rsidRPr="003B65CF">
        <w:t xml:space="preserve"> </w:t>
      </w:r>
      <w:r w:rsidRPr="004E4230">
        <w:t>provide</w:t>
      </w:r>
      <w:r w:rsidR="003B65CF" w:rsidRPr="003B65CF">
        <w:t xml:space="preserve"> </w:t>
      </w:r>
      <w:r w:rsidRPr="004E4230">
        <w:t>information</w:t>
      </w:r>
    </w:p>
    <w:p w:rsidR="003B65CF" w:rsidRDefault="00756DB4" w:rsidP="00756DB4">
      <w:pPr>
        <w:pStyle w:val="N1"/>
      </w:pPr>
      <w:r>
        <w:t> </w:t>
      </w:r>
      <w:r w:rsidR="004E4230" w:rsidRPr="004E4230">
        <w:t>Each</w:t>
      </w:r>
      <w:r w:rsidR="003B65CF" w:rsidRPr="003B65CF">
        <w:t xml:space="preserve"> </w:t>
      </w:r>
      <w:r w:rsidR="004E4230" w:rsidRPr="004E4230">
        <w:t>competent</w:t>
      </w:r>
      <w:r w:rsidR="003B65CF" w:rsidRPr="003B65CF">
        <w:t xml:space="preserve"> </w:t>
      </w:r>
      <w:r w:rsidR="004E4230" w:rsidRPr="004E4230">
        <w:t>and</w:t>
      </w:r>
      <w:r w:rsidR="003B65CF" w:rsidRPr="003B65CF">
        <w:t xml:space="preserve"> </w:t>
      </w:r>
      <w:r w:rsidR="004E4230" w:rsidRPr="004E4230">
        <w:t>enforcement</w:t>
      </w:r>
      <w:r w:rsidR="003B65CF" w:rsidRPr="003B65CF">
        <w:t xml:space="preserve"> </w:t>
      </w:r>
      <w:r w:rsidR="004E4230" w:rsidRPr="004E4230">
        <w:t>authority</w:t>
      </w:r>
      <w:r w:rsidR="003B65CF" w:rsidRPr="003B65CF">
        <w:t xml:space="preserve"> </w:t>
      </w:r>
      <w:r w:rsidR="004E4230" w:rsidRPr="004E4230">
        <w:t>must</w:t>
      </w:r>
      <w:r w:rsidR="003B65CF" w:rsidRPr="003B65CF">
        <w:t xml:space="preserve"> </w:t>
      </w:r>
      <w:r w:rsidR="004E4230" w:rsidRPr="004E4230">
        <w:t>give</w:t>
      </w:r>
      <w:r w:rsidR="003B65CF" w:rsidRPr="003B65CF">
        <w:t xml:space="preserve"> </w:t>
      </w:r>
      <w:r w:rsidR="004E4230" w:rsidRPr="004E4230">
        <w:t>such</w:t>
      </w:r>
      <w:r w:rsidR="003B65CF" w:rsidRPr="003B65CF">
        <w:t xml:space="preserve"> </w:t>
      </w:r>
      <w:r w:rsidR="004E4230" w:rsidRPr="004E4230">
        <w:t>assistance</w:t>
      </w:r>
      <w:r w:rsidR="003B65CF" w:rsidRPr="003B65CF">
        <w:t xml:space="preserve"> </w:t>
      </w:r>
      <w:r w:rsidR="004E4230" w:rsidRPr="004E4230">
        <w:t>and</w:t>
      </w:r>
      <w:r w:rsidR="003B65CF" w:rsidRPr="003B65CF">
        <w:t xml:space="preserve"> </w:t>
      </w:r>
      <w:r w:rsidR="004E4230" w:rsidRPr="004E4230">
        <w:t>information</w:t>
      </w:r>
      <w:r w:rsidR="003B65CF" w:rsidRPr="003B65CF">
        <w:t xml:space="preserve"> </w:t>
      </w:r>
      <w:r w:rsidR="004E4230" w:rsidRPr="004E4230">
        <w:t>to</w:t>
      </w:r>
      <w:r w:rsidR="003B65CF" w:rsidRPr="003B65CF">
        <w:t xml:space="preserve"> </w:t>
      </w:r>
      <w:r w:rsidR="004E4230" w:rsidRPr="004E4230">
        <w:t>any</w:t>
      </w:r>
      <w:r w:rsidR="003B65CF" w:rsidRPr="003B65CF">
        <w:t xml:space="preserve"> </w:t>
      </w:r>
      <w:r w:rsidR="004E4230" w:rsidRPr="004E4230">
        <w:t>other</w:t>
      </w:r>
      <w:r w:rsidR="003B65CF" w:rsidRPr="003B65CF">
        <w:t xml:space="preserve"> </w:t>
      </w:r>
      <w:r w:rsidR="004E4230" w:rsidRPr="004E4230">
        <w:t>competent</w:t>
      </w:r>
      <w:r w:rsidR="003B65CF" w:rsidRPr="003B65CF">
        <w:t xml:space="preserve"> </w:t>
      </w:r>
      <w:r w:rsidR="004E4230" w:rsidRPr="004E4230">
        <w:t>or</w:t>
      </w:r>
      <w:r w:rsidR="003B65CF" w:rsidRPr="003B65CF">
        <w:t xml:space="preserve"> </w:t>
      </w:r>
      <w:r w:rsidR="004E4230" w:rsidRPr="004E4230">
        <w:t>enforcement</w:t>
      </w:r>
      <w:r w:rsidR="003B65CF" w:rsidRPr="003B65CF">
        <w:t xml:space="preserve"> </w:t>
      </w:r>
      <w:r w:rsidR="004E4230" w:rsidRPr="004E4230">
        <w:t>authority</w:t>
      </w:r>
      <w:r w:rsidR="003B65CF" w:rsidRPr="003B65CF">
        <w:t xml:space="preserve"> </w:t>
      </w:r>
      <w:r w:rsidR="004E4230" w:rsidRPr="004E4230">
        <w:t>as</w:t>
      </w:r>
      <w:r w:rsidR="003B65CF" w:rsidRPr="003B65CF">
        <w:t xml:space="preserve"> </w:t>
      </w:r>
      <w:r w:rsidR="004E4230" w:rsidRPr="004E4230">
        <w:t>it</w:t>
      </w:r>
      <w:r w:rsidR="003B65CF" w:rsidRPr="003B65CF">
        <w:t xml:space="preserve"> </w:t>
      </w:r>
      <w:r w:rsidR="004E4230" w:rsidRPr="004E4230">
        <w:t>may</w:t>
      </w:r>
      <w:r w:rsidR="003B65CF" w:rsidRPr="003B65CF">
        <w:t xml:space="preserve"> </w:t>
      </w:r>
      <w:r w:rsidR="004E4230" w:rsidRPr="004E4230">
        <w:t>reasonably</w:t>
      </w:r>
      <w:r w:rsidR="003B65CF" w:rsidRPr="003B65CF">
        <w:t xml:space="preserve"> </w:t>
      </w:r>
      <w:r w:rsidR="004E4230" w:rsidRPr="004E4230">
        <w:t>require</w:t>
      </w:r>
      <w:r w:rsidR="003B65CF" w:rsidRPr="003B65CF">
        <w:t xml:space="preserve"> </w:t>
      </w:r>
      <w:r w:rsidR="004E4230" w:rsidRPr="004E4230">
        <w:t>for</w:t>
      </w:r>
      <w:r w:rsidR="003B65CF" w:rsidRPr="003B65CF">
        <w:t xml:space="preserve"> </w:t>
      </w:r>
      <w:r w:rsidR="004E4230" w:rsidRPr="004E4230">
        <w:t>the</w:t>
      </w:r>
      <w:r w:rsidR="003B65CF" w:rsidRPr="003B65CF">
        <w:t xml:space="preserve"> </w:t>
      </w:r>
      <w:r w:rsidR="004E4230" w:rsidRPr="004E4230">
        <w:t>purpose</w:t>
      </w:r>
      <w:r w:rsidR="003B65CF" w:rsidRPr="003B65CF">
        <w:t xml:space="preserve"> </w:t>
      </w:r>
      <w:r w:rsidR="004E4230" w:rsidRPr="004E4230">
        <w:t>of</w:t>
      </w:r>
      <w:r w:rsidR="003B65CF" w:rsidRPr="003B65CF">
        <w:t xml:space="preserve"> </w:t>
      </w:r>
      <w:r w:rsidR="004E4230" w:rsidRPr="004E4230">
        <w:t>its</w:t>
      </w:r>
      <w:r w:rsidR="003B65CF" w:rsidRPr="003B65CF">
        <w:t xml:space="preserve"> </w:t>
      </w:r>
      <w:r w:rsidR="004E4230" w:rsidRPr="004E4230">
        <w:t>duties</w:t>
      </w:r>
      <w:r w:rsidR="003B65CF" w:rsidRPr="003B65CF">
        <w:t xml:space="preserve"> </w:t>
      </w:r>
      <w:r w:rsidR="004E4230" w:rsidRPr="004E4230">
        <w:t>under</w:t>
      </w:r>
      <w:r w:rsidR="003B65CF" w:rsidRPr="003B65CF">
        <w:t xml:space="preserve"> </w:t>
      </w:r>
      <w:r w:rsidR="004E4230" w:rsidRPr="004E4230">
        <w:t>these</w:t>
      </w:r>
      <w:r w:rsidR="003B65CF" w:rsidRPr="003B65CF">
        <w:t xml:space="preserve"> </w:t>
      </w:r>
      <w:r w:rsidR="004E4230" w:rsidRPr="004E4230">
        <w:t>Regulations.</w:t>
      </w:r>
    </w:p>
    <w:p w:rsidR="004E4230" w:rsidRDefault="004E4230" w:rsidP="004E4230">
      <w:pPr>
        <w:pStyle w:val="H1"/>
      </w:pPr>
      <w:r>
        <w:t>Powers</w:t>
      </w:r>
      <w:r w:rsidR="003B65CF" w:rsidRPr="003B65CF">
        <w:t xml:space="preserve"> </w:t>
      </w:r>
      <w:r>
        <w:t>of</w:t>
      </w:r>
      <w:r w:rsidR="003B65CF" w:rsidRPr="003B65CF">
        <w:t xml:space="preserve"> </w:t>
      </w:r>
      <w:r>
        <w:t>Entry</w:t>
      </w:r>
    </w:p>
    <w:p w:rsidR="003B65CF" w:rsidRDefault="004E4230" w:rsidP="004E4230">
      <w:pPr>
        <w:pStyle w:val="N1"/>
      </w:pPr>
      <w:r>
        <w:t>—</w:t>
      </w:r>
      <w:r>
        <w:fldChar w:fldCharType="begin"/>
      </w:r>
      <w:r>
        <w:instrText xml:space="preserve"> LISTNUM "SEQ1" \l 2 </w:instrText>
      </w:r>
      <w:r>
        <w:fldChar w:fldCharType="end">
          <w:numberingChange w:id="7" w:author="Boyd, Steve" w:date="2021-06-21T19:46:00Z" w:original="(1)"/>
        </w:fldChar>
      </w:r>
      <w:r w:rsidR="003B65CF" w:rsidRPr="003B65CF">
        <w:t> </w:t>
      </w:r>
      <w:r w:rsidRPr="004E4230">
        <w:t>An</w:t>
      </w:r>
      <w:r w:rsidR="003B65CF" w:rsidRPr="003B65CF">
        <w:t xml:space="preserve"> </w:t>
      </w:r>
      <w:r w:rsidRPr="004E4230">
        <w:t>authorised</w:t>
      </w:r>
      <w:r w:rsidR="003B65CF" w:rsidRPr="003B65CF">
        <w:t xml:space="preserve"> </w:t>
      </w:r>
      <w:r w:rsidRPr="004E4230">
        <w:t>officer</w:t>
      </w:r>
      <w:r w:rsidR="003B65CF" w:rsidRPr="003B65CF">
        <w:t xml:space="preserve"> </w:t>
      </w:r>
      <w:r w:rsidRPr="004E4230">
        <w:t>may</w:t>
      </w:r>
      <w:r w:rsidR="003B65CF" w:rsidRPr="003B65CF">
        <w:t xml:space="preserve"> </w:t>
      </w:r>
      <w:r w:rsidRPr="004E4230">
        <w:t>enter</w:t>
      </w:r>
      <w:r w:rsidR="003B65CF" w:rsidRPr="003B65CF">
        <w:t xml:space="preserve"> </w:t>
      </w:r>
      <w:r w:rsidRPr="004E4230">
        <w:t>any</w:t>
      </w:r>
      <w:r w:rsidR="003B65CF" w:rsidRPr="003B65CF">
        <w:t xml:space="preserve"> </w:t>
      </w:r>
      <w:r w:rsidRPr="004E4230">
        <w:t>premises</w:t>
      </w:r>
      <w:r w:rsidR="003B65CF" w:rsidRPr="003B65CF">
        <w:t xml:space="preserve"> </w:t>
      </w:r>
      <w:r w:rsidRPr="004E4230">
        <w:t>at</w:t>
      </w:r>
      <w:r w:rsidR="003B65CF" w:rsidRPr="003B65CF">
        <w:t xml:space="preserve"> </w:t>
      </w:r>
      <w:r w:rsidRPr="004E4230">
        <w:t>any</w:t>
      </w:r>
      <w:r w:rsidR="003B65CF" w:rsidRPr="003B65CF">
        <w:t xml:space="preserve"> </w:t>
      </w:r>
      <w:r w:rsidRPr="004E4230">
        <w:t>reasonable</w:t>
      </w:r>
      <w:r w:rsidR="003B65CF" w:rsidRPr="003B65CF">
        <w:t xml:space="preserve"> </w:t>
      </w:r>
      <w:r w:rsidRPr="004E4230">
        <w:t>hour</w:t>
      </w:r>
      <w:r w:rsidR="003B65CF" w:rsidRPr="003B65CF">
        <w:t xml:space="preserve"> </w:t>
      </w:r>
      <w:r w:rsidRPr="004E4230">
        <w:t>for</w:t>
      </w:r>
      <w:r w:rsidR="003B65CF" w:rsidRPr="003B65CF">
        <w:t xml:space="preserve"> </w:t>
      </w:r>
      <w:r w:rsidRPr="004E4230">
        <w:t>the</w:t>
      </w:r>
      <w:r w:rsidR="003B65CF" w:rsidRPr="003B65CF">
        <w:t xml:space="preserve"> </w:t>
      </w:r>
      <w:r w:rsidRPr="004E4230">
        <w:t>purpose</w:t>
      </w:r>
      <w:r w:rsidR="003B65CF" w:rsidRPr="003B65CF">
        <w:t xml:space="preserve"> </w:t>
      </w:r>
      <w:r w:rsidRPr="004E4230">
        <w:t>of</w:t>
      </w:r>
      <w:r w:rsidR="003B65CF" w:rsidRPr="003B65CF">
        <w:t xml:space="preserve"> </w:t>
      </w:r>
      <w:r w:rsidRPr="004E4230">
        <w:t>ensuring</w:t>
      </w:r>
      <w:r w:rsidR="003B65CF" w:rsidRPr="003B65CF">
        <w:t xml:space="preserve"> </w:t>
      </w:r>
      <w:r w:rsidRPr="004E4230">
        <w:t>that</w:t>
      </w:r>
      <w:r w:rsidR="003B65CF" w:rsidRPr="003B65CF">
        <w:t xml:space="preserve"> </w:t>
      </w:r>
      <w:r w:rsidRPr="004E4230">
        <w:t>the</w:t>
      </w:r>
      <w:r w:rsidR="003B65CF" w:rsidRPr="003B65CF">
        <w:t xml:space="preserve"> </w:t>
      </w:r>
      <w:r w:rsidRPr="004E4230">
        <w:t>provisions</w:t>
      </w:r>
      <w:r w:rsidR="003B65CF" w:rsidRPr="003B65CF">
        <w:t xml:space="preserve"> </w:t>
      </w:r>
      <w:r w:rsidRPr="004E4230">
        <w:t>of</w:t>
      </w:r>
      <w:r w:rsidR="003B65CF" w:rsidRPr="003B65CF">
        <w:t xml:space="preserve"> </w:t>
      </w:r>
      <w:r w:rsidRPr="004E4230">
        <w:t>these</w:t>
      </w:r>
      <w:r w:rsidR="003B65CF" w:rsidRPr="003B65CF">
        <w:t xml:space="preserve"> </w:t>
      </w:r>
      <w:r w:rsidRPr="004E4230">
        <w:t>Regulations</w:t>
      </w:r>
      <w:r w:rsidR="003B65CF" w:rsidRPr="003B65CF">
        <w:t xml:space="preserve"> </w:t>
      </w:r>
      <w:r w:rsidRPr="004E4230">
        <w:t>are</w:t>
      </w:r>
      <w:r w:rsidR="003B65CF" w:rsidRPr="003B65CF">
        <w:t xml:space="preserve"> </w:t>
      </w:r>
      <w:r w:rsidRPr="004E4230">
        <w:t>being</w:t>
      </w:r>
      <w:r w:rsidR="003B65CF" w:rsidRPr="003B65CF">
        <w:t xml:space="preserve"> </w:t>
      </w:r>
      <w:r w:rsidRPr="004E4230">
        <w:t>complied</w:t>
      </w:r>
      <w:r w:rsidR="003B65CF" w:rsidRPr="003B65CF">
        <w:t xml:space="preserve"> </w:t>
      </w:r>
      <w:r w:rsidRPr="004E4230">
        <w:t>with.</w:t>
      </w:r>
    </w:p>
    <w:p w:rsidR="004E4230" w:rsidRDefault="004E4230" w:rsidP="004E4230">
      <w:pPr>
        <w:pStyle w:val="N2"/>
      </w:pPr>
      <w:r w:rsidRPr="004E4230">
        <w:t>The</w:t>
      </w:r>
      <w:r w:rsidR="003B65CF" w:rsidRPr="003B65CF">
        <w:t xml:space="preserve"> </w:t>
      </w:r>
      <w:r w:rsidRPr="004E4230">
        <w:t>authorised</w:t>
      </w:r>
      <w:r w:rsidR="003B65CF" w:rsidRPr="003B65CF">
        <w:t xml:space="preserve"> </w:t>
      </w:r>
      <w:r w:rsidRPr="004E4230">
        <w:t>officer</w:t>
      </w:r>
      <w:r w:rsidR="003B65CF" w:rsidRPr="003B65CF">
        <w:t xml:space="preserve"> </w:t>
      </w:r>
      <w:r w:rsidRPr="004E4230">
        <w:t>may</w:t>
      </w:r>
      <w:r w:rsidR="003B65CF" w:rsidRPr="003B65CF">
        <w:t xml:space="preserve"> </w:t>
      </w:r>
      <w:r w:rsidRPr="004E4230">
        <w:t>take</w:t>
      </w:r>
      <w:r w:rsidR="003B65CF" w:rsidRPr="003B65CF">
        <w:t xml:space="preserve"> </w:t>
      </w:r>
      <w:r w:rsidRPr="004E4230">
        <w:t>with</w:t>
      </w:r>
      <w:r w:rsidR="003B65CF" w:rsidRPr="003B65CF">
        <w:t xml:space="preserve"> </w:t>
      </w:r>
      <w:r w:rsidRPr="004E4230">
        <w:t>them</w:t>
      </w:r>
      <w:r w:rsidR="003B65CF" w:rsidRPr="003B65CF">
        <w:t xml:space="preserve"> </w:t>
      </w:r>
      <w:r w:rsidRPr="004E4230">
        <w:t>such</w:t>
      </w:r>
      <w:r w:rsidR="003B65CF" w:rsidRPr="003B65CF">
        <w:t xml:space="preserve"> </w:t>
      </w:r>
      <w:r w:rsidRPr="004E4230">
        <w:t>other</w:t>
      </w:r>
      <w:r w:rsidR="003B65CF" w:rsidRPr="003B65CF">
        <w:t xml:space="preserve"> </w:t>
      </w:r>
      <w:r w:rsidRPr="004E4230">
        <w:t>person</w:t>
      </w:r>
      <w:r w:rsidR="003B65CF" w:rsidRPr="003B65CF">
        <w:t xml:space="preserve"> </w:t>
      </w:r>
      <w:r w:rsidRPr="004E4230">
        <w:t>as</w:t>
      </w:r>
      <w:r w:rsidR="003B65CF" w:rsidRPr="003B65CF">
        <w:t xml:space="preserve"> </w:t>
      </w:r>
      <w:r w:rsidRPr="004E4230">
        <w:t>they</w:t>
      </w:r>
      <w:r w:rsidR="003B65CF" w:rsidRPr="003B65CF">
        <w:t xml:space="preserve"> </w:t>
      </w:r>
      <w:r w:rsidRPr="004E4230">
        <w:t>consider</w:t>
      </w:r>
      <w:r w:rsidR="003B65CF" w:rsidRPr="003B65CF">
        <w:t xml:space="preserve"> </w:t>
      </w:r>
      <w:r w:rsidRPr="004E4230">
        <w:t>necessary.</w:t>
      </w:r>
    </w:p>
    <w:p w:rsidR="003B65CF" w:rsidRDefault="004E4230" w:rsidP="004E4230">
      <w:pPr>
        <w:pStyle w:val="N2"/>
      </w:pPr>
      <w:r>
        <w:t>An</w:t>
      </w:r>
      <w:r w:rsidR="003B65CF" w:rsidRPr="003B65CF">
        <w:t xml:space="preserve"> </w:t>
      </w:r>
      <w:r>
        <w:t>authorised</w:t>
      </w:r>
      <w:r w:rsidR="003B65CF" w:rsidRPr="003B65CF">
        <w:t xml:space="preserve"> </w:t>
      </w:r>
      <w:r>
        <w:t>officer</w:t>
      </w:r>
      <w:r w:rsidR="003B65CF" w:rsidRPr="003B65CF">
        <w:t xml:space="preserve"> </w:t>
      </w:r>
      <w:r>
        <w:t>must</w:t>
      </w:r>
      <w:r w:rsidR="003B65CF" w:rsidRPr="003B65CF">
        <w:t xml:space="preserve"> </w:t>
      </w:r>
      <w:r>
        <w:t>not</w:t>
      </w:r>
      <w:r w:rsidR="003B65CF" w:rsidRPr="003B65CF">
        <w:t xml:space="preserve"> </w:t>
      </w:r>
      <w:r>
        <w:t>exercise</w:t>
      </w:r>
      <w:r w:rsidR="003B65CF" w:rsidRPr="003B65CF">
        <w:t xml:space="preserve"> </w:t>
      </w:r>
      <w:r>
        <w:t>the</w:t>
      </w:r>
      <w:r w:rsidR="003B65CF" w:rsidRPr="003B65CF">
        <w:t xml:space="preserve"> </w:t>
      </w:r>
      <w:r>
        <w:t>powers</w:t>
      </w:r>
      <w:r w:rsidR="003B65CF" w:rsidRPr="003B65CF">
        <w:t xml:space="preserve"> </w:t>
      </w:r>
      <w:r>
        <w:t>under</w:t>
      </w:r>
      <w:r w:rsidR="003B65CF" w:rsidRPr="003B65CF">
        <w:t xml:space="preserve"> </w:t>
      </w:r>
      <w:r>
        <w:t>paragraph</w:t>
      </w:r>
      <w:r w:rsidR="003B65CF" w:rsidRPr="003B65CF">
        <w:t xml:space="preserve"> </w:t>
      </w:r>
      <w:r>
        <w:t>(1)</w:t>
      </w:r>
      <w:r w:rsidR="003B65CF" w:rsidRPr="003B65CF">
        <w:t xml:space="preserve"> </w:t>
      </w:r>
      <w:r>
        <w:t>or</w:t>
      </w:r>
      <w:r w:rsidR="003B65CF" w:rsidRPr="003B65CF">
        <w:t xml:space="preserve"> </w:t>
      </w:r>
      <w:r>
        <w:t>(2)</w:t>
      </w:r>
      <w:r w:rsidR="003B65CF" w:rsidRPr="003B65CF">
        <w:t xml:space="preserve"> </w:t>
      </w:r>
      <w:r>
        <w:t>except</w:t>
      </w:r>
      <w:r w:rsidR="003B65CF" w:rsidRPr="003B65CF">
        <w:t xml:space="preserve"> </w:t>
      </w:r>
      <w:r>
        <w:t>on</w:t>
      </w:r>
      <w:r w:rsidR="003B65CF" w:rsidRPr="003B65CF">
        <w:t xml:space="preserve"> </w:t>
      </w:r>
      <w:r>
        <w:t>the</w:t>
      </w:r>
      <w:r w:rsidR="003B65CF" w:rsidRPr="003B65CF">
        <w:t xml:space="preserve"> </w:t>
      </w:r>
      <w:r>
        <w:t>production,</w:t>
      </w:r>
      <w:r w:rsidR="003B65CF" w:rsidRPr="003B65CF">
        <w:t xml:space="preserve"> </w:t>
      </w:r>
      <w:r>
        <w:t>if</w:t>
      </w:r>
      <w:r w:rsidR="003B65CF" w:rsidRPr="003B65CF">
        <w:t xml:space="preserve"> </w:t>
      </w:r>
      <w:r>
        <w:t>so</w:t>
      </w:r>
      <w:r w:rsidR="003B65CF" w:rsidRPr="003B65CF">
        <w:t xml:space="preserve"> </w:t>
      </w:r>
      <w:r>
        <w:t>required,</w:t>
      </w:r>
      <w:r w:rsidR="003B65CF" w:rsidRPr="003B65CF">
        <w:t xml:space="preserve"> </w:t>
      </w:r>
      <w:r>
        <w:t>of</w:t>
      </w:r>
      <w:r w:rsidR="003B65CF" w:rsidRPr="003B65CF">
        <w:t xml:space="preserve"> </w:t>
      </w:r>
      <w:r>
        <w:t>a</w:t>
      </w:r>
      <w:r w:rsidR="003B65CF" w:rsidRPr="003B65CF">
        <w:t xml:space="preserve"> </w:t>
      </w:r>
      <w:r>
        <w:t>duly</w:t>
      </w:r>
      <w:r w:rsidR="003B65CF" w:rsidRPr="003B65CF">
        <w:t xml:space="preserve"> </w:t>
      </w:r>
      <w:r>
        <w:t>authenticated</w:t>
      </w:r>
      <w:r w:rsidR="003B65CF" w:rsidRPr="003B65CF">
        <w:t xml:space="preserve"> </w:t>
      </w:r>
      <w:r>
        <w:t>document</w:t>
      </w:r>
      <w:r w:rsidR="003B65CF" w:rsidRPr="003B65CF">
        <w:t xml:space="preserve"> </w:t>
      </w:r>
      <w:r>
        <w:t>showing</w:t>
      </w:r>
      <w:r w:rsidR="003B65CF" w:rsidRPr="003B65CF">
        <w:t xml:space="preserve"> </w:t>
      </w:r>
      <w:r>
        <w:t>their</w:t>
      </w:r>
      <w:r w:rsidR="003B65CF" w:rsidRPr="003B65CF">
        <w:t xml:space="preserve"> </w:t>
      </w:r>
      <w:r>
        <w:t>authority.</w:t>
      </w:r>
    </w:p>
    <w:p w:rsidR="003B65CF" w:rsidRDefault="004E4230" w:rsidP="004E4230">
      <w:pPr>
        <w:pStyle w:val="N2"/>
      </w:pPr>
      <w:r>
        <w:lastRenderedPageBreak/>
        <w:t>Admission</w:t>
      </w:r>
      <w:r w:rsidR="003B65CF" w:rsidRPr="003B65CF">
        <w:t xml:space="preserve"> </w:t>
      </w:r>
      <w:r>
        <w:t>to</w:t>
      </w:r>
      <w:r w:rsidR="003B65CF" w:rsidRPr="003B65CF">
        <w:t xml:space="preserve"> </w:t>
      </w:r>
      <w:r>
        <w:t>any</w:t>
      </w:r>
      <w:r w:rsidR="003B65CF" w:rsidRPr="003B65CF">
        <w:t xml:space="preserve"> </w:t>
      </w:r>
      <w:r>
        <w:t>premises</w:t>
      </w:r>
      <w:r w:rsidR="003B65CF" w:rsidRPr="003B65CF">
        <w:t xml:space="preserve"> </w:t>
      </w:r>
      <w:r>
        <w:t>used</w:t>
      </w:r>
      <w:r w:rsidR="003B65CF" w:rsidRPr="003B65CF">
        <w:t xml:space="preserve"> </w:t>
      </w:r>
      <w:r>
        <w:t>only</w:t>
      </w:r>
      <w:r w:rsidR="003B65CF" w:rsidRPr="003B65CF">
        <w:t xml:space="preserve"> </w:t>
      </w:r>
      <w:r>
        <w:t>as</w:t>
      </w:r>
      <w:r w:rsidR="003B65CF" w:rsidRPr="003B65CF">
        <w:t xml:space="preserve"> </w:t>
      </w:r>
      <w:r>
        <w:t>a</w:t>
      </w:r>
      <w:r w:rsidR="003B65CF" w:rsidRPr="003B65CF">
        <w:t xml:space="preserve"> </w:t>
      </w:r>
      <w:r>
        <w:t>private</w:t>
      </w:r>
      <w:r w:rsidR="003B65CF" w:rsidRPr="003B65CF">
        <w:t xml:space="preserve"> </w:t>
      </w:r>
      <w:r>
        <w:t>dwelling</w:t>
      </w:r>
      <w:r w:rsidR="003B65CF" w:rsidRPr="003B65CF">
        <w:t xml:space="preserve"> </w:t>
      </w:r>
      <w:r>
        <w:t>house</w:t>
      </w:r>
      <w:r w:rsidR="003B65CF" w:rsidRPr="003B65CF">
        <w:t xml:space="preserve"> </w:t>
      </w:r>
      <w:r>
        <w:t>may</w:t>
      </w:r>
      <w:r w:rsidR="003B65CF" w:rsidRPr="003B65CF">
        <w:t xml:space="preserve"> </w:t>
      </w:r>
      <w:r>
        <w:t>not</w:t>
      </w:r>
      <w:r w:rsidR="003B65CF" w:rsidRPr="003B65CF">
        <w:t xml:space="preserve"> </w:t>
      </w:r>
      <w:r>
        <w:t>be</w:t>
      </w:r>
      <w:r w:rsidR="003B65CF" w:rsidRPr="003B65CF">
        <w:t xml:space="preserve"> </w:t>
      </w:r>
      <w:r>
        <w:t>demanded</w:t>
      </w:r>
      <w:r w:rsidR="003B65CF" w:rsidRPr="003B65CF">
        <w:t xml:space="preserve"> </w:t>
      </w:r>
      <w:r>
        <w:t>as</w:t>
      </w:r>
      <w:r w:rsidR="003B65CF" w:rsidRPr="003B65CF">
        <w:t xml:space="preserve"> </w:t>
      </w:r>
      <w:r>
        <w:t>of</w:t>
      </w:r>
      <w:r w:rsidR="003B65CF" w:rsidRPr="003B65CF">
        <w:t xml:space="preserve"> </w:t>
      </w:r>
      <w:r>
        <w:t>right</w:t>
      </w:r>
      <w:r w:rsidR="003B65CF" w:rsidRPr="003B65CF">
        <w:t xml:space="preserve"> </w:t>
      </w:r>
      <w:r>
        <w:t>unless</w:t>
      </w:r>
      <w:r w:rsidR="003B65CF" w:rsidRPr="003B65CF">
        <w:t xml:space="preserve"> </w:t>
      </w:r>
      <w:r>
        <w:t>24</w:t>
      </w:r>
      <w:r w:rsidR="003B65CF" w:rsidRPr="003B65CF">
        <w:t xml:space="preserve"> </w:t>
      </w:r>
      <w:r>
        <w:t>hours</w:t>
      </w:r>
      <w:r w:rsidR="003B65CF" w:rsidRPr="003B65CF">
        <w:t xml:space="preserve"> </w:t>
      </w:r>
      <w:r>
        <w:t>notice</w:t>
      </w:r>
      <w:r w:rsidR="003B65CF" w:rsidRPr="003B65CF">
        <w:t xml:space="preserve"> </w:t>
      </w:r>
      <w:r>
        <w:t>of</w:t>
      </w:r>
      <w:r w:rsidR="003B65CF" w:rsidRPr="003B65CF">
        <w:t xml:space="preserve"> </w:t>
      </w:r>
      <w:r>
        <w:t>the</w:t>
      </w:r>
      <w:r w:rsidR="003B65CF" w:rsidRPr="003B65CF">
        <w:t xml:space="preserve"> </w:t>
      </w:r>
      <w:r>
        <w:t>intended</w:t>
      </w:r>
      <w:r w:rsidR="003B65CF" w:rsidRPr="003B65CF">
        <w:t xml:space="preserve"> </w:t>
      </w:r>
      <w:r>
        <w:t>entry</w:t>
      </w:r>
      <w:r w:rsidR="003B65CF" w:rsidRPr="003B65CF">
        <w:t xml:space="preserve"> </w:t>
      </w:r>
      <w:r>
        <w:t>has</w:t>
      </w:r>
      <w:r w:rsidR="003B65CF" w:rsidRPr="003B65CF">
        <w:t xml:space="preserve"> </w:t>
      </w:r>
      <w:r>
        <w:t>been</w:t>
      </w:r>
      <w:r w:rsidR="003B65CF" w:rsidRPr="003B65CF">
        <w:t xml:space="preserve"> </w:t>
      </w:r>
      <w:r>
        <w:t>given</w:t>
      </w:r>
      <w:r w:rsidR="003B65CF" w:rsidRPr="003B65CF">
        <w:t xml:space="preserve"> </w:t>
      </w:r>
      <w:r>
        <w:t>to</w:t>
      </w:r>
      <w:r w:rsidR="003B65CF" w:rsidRPr="003B65CF">
        <w:t xml:space="preserve"> </w:t>
      </w:r>
      <w:r>
        <w:t>the</w:t>
      </w:r>
      <w:r w:rsidR="003B65CF" w:rsidRPr="003B65CF">
        <w:t xml:space="preserve"> </w:t>
      </w:r>
      <w:r>
        <w:t>occupier</w:t>
      </w:r>
      <w:r w:rsidR="003B65CF" w:rsidRPr="003B65CF">
        <w:t xml:space="preserve"> </w:t>
      </w:r>
      <w:r>
        <w:t>or</w:t>
      </w:r>
      <w:r w:rsidR="003B65CF" w:rsidRPr="003B65CF">
        <w:t xml:space="preserve"> </w:t>
      </w:r>
      <w:r>
        <w:t>the</w:t>
      </w:r>
      <w:r w:rsidR="003B65CF" w:rsidRPr="003B65CF">
        <w:t xml:space="preserve"> </w:t>
      </w:r>
      <w:r>
        <w:t>entry</w:t>
      </w:r>
      <w:r w:rsidR="003B65CF" w:rsidRPr="003B65CF">
        <w:t xml:space="preserve"> </w:t>
      </w:r>
      <w:r>
        <w:t>is</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a</w:t>
      </w:r>
      <w:r w:rsidR="003B65CF" w:rsidRPr="003B65CF">
        <w:t xml:space="preserve"> </w:t>
      </w:r>
      <w:r>
        <w:t>warrant</w:t>
      </w:r>
      <w:r w:rsidR="003B65CF" w:rsidRPr="003B65CF">
        <w:t xml:space="preserve"> </w:t>
      </w:r>
      <w:r>
        <w:t>granted</w:t>
      </w:r>
      <w:r w:rsidR="003B65CF" w:rsidRPr="003B65CF">
        <w:t xml:space="preserve"> </w:t>
      </w:r>
      <w:r>
        <w:t>under</w:t>
      </w:r>
      <w:r w:rsidR="003B65CF" w:rsidRPr="003B65CF">
        <w:t xml:space="preserve"> </w:t>
      </w:r>
      <w:r>
        <w:t>this</w:t>
      </w:r>
      <w:r w:rsidR="003B65CF" w:rsidRPr="003B65CF">
        <w:t xml:space="preserve"> </w:t>
      </w:r>
      <w:r>
        <w:t>regulation.</w:t>
      </w:r>
    </w:p>
    <w:p w:rsidR="003B65CF" w:rsidRDefault="004E4230" w:rsidP="004E4230">
      <w:pPr>
        <w:pStyle w:val="N2"/>
      </w:pPr>
      <w:r>
        <w:t>If</w:t>
      </w:r>
      <w:r w:rsidR="003B65CF" w:rsidRPr="003B65CF">
        <w:t xml:space="preserve"> </w:t>
      </w:r>
      <w:r>
        <w:t>a</w:t>
      </w:r>
      <w:r w:rsidR="003B65CF" w:rsidRPr="003B65CF">
        <w:t xml:space="preserve"> </w:t>
      </w:r>
      <w:r>
        <w:t>lay</w:t>
      </w:r>
      <w:r w:rsidR="003B65CF" w:rsidRPr="003B65CF">
        <w:t xml:space="preserve"> </w:t>
      </w:r>
      <w:r>
        <w:t>magistrate,</w:t>
      </w:r>
      <w:r w:rsidR="003B65CF" w:rsidRPr="003B65CF">
        <w:t xml:space="preserve"> </w:t>
      </w:r>
      <w:r>
        <w:t>on</w:t>
      </w:r>
      <w:r w:rsidR="003B65CF" w:rsidRPr="003B65CF">
        <w:t xml:space="preserve"> </w:t>
      </w:r>
      <w:r>
        <w:t>sworn</w:t>
      </w:r>
      <w:r w:rsidR="003B65CF" w:rsidRPr="003B65CF">
        <w:t xml:space="preserve"> </w:t>
      </w:r>
      <w:r>
        <w:t>information</w:t>
      </w:r>
      <w:r w:rsidR="003B65CF" w:rsidRPr="003B65CF">
        <w:t xml:space="preserve"> </w:t>
      </w:r>
      <w:r>
        <w:t>in</w:t>
      </w:r>
      <w:r w:rsidR="003B65CF" w:rsidRPr="003B65CF">
        <w:t xml:space="preserve"> </w:t>
      </w:r>
      <w:r>
        <w:t>writing,</w:t>
      </w:r>
      <w:r w:rsidR="003B65CF" w:rsidRPr="003B65CF">
        <w:t xml:space="preserve"> </w:t>
      </w:r>
      <w:r>
        <w:t>is</w:t>
      </w:r>
      <w:r w:rsidR="003B65CF" w:rsidRPr="003B65CF">
        <w:t xml:space="preserve"> </w:t>
      </w:r>
      <w:r>
        <w:t>satisfied</w:t>
      </w:r>
      <w:r w:rsidR="003B65CF" w:rsidRPr="003B65CF">
        <w:t xml:space="preserve"> </w:t>
      </w:r>
      <w:r>
        <w:t>of</w:t>
      </w:r>
      <w:r w:rsidR="003B65CF" w:rsidRPr="003B65CF">
        <w:t xml:space="preserve"> </w:t>
      </w:r>
      <w:r>
        <w:t>the</w:t>
      </w:r>
      <w:r w:rsidR="003B65CF" w:rsidRPr="003B65CF">
        <w:t xml:space="preserve"> </w:t>
      </w:r>
      <w:r>
        <w:t>matters</w:t>
      </w:r>
      <w:r w:rsidR="003B65CF" w:rsidRPr="003B65CF">
        <w:t xml:space="preserve"> </w:t>
      </w:r>
      <w:r>
        <w:t>mentioned</w:t>
      </w:r>
      <w:r w:rsidR="003B65CF" w:rsidRPr="003B65CF">
        <w:t xml:space="preserve"> </w:t>
      </w:r>
      <w:r>
        <w:t>in</w:t>
      </w:r>
      <w:r w:rsidR="003B65CF" w:rsidRPr="003B65CF">
        <w:t xml:space="preserve"> </w:t>
      </w:r>
      <w:r>
        <w:t>paragraph</w:t>
      </w:r>
      <w:r w:rsidR="003B65CF" w:rsidRPr="003B65CF">
        <w:t xml:space="preserve"> </w:t>
      </w:r>
      <w:r>
        <w:t>(6),</w:t>
      </w:r>
      <w:r w:rsidR="003B65CF" w:rsidRPr="003B65CF">
        <w:t xml:space="preserve"> </w:t>
      </w:r>
      <w:r>
        <w:t>they</w:t>
      </w:r>
      <w:r w:rsidR="003B65CF" w:rsidRPr="003B65CF">
        <w:t xml:space="preserve"> </w:t>
      </w:r>
      <w:r>
        <w:t>may</w:t>
      </w:r>
      <w:r w:rsidR="003B65CF" w:rsidRPr="003B65CF">
        <w:t xml:space="preserve"> </w:t>
      </w:r>
      <w:r w:rsidR="0032097F">
        <w:t>grant</w:t>
      </w:r>
      <w:r w:rsidR="003B65CF" w:rsidRPr="003B65CF">
        <w:t xml:space="preserve"> </w:t>
      </w:r>
      <w:r>
        <w:t>a</w:t>
      </w:r>
      <w:r w:rsidR="003B65CF" w:rsidRPr="003B65CF">
        <w:t xml:space="preserve"> </w:t>
      </w:r>
      <w:r>
        <w:t>warrant</w:t>
      </w:r>
      <w:r w:rsidR="003B65CF" w:rsidRPr="003B65CF">
        <w:t xml:space="preserve"> </w:t>
      </w:r>
      <w:r>
        <w:t>permitting</w:t>
      </w:r>
      <w:r w:rsidR="003B65CF" w:rsidRPr="003B65CF">
        <w:t xml:space="preserve"> </w:t>
      </w:r>
      <w:r>
        <w:t>an</w:t>
      </w:r>
      <w:r w:rsidR="003B65CF" w:rsidRPr="003B65CF">
        <w:t xml:space="preserve"> </w:t>
      </w:r>
      <w:r>
        <w:t>authorised</w:t>
      </w:r>
      <w:r w:rsidR="003B65CF" w:rsidRPr="003B65CF">
        <w:t xml:space="preserve"> </w:t>
      </w:r>
      <w:r>
        <w:t>officer</w:t>
      </w:r>
      <w:r w:rsidR="003B65CF" w:rsidRPr="003B65CF">
        <w:t xml:space="preserve"> </w:t>
      </w:r>
      <w:r>
        <w:t>to</w:t>
      </w:r>
      <w:r w:rsidR="003B65CF" w:rsidRPr="003B65CF">
        <w:t xml:space="preserve"> </w:t>
      </w:r>
      <w:r>
        <w:t>enter</w:t>
      </w:r>
      <w:r w:rsidR="003B65CF" w:rsidRPr="003B65CF">
        <w:t xml:space="preserve"> </w:t>
      </w:r>
      <w:r>
        <w:t>any</w:t>
      </w:r>
      <w:r w:rsidR="003B65CF" w:rsidRPr="003B65CF">
        <w:t xml:space="preserve"> </w:t>
      </w:r>
      <w:r>
        <w:t>premises,</w:t>
      </w:r>
      <w:r w:rsidR="003B65CF" w:rsidRPr="003B65CF">
        <w:t xml:space="preserve"> </w:t>
      </w:r>
      <w:r>
        <w:t>if</w:t>
      </w:r>
      <w:r w:rsidR="003B65CF" w:rsidRPr="003B65CF">
        <w:t xml:space="preserve"> </w:t>
      </w:r>
      <w:r>
        <w:t>needs</w:t>
      </w:r>
      <w:r w:rsidR="003B65CF" w:rsidRPr="003B65CF">
        <w:t xml:space="preserve"> </w:t>
      </w:r>
      <w:r>
        <w:t>be</w:t>
      </w:r>
      <w:r w:rsidR="003B65CF" w:rsidRPr="003B65CF">
        <w:t xml:space="preserve"> </w:t>
      </w:r>
      <w:r>
        <w:t>by</w:t>
      </w:r>
      <w:r w:rsidR="003B65CF" w:rsidRPr="003B65CF">
        <w:t xml:space="preserve"> </w:t>
      </w:r>
      <w:r>
        <w:t>reasonable</w:t>
      </w:r>
      <w:r w:rsidR="003B65CF" w:rsidRPr="003B65CF">
        <w:t xml:space="preserve"> </w:t>
      </w:r>
      <w:r>
        <w:t>force.</w:t>
      </w:r>
    </w:p>
    <w:p w:rsidR="003B65CF" w:rsidRDefault="004E4230" w:rsidP="004E4230">
      <w:pPr>
        <w:pStyle w:val="N2"/>
      </w:pPr>
      <w:r>
        <w:t>The</w:t>
      </w:r>
      <w:r w:rsidR="003B65CF" w:rsidRPr="003B65CF">
        <w:t xml:space="preserve"> </w:t>
      </w:r>
      <w:r>
        <w:t>matters</w:t>
      </w:r>
      <w:r w:rsidR="003B65CF" w:rsidRPr="003B65CF">
        <w:t xml:space="preserve"> </w:t>
      </w:r>
      <w:r>
        <w:t>are</w:t>
      </w:r>
      <w:r w:rsidR="003B65CF" w:rsidRPr="003B65CF">
        <w:t xml:space="preserve"> </w:t>
      </w:r>
      <w:r>
        <w:t>that—</w:t>
      </w:r>
    </w:p>
    <w:p w:rsidR="004E4230" w:rsidRDefault="004E4230" w:rsidP="00B07141">
      <w:pPr>
        <w:pStyle w:val="N3"/>
      </w:pPr>
      <w:r>
        <w:t>there</w:t>
      </w:r>
      <w:r w:rsidR="003B65CF" w:rsidRPr="003B65CF">
        <w:t xml:space="preserve"> </w:t>
      </w:r>
      <w:r>
        <w:t>are</w:t>
      </w:r>
      <w:r w:rsidR="003B65CF" w:rsidRPr="003B65CF">
        <w:t xml:space="preserve"> </w:t>
      </w:r>
      <w:r>
        <w:t>reasonable</w:t>
      </w:r>
      <w:r w:rsidR="003B65CF" w:rsidRPr="003B65CF">
        <w:t xml:space="preserve"> </w:t>
      </w:r>
      <w:r>
        <w:t>grounds</w:t>
      </w:r>
      <w:r w:rsidR="003B65CF" w:rsidRPr="003B65CF">
        <w:t xml:space="preserve"> </w:t>
      </w:r>
      <w:r>
        <w:t>for</w:t>
      </w:r>
      <w:r w:rsidR="003B65CF" w:rsidRPr="003B65CF">
        <w:t xml:space="preserve"> </w:t>
      </w:r>
      <w:r>
        <w:t>believing</w:t>
      </w:r>
      <w:r w:rsidR="003B65CF" w:rsidRPr="003B65CF">
        <w:t xml:space="preserve"> </w:t>
      </w:r>
      <w:r>
        <w:t>that</w:t>
      </w:r>
      <w:r w:rsidR="003B65CF" w:rsidRPr="003B65CF">
        <w:t xml:space="preserve"> </w:t>
      </w:r>
      <w:r>
        <w:t>Condition</w:t>
      </w:r>
      <w:r w:rsidR="003B65CF" w:rsidRPr="003B65CF">
        <w:t xml:space="preserve"> </w:t>
      </w:r>
      <w:r>
        <w:t>A</w:t>
      </w:r>
      <w:r w:rsidR="003B65CF" w:rsidRPr="003B65CF">
        <w:t xml:space="preserve"> </w:t>
      </w:r>
      <w:r>
        <w:t>or</w:t>
      </w:r>
      <w:r w:rsidR="003B65CF" w:rsidRPr="003B65CF">
        <w:t xml:space="preserve"> </w:t>
      </w:r>
      <w:r>
        <w:t>B</w:t>
      </w:r>
      <w:r w:rsidR="003B65CF" w:rsidRPr="003B65CF">
        <w:t xml:space="preserve"> </w:t>
      </w:r>
      <w:r>
        <w:t>is</w:t>
      </w:r>
      <w:r w:rsidR="003B65CF" w:rsidRPr="003B65CF">
        <w:t xml:space="preserve"> </w:t>
      </w:r>
      <w:r>
        <w:t>met</w:t>
      </w:r>
      <w:r w:rsidR="001B7E66">
        <w:t>,</w:t>
      </w:r>
      <w:r w:rsidR="003B65CF" w:rsidRPr="003B65CF">
        <w:t xml:space="preserve"> </w:t>
      </w:r>
      <w:r>
        <w:t>and</w:t>
      </w:r>
    </w:p>
    <w:p w:rsidR="004E4230" w:rsidRDefault="004E4230" w:rsidP="00B07141">
      <w:pPr>
        <w:pStyle w:val="N3"/>
      </w:pPr>
      <w:r>
        <w:t>Condition</w:t>
      </w:r>
      <w:r w:rsidR="003B65CF" w:rsidRPr="003B65CF">
        <w:t xml:space="preserve"> </w:t>
      </w:r>
      <w:r>
        <w:t>C,</w:t>
      </w:r>
      <w:r w:rsidR="003B65CF" w:rsidRPr="003B65CF">
        <w:t xml:space="preserve"> </w:t>
      </w:r>
      <w:r>
        <w:t>D</w:t>
      </w:r>
      <w:r w:rsidR="003B65CF" w:rsidRPr="003B65CF">
        <w:t xml:space="preserve"> </w:t>
      </w:r>
      <w:r>
        <w:t>or</w:t>
      </w:r>
      <w:r w:rsidR="003B65CF" w:rsidRPr="003B65CF">
        <w:t xml:space="preserve"> </w:t>
      </w:r>
      <w:r>
        <w:t>E</w:t>
      </w:r>
      <w:r w:rsidR="003B65CF" w:rsidRPr="003B65CF">
        <w:t xml:space="preserve"> </w:t>
      </w:r>
      <w:r>
        <w:t>is</w:t>
      </w:r>
      <w:r w:rsidR="003B65CF" w:rsidRPr="003B65CF">
        <w:t xml:space="preserve"> </w:t>
      </w:r>
      <w:r>
        <w:t>met.</w:t>
      </w:r>
    </w:p>
    <w:p w:rsidR="003B65CF" w:rsidRDefault="004E4230" w:rsidP="004E4230">
      <w:pPr>
        <w:pStyle w:val="N2"/>
      </w:pPr>
      <w:r>
        <w:t>Condition</w:t>
      </w:r>
      <w:r w:rsidR="003B65CF" w:rsidRPr="003B65CF">
        <w:t xml:space="preserve"> </w:t>
      </w:r>
      <w:r>
        <w:t>A</w:t>
      </w:r>
      <w:r w:rsidR="003B65CF" w:rsidRPr="003B65CF">
        <w:t xml:space="preserve"> </w:t>
      </w:r>
      <w:r>
        <w:t>is</w:t>
      </w:r>
      <w:r w:rsidR="003B65CF" w:rsidRPr="003B65CF">
        <w:t xml:space="preserve"> </w:t>
      </w:r>
      <w:r>
        <w:t>that</w:t>
      </w:r>
      <w:r w:rsidR="003B65CF" w:rsidRPr="003B65CF">
        <w:t xml:space="preserve"> </w:t>
      </w:r>
      <w:r>
        <w:t>on</w:t>
      </w:r>
      <w:r w:rsidR="003B65CF" w:rsidRPr="003B65CF">
        <w:t xml:space="preserve"> </w:t>
      </w:r>
      <w:r>
        <w:t>the</w:t>
      </w:r>
      <w:r w:rsidR="003B65CF" w:rsidRPr="003B65CF">
        <w:t xml:space="preserve"> </w:t>
      </w:r>
      <w:r>
        <w:t>premises</w:t>
      </w:r>
      <w:r w:rsidR="003B65CF" w:rsidRPr="003B65CF">
        <w:t xml:space="preserve"> </w:t>
      </w:r>
      <w:r>
        <w:t>there</w:t>
      </w:r>
      <w:r w:rsidR="003B65CF" w:rsidRPr="003B65CF">
        <w:t xml:space="preserve"> </w:t>
      </w:r>
      <w:r>
        <w:t>are</w:t>
      </w:r>
      <w:r w:rsidR="003B65CF" w:rsidRPr="003B65CF">
        <w:t xml:space="preserve"> </w:t>
      </w:r>
      <w:r>
        <w:t>items</w:t>
      </w:r>
      <w:r w:rsidR="003B65CF" w:rsidRPr="003B65CF">
        <w:t xml:space="preserve"> </w:t>
      </w:r>
      <w:r>
        <w:t>or</w:t>
      </w:r>
      <w:r w:rsidR="003B65CF" w:rsidRPr="003B65CF">
        <w:t xml:space="preserve"> </w:t>
      </w:r>
      <w:r>
        <w:t>products</w:t>
      </w:r>
      <w:r w:rsidR="003B65CF" w:rsidRPr="003B65CF">
        <w:t xml:space="preserve"> </w:t>
      </w:r>
      <w:r>
        <w:t>of</w:t>
      </w:r>
      <w:r w:rsidR="003B65CF" w:rsidRPr="003B65CF">
        <w:t xml:space="preserve"> </w:t>
      </w:r>
      <w:r>
        <w:t>the</w:t>
      </w:r>
      <w:r w:rsidR="003B65CF" w:rsidRPr="003B65CF">
        <w:t xml:space="preserve"> </w:t>
      </w:r>
      <w:r>
        <w:t>type</w:t>
      </w:r>
      <w:r w:rsidR="003B65CF" w:rsidRPr="003B65CF">
        <w:t xml:space="preserve"> </w:t>
      </w:r>
      <w:r>
        <w:t>mentioned</w:t>
      </w:r>
      <w:r w:rsidR="003B65CF" w:rsidRPr="003B65CF">
        <w:t xml:space="preserve"> </w:t>
      </w:r>
      <w:r>
        <w:t>in</w:t>
      </w:r>
      <w:r w:rsidR="003B65CF" w:rsidRPr="003B65CF">
        <w:t xml:space="preserve"> </w:t>
      </w:r>
      <w:r w:rsidR="00ED0C05" w:rsidRPr="00ED0C05">
        <w:t>regulation</w:t>
      </w:r>
      <w:r w:rsidR="003B65CF" w:rsidRPr="003B65CF">
        <w:t xml:space="preserve"> </w:t>
      </w:r>
      <w:r w:rsidR="00ED0C05" w:rsidRPr="00ED0C05">
        <w:t>9</w:t>
      </w:r>
      <w:r w:rsidRPr="00ED0C05">
        <w:t>(1)(a)</w:t>
      </w:r>
      <w:r w:rsidR="003B65CF" w:rsidRPr="003B65CF">
        <w:t xml:space="preserve"> </w:t>
      </w:r>
      <w:r>
        <w:t>or</w:t>
      </w:r>
      <w:r w:rsidR="003B65CF" w:rsidRPr="003B65CF">
        <w:t xml:space="preserve"> </w:t>
      </w:r>
      <w:r>
        <w:t>documents</w:t>
      </w:r>
      <w:r w:rsidR="003B65CF" w:rsidRPr="003B65CF">
        <w:t xml:space="preserve"> </w:t>
      </w:r>
      <w:r>
        <w:t>or</w:t>
      </w:r>
      <w:r w:rsidR="003B65CF" w:rsidRPr="003B65CF">
        <w:t xml:space="preserve"> </w:t>
      </w:r>
      <w:r>
        <w:t>records</w:t>
      </w:r>
      <w:r w:rsidR="003B65CF" w:rsidRPr="003B65CF">
        <w:t xml:space="preserve"> </w:t>
      </w:r>
      <w:r>
        <w:t>of</w:t>
      </w:r>
      <w:r w:rsidR="003B65CF" w:rsidRPr="003B65CF">
        <w:t xml:space="preserve"> </w:t>
      </w:r>
      <w:r>
        <w:t>the</w:t>
      </w:r>
      <w:r w:rsidR="003B65CF" w:rsidRPr="003B65CF">
        <w:t xml:space="preserve"> </w:t>
      </w:r>
      <w:r>
        <w:t>type</w:t>
      </w:r>
      <w:r w:rsidR="003B65CF" w:rsidRPr="003B65CF">
        <w:t xml:space="preserve"> </w:t>
      </w:r>
      <w:r>
        <w:t>mentioned</w:t>
      </w:r>
      <w:r w:rsidR="003B65CF" w:rsidRPr="003B65CF">
        <w:t xml:space="preserve"> </w:t>
      </w:r>
      <w:r>
        <w:t>in</w:t>
      </w:r>
      <w:r w:rsidR="003B65CF" w:rsidRPr="003B65CF">
        <w:t xml:space="preserve"> </w:t>
      </w:r>
      <w:r w:rsidR="00ED0C05" w:rsidRPr="00ED0C05">
        <w:t>regulation</w:t>
      </w:r>
      <w:r w:rsidR="003B65CF" w:rsidRPr="003B65CF">
        <w:t xml:space="preserve"> </w:t>
      </w:r>
      <w:r w:rsidR="00ED0C05" w:rsidRPr="00ED0C05">
        <w:t>9</w:t>
      </w:r>
      <w:r w:rsidRPr="00ED0C05">
        <w:t>(1)(e)</w:t>
      </w:r>
      <w:r w:rsidR="003B65CF" w:rsidRPr="003B65CF">
        <w:t xml:space="preserve"> </w:t>
      </w:r>
      <w:r>
        <w:t>and</w:t>
      </w:r>
      <w:r w:rsidR="003B65CF" w:rsidRPr="003B65CF">
        <w:t xml:space="preserve"> </w:t>
      </w:r>
      <w:r>
        <w:t>that</w:t>
      </w:r>
      <w:r w:rsidR="003B65CF" w:rsidRPr="003B65CF">
        <w:t xml:space="preserve"> </w:t>
      </w:r>
      <w:r>
        <w:t>their</w:t>
      </w:r>
      <w:r w:rsidR="003B65CF" w:rsidRPr="003B65CF">
        <w:t xml:space="preserve"> </w:t>
      </w:r>
      <w:r>
        <w:t>inspection</w:t>
      </w:r>
      <w:r w:rsidR="003B65CF" w:rsidRPr="003B65CF">
        <w:t xml:space="preserve"> </w:t>
      </w:r>
      <w:r>
        <w:t>is</w:t>
      </w:r>
      <w:r w:rsidR="003B65CF" w:rsidRPr="003B65CF">
        <w:t xml:space="preserve"> </w:t>
      </w:r>
      <w:r>
        <w:t>likely</w:t>
      </w:r>
      <w:r w:rsidR="003B65CF" w:rsidRPr="003B65CF">
        <w:t xml:space="preserve"> </w:t>
      </w:r>
      <w:r>
        <w:t>to</w:t>
      </w:r>
      <w:r w:rsidR="003B65CF" w:rsidRPr="003B65CF">
        <w:t xml:space="preserve"> </w:t>
      </w:r>
      <w:r>
        <w:t>disclose</w:t>
      </w:r>
      <w:r w:rsidR="003B65CF" w:rsidRPr="003B65CF">
        <w:t xml:space="preserve"> </w:t>
      </w:r>
      <w:r>
        <w:t>evidence</w:t>
      </w:r>
      <w:r w:rsidR="003B65CF" w:rsidRPr="003B65CF">
        <w:t xml:space="preserve"> </w:t>
      </w:r>
      <w:r>
        <w:t>of</w:t>
      </w:r>
      <w:r w:rsidR="003B65CF" w:rsidRPr="003B65CF">
        <w:t xml:space="preserve"> </w:t>
      </w:r>
      <w:r>
        <w:t>a</w:t>
      </w:r>
      <w:r w:rsidR="003B65CF" w:rsidRPr="003B65CF">
        <w:t xml:space="preserve"> </w:t>
      </w:r>
      <w:r>
        <w:t>contravention</w:t>
      </w:r>
      <w:r w:rsidR="003B65CF" w:rsidRPr="003B65CF">
        <w:t xml:space="preserve"> </w:t>
      </w:r>
      <w:r>
        <w:t>of</w:t>
      </w:r>
      <w:r w:rsidR="003B65CF" w:rsidRPr="003B65CF">
        <w:t xml:space="preserve"> </w:t>
      </w:r>
      <w:r>
        <w:t>these</w:t>
      </w:r>
      <w:r w:rsidR="003B65CF" w:rsidRPr="003B65CF">
        <w:t xml:space="preserve"> </w:t>
      </w:r>
      <w:r>
        <w:t>Regulations.</w:t>
      </w:r>
    </w:p>
    <w:p w:rsidR="003B65CF" w:rsidRDefault="004E4230" w:rsidP="004E4230">
      <w:pPr>
        <w:pStyle w:val="N2"/>
      </w:pPr>
      <w:r>
        <w:t>Condition</w:t>
      </w:r>
      <w:r w:rsidR="003B65CF" w:rsidRPr="003B65CF">
        <w:t xml:space="preserve"> </w:t>
      </w:r>
      <w:r>
        <w:t>B</w:t>
      </w:r>
      <w:r w:rsidR="003B65CF" w:rsidRPr="003B65CF">
        <w:t xml:space="preserve"> </w:t>
      </w:r>
      <w:r>
        <w:t>is</w:t>
      </w:r>
      <w:r w:rsidR="003B65CF" w:rsidRPr="003B65CF">
        <w:t xml:space="preserve"> </w:t>
      </w:r>
      <w:r>
        <w:t>that</w:t>
      </w:r>
      <w:r w:rsidR="003B65CF" w:rsidRPr="003B65CF">
        <w:t xml:space="preserve"> </w:t>
      </w:r>
      <w:r>
        <w:t>a</w:t>
      </w:r>
      <w:r w:rsidR="003B65CF" w:rsidRPr="003B65CF">
        <w:t xml:space="preserve"> </w:t>
      </w:r>
      <w:r>
        <w:t>contravention</w:t>
      </w:r>
      <w:r w:rsidR="003B65CF" w:rsidRPr="003B65CF">
        <w:t xml:space="preserve"> </w:t>
      </w:r>
      <w:r>
        <w:t>of,</w:t>
      </w:r>
      <w:r w:rsidR="003B65CF" w:rsidRPr="003B65CF">
        <w:t xml:space="preserve"> </w:t>
      </w:r>
      <w:r>
        <w:t>or</w:t>
      </w:r>
      <w:r w:rsidR="003B65CF" w:rsidRPr="003B65CF">
        <w:t xml:space="preserve"> </w:t>
      </w:r>
      <w:r>
        <w:t>failure</w:t>
      </w:r>
      <w:r w:rsidR="003B65CF" w:rsidRPr="003B65CF">
        <w:t xml:space="preserve"> </w:t>
      </w:r>
      <w:r>
        <w:t>to</w:t>
      </w:r>
      <w:r w:rsidR="003B65CF" w:rsidRPr="003B65CF">
        <w:t xml:space="preserve"> </w:t>
      </w:r>
      <w:r>
        <w:t>comply</w:t>
      </w:r>
      <w:r w:rsidR="003B65CF" w:rsidRPr="003B65CF">
        <w:t xml:space="preserve"> </w:t>
      </w:r>
      <w:r>
        <w:t>with,</w:t>
      </w:r>
      <w:r w:rsidR="003B65CF" w:rsidRPr="003B65CF">
        <w:t xml:space="preserve"> </w:t>
      </w:r>
      <w:r>
        <w:t>these</w:t>
      </w:r>
      <w:r w:rsidR="003B65CF" w:rsidRPr="003B65CF">
        <w:t xml:space="preserve"> </w:t>
      </w:r>
      <w:r>
        <w:t>Regulations</w:t>
      </w:r>
      <w:r w:rsidR="003B65CF" w:rsidRPr="003B65CF">
        <w:t xml:space="preserve"> </w:t>
      </w:r>
      <w:r>
        <w:t>has</w:t>
      </w:r>
      <w:r w:rsidR="003B65CF" w:rsidRPr="003B65CF">
        <w:t xml:space="preserve"> </w:t>
      </w:r>
      <w:r>
        <w:t>occurred,</w:t>
      </w:r>
      <w:r w:rsidR="003B65CF" w:rsidRPr="003B65CF">
        <w:t xml:space="preserve"> </w:t>
      </w:r>
      <w:r>
        <w:t>is</w:t>
      </w:r>
      <w:r w:rsidR="003B65CF" w:rsidRPr="003B65CF">
        <w:t xml:space="preserve"> </w:t>
      </w:r>
      <w:r>
        <w:t>occurring</w:t>
      </w:r>
      <w:r w:rsidR="003B65CF" w:rsidRPr="003B65CF">
        <w:t xml:space="preserve"> </w:t>
      </w:r>
      <w:r>
        <w:t>or</w:t>
      </w:r>
      <w:r w:rsidR="003B65CF" w:rsidRPr="003B65CF">
        <w:t xml:space="preserve"> </w:t>
      </w:r>
      <w:r>
        <w:t>is</w:t>
      </w:r>
      <w:r w:rsidR="003B65CF" w:rsidRPr="003B65CF">
        <w:t xml:space="preserve"> </w:t>
      </w:r>
      <w:r>
        <w:t>about</w:t>
      </w:r>
      <w:r w:rsidR="003B65CF" w:rsidRPr="003B65CF">
        <w:t xml:space="preserve"> </w:t>
      </w:r>
      <w:r>
        <w:t>to</w:t>
      </w:r>
      <w:r w:rsidR="003B65CF" w:rsidRPr="003B65CF">
        <w:t xml:space="preserve"> </w:t>
      </w:r>
      <w:r>
        <w:t>occur</w:t>
      </w:r>
      <w:r w:rsidR="003B65CF" w:rsidRPr="003B65CF">
        <w:t xml:space="preserve"> </w:t>
      </w:r>
      <w:r>
        <w:t>on</w:t>
      </w:r>
      <w:r w:rsidR="003B65CF" w:rsidRPr="003B65CF">
        <w:t xml:space="preserve"> </w:t>
      </w:r>
      <w:r>
        <w:t>those</w:t>
      </w:r>
      <w:r w:rsidR="003B65CF" w:rsidRPr="003B65CF">
        <w:t xml:space="preserve"> </w:t>
      </w:r>
      <w:r>
        <w:t>premises.</w:t>
      </w:r>
    </w:p>
    <w:p w:rsidR="003B65CF" w:rsidRDefault="004E4230" w:rsidP="004E4230">
      <w:pPr>
        <w:pStyle w:val="N2"/>
      </w:pPr>
      <w:r>
        <w:t>Condition</w:t>
      </w:r>
      <w:r w:rsidR="003B65CF" w:rsidRPr="003B65CF">
        <w:t xml:space="preserve"> </w:t>
      </w:r>
      <w:r>
        <w:t>C</w:t>
      </w:r>
      <w:r w:rsidR="003B65CF" w:rsidRPr="003B65CF">
        <w:t xml:space="preserve"> </w:t>
      </w:r>
      <w:r>
        <w:t>is</w:t>
      </w:r>
      <w:r w:rsidR="003B65CF" w:rsidRPr="003B65CF">
        <w:t xml:space="preserve"> </w:t>
      </w:r>
      <w:r>
        <w:t>that</w:t>
      </w:r>
      <w:r w:rsidR="003B65CF" w:rsidRPr="003B65CF">
        <w:t xml:space="preserve"> </w:t>
      </w:r>
      <w:r>
        <w:t>admission</w:t>
      </w:r>
      <w:r w:rsidR="003B65CF" w:rsidRPr="003B65CF">
        <w:t xml:space="preserve"> </w:t>
      </w:r>
      <w:r>
        <w:t>to</w:t>
      </w:r>
      <w:r w:rsidR="003B65CF" w:rsidRPr="003B65CF">
        <w:t xml:space="preserve"> </w:t>
      </w:r>
      <w:r>
        <w:t>the</w:t>
      </w:r>
      <w:r w:rsidR="003B65CF" w:rsidRPr="003B65CF">
        <w:t xml:space="preserve"> </w:t>
      </w:r>
      <w:r>
        <w:t>premises</w:t>
      </w:r>
      <w:r w:rsidR="003B65CF" w:rsidRPr="003B65CF">
        <w:t xml:space="preserve"> </w:t>
      </w:r>
      <w:r>
        <w:t>has</w:t>
      </w:r>
      <w:r w:rsidR="003B65CF" w:rsidRPr="003B65CF">
        <w:t xml:space="preserve"> </w:t>
      </w:r>
      <w:r>
        <w:t>been,</w:t>
      </w:r>
      <w:r w:rsidR="003B65CF" w:rsidRPr="003B65CF">
        <w:t xml:space="preserve"> </w:t>
      </w:r>
      <w:r>
        <w:t>or</w:t>
      </w:r>
      <w:r w:rsidR="003B65CF" w:rsidRPr="003B65CF">
        <w:t xml:space="preserve"> </w:t>
      </w:r>
      <w:r>
        <w:t>is</w:t>
      </w:r>
      <w:r w:rsidR="003B65CF" w:rsidRPr="003B65CF">
        <w:t xml:space="preserve"> </w:t>
      </w:r>
      <w:r>
        <w:t>likely</w:t>
      </w:r>
      <w:r w:rsidR="003B65CF" w:rsidRPr="003B65CF">
        <w:t xml:space="preserve"> </w:t>
      </w:r>
      <w:r>
        <w:t>to</w:t>
      </w:r>
      <w:r w:rsidR="003B65CF" w:rsidRPr="003B65CF">
        <w:t xml:space="preserve"> </w:t>
      </w:r>
      <w:r>
        <w:t>be,</w:t>
      </w:r>
      <w:r w:rsidR="003B65CF" w:rsidRPr="003B65CF">
        <w:t xml:space="preserve"> </w:t>
      </w:r>
      <w:r>
        <w:t>refused,</w:t>
      </w:r>
      <w:r w:rsidR="003B65CF" w:rsidRPr="003B65CF">
        <w:t xml:space="preserve"> </w:t>
      </w:r>
      <w:r>
        <w:t>and</w:t>
      </w:r>
      <w:r w:rsidR="003B65CF" w:rsidRPr="003B65CF">
        <w:t xml:space="preserve"> </w:t>
      </w:r>
      <w:r>
        <w:t>that</w:t>
      </w:r>
      <w:r w:rsidR="003B65CF" w:rsidRPr="003B65CF">
        <w:t xml:space="preserve"> </w:t>
      </w:r>
      <w:r>
        <w:t>the</w:t>
      </w:r>
      <w:r w:rsidR="003B65CF" w:rsidRPr="003B65CF">
        <w:t xml:space="preserve"> </w:t>
      </w:r>
      <w:r>
        <w:t>occupier</w:t>
      </w:r>
      <w:r w:rsidR="003B65CF" w:rsidRPr="003B65CF">
        <w:t xml:space="preserve"> </w:t>
      </w:r>
      <w:r>
        <w:t>has</w:t>
      </w:r>
      <w:r w:rsidR="003B65CF" w:rsidRPr="003B65CF">
        <w:t xml:space="preserve"> </w:t>
      </w:r>
      <w:r>
        <w:t>been</w:t>
      </w:r>
      <w:r w:rsidR="003B65CF" w:rsidRPr="003B65CF">
        <w:t xml:space="preserve"> </w:t>
      </w:r>
      <w:r>
        <w:t>informed</w:t>
      </w:r>
      <w:r w:rsidR="003B65CF" w:rsidRPr="003B65CF">
        <w:t xml:space="preserve"> </w:t>
      </w:r>
      <w:r>
        <w:t>(whether</w:t>
      </w:r>
      <w:r w:rsidR="003B65CF" w:rsidRPr="003B65CF">
        <w:t xml:space="preserve"> </w:t>
      </w:r>
      <w:r>
        <w:t>orally</w:t>
      </w:r>
      <w:r w:rsidR="003B65CF" w:rsidRPr="003B65CF">
        <w:t xml:space="preserve"> </w:t>
      </w:r>
      <w:r>
        <w:t>or</w:t>
      </w:r>
      <w:r w:rsidR="003B65CF" w:rsidRPr="003B65CF">
        <w:t xml:space="preserve"> </w:t>
      </w:r>
      <w:r>
        <w:t>in</w:t>
      </w:r>
      <w:r w:rsidR="003B65CF" w:rsidRPr="003B65CF">
        <w:t xml:space="preserve"> </w:t>
      </w:r>
      <w:r>
        <w:t>writing)</w:t>
      </w:r>
      <w:r w:rsidR="003B65CF" w:rsidRPr="003B65CF">
        <w:t xml:space="preserve"> </w:t>
      </w:r>
      <w:r>
        <w:t>that</w:t>
      </w:r>
      <w:r w:rsidR="003B65CF" w:rsidRPr="003B65CF">
        <w:t xml:space="preserve"> </w:t>
      </w:r>
      <w:r>
        <w:t>a</w:t>
      </w:r>
      <w:r w:rsidR="003B65CF" w:rsidRPr="003B65CF">
        <w:t xml:space="preserve"> </w:t>
      </w:r>
      <w:r>
        <w:t>warrant</w:t>
      </w:r>
      <w:r w:rsidR="003B65CF" w:rsidRPr="003B65CF">
        <w:t xml:space="preserve"> </w:t>
      </w:r>
      <w:r>
        <w:t>may</w:t>
      </w:r>
      <w:r w:rsidR="003B65CF" w:rsidRPr="003B65CF">
        <w:t xml:space="preserve"> </w:t>
      </w:r>
      <w:r>
        <w:t>be</w:t>
      </w:r>
      <w:r w:rsidR="003B65CF" w:rsidRPr="003B65CF">
        <w:t xml:space="preserve"> </w:t>
      </w:r>
      <w:r>
        <w:t>applied</w:t>
      </w:r>
      <w:r w:rsidR="003B65CF" w:rsidRPr="003B65CF">
        <w:t xml:space="preserve"> </w:t>
      </w:r>
      <w:r>
        <w:t>for.</w:t>
      </w:r>
    </w:p>
    <w:p w:rsidR="003B65CF" w:rsidRDefault="004E4230" w:rsidP="004E4230">
      <w:pPr>
        <w:pStyle w:val="N2"/>
      </w:pPr>
      <w:r>
        <w:t>Condition</w:t>
      </w:r>
      <w:r w:rsidR="003B65CF" w:rsidRPr="003B65CF">
        <w:t xml:space="preserve"> </w:t>
      </w:r>
      <w:r>
        <w:t>D</w:t>
      </w:r>
      <w:r w:rsidR="003B65CF" w:rsidRPr="003B65CF">
        <w:t xml:space="preserve"> </w:t>
      </w:r>
      <w:r>
        <w:t>is</w:t>
      </w:r>
      <w:r w:rsidR="003B65CF" w:rsidRPr="003B65CF">
        <w:t xml:space="preserve"> </w:t>
      </w:r>
      <w:r>
        <w:t>that</w:t>
      </w:r>
      <w:r w:rsidR="003B65CF" w:rsidRPr="003B65CF">
        <w:t xml:space="preserve"> </w:t>
      </w:r>
      <w:r>
        <w:t>an</w:t>
      </w:r>
      <w:r w:rsidR="003B65CF" w:rsidRPr="003B65CF">
        <w:t xml:space="preserve"> </w:t>
      </w:r>
      <w:r>
        <w:t>asking</w:t>
      </w:r>
      <w:r w:rsidR="003B65CF" w:rsidRPr="003B65CF">
        <w:t xml:space="preserve"> </w:t>
      </w:r>
      <w:r>
        <w:t>for</w:t>
      </w:r>
      <w:r w:rsidR="003B65CF" w:rsidRPr="003B65CF">
        <w:t xml:space="preserve"> </w:t>
      </w:r>
      <w:r>
        <w:t>admission</w:t>
      </w:r>
      <w:r w:rsidR="003B65CF" w:rsidRPr="003B65CF">
        <w:t xml:space="preserve"> </w:t>
      </w:r>
      <w:r>
        <w:t>to</w:t>
      </w:r>
      <w:r w:rsidR="003B65CF" w:rsidRPr="003B65CF">
        <w:t xml:space="preserve"> </w:t>
      </w:r>
      <w:r>
        <w:t>the</w:t>
      </w:r>
      <w:r w:rsidR="003B65CF" w:rsidRPr="003B65CF">
        <w:t xml:space="preserve"> </w:t>
      </w:r>
      <w:r>
        <w:t>premises</w:t>
      </w:r>
      <w:r w:rsidR="003B65CF" w:rsidRPr="003B65CF">
        <w:t xml:space="preserve"> </w:t>
      </w:r>
      <w:r>
        <w:t>has</w:t>
      </w:r>
      <w:r w:rsidR="003B65CF" w:rsidRPr="003B65CF">
        <w:t xml:space="preserve"> </w:t>
      </w:r>
      <w:r>
        <w:t>been,</w:t>
      </w:r>
      <w:r w:rsidR="003B65CF" w:rsidRPr="003B65CF">
        <w:t xml:space="preserve"> </w:t>
      </w:r>
      <w:r>
        <w:t>or</w:t>
      </w:r>
      <w:r w:rsidR="003B65CF" w:rsidRPr="003B65CF">
        <w:t xml:space="preserve"> </w:t>
      </w:r>
      <w:r>
        <w:t>is</w:t>
      </w:r>
      <w:r w:rsidR="003B65CF" w:rsidRPr="003B65CF">
        <w:t xml:space="preserve"> </w:t>
      </w:r>
      <w:r>
        <w:t>likely</w:t>
      </w:r>
      <w:r w:rsidR="003B65CF" w:rsidRPr="003B65CF">
        <w:t xml:space="preserve"> </w:t>
      </w:r>
      <w:r>
        <w:t>to</w:t>
      </w:r>
      <w:r w:rsidR="003B65CF" w:rsidRPr="003B65CF">
        <w:t xml:space="preserve"> </w:t>
      </w:r>
      <w:r>
        <w:t>be,</w:t>
      </w:r>
      <w:r w:rsidR="003B65CF" w:rsidRPr="003B65CF">
        <w:t xml:space="preserve"> </w:t>
      </w:r>
      <w:r>
        <w:t>refused,</w:t>
      </w:r>
      <w:r w:rsidR="003B65CF" w:rsidRPr="003B65CF">
        <w:t xml:space="preserve"> </w:t>
      </w:r>
      <w:r>
        <w:t>and</w:t>
      </w:r>
      <w:r w:rsidR="003B65CF" w:rsidRPr="003B65CF">
        <w:t xml:space="preserve"> </w:t>
      </w:r>
      <w:r>
        <w:t>informing</w:t>
      </w:r>
      <w:r w:rsidR="003B65CF" w:rsidRPr="003B65CF">
        <w:t xml:space="preserve"> </w:t>
      </w:r>
      <w:r>
        <w:t>the</w:t>
      </w:r>
      <w:r w:rsidR="003B65CF" w:rsidRPr="003B65CF">
        <w:t xml:space="preserve"> </w:t>
      </w:r>
      <w:r>
        <w:t>occupier</w:t>
      </w:r>
      <w:r w:rsidR="003B65CF" w:rsidRPr="003B65CF">
        <w:t xml:space="preserve"> </w:t>
      </w:r>
      <w:r>
        <w:t>that</w:t>
      </w:r>
      <w:r w:rsidR="003B65CF" w:rsidRPr="003B65CF">
        <w:t xml:space="preserve"> </w:t>
      </w:r>
      <w:r>
        <w:t>a</w:t>
      </w:r>
      <w:r w:rsidR="003B65CF" w:rsidRPr="003B65CF">
        <w:t xml:space="preserve"> </w:t>
      </w:r>
      <w:r>
        <w:t>warrant</w:t>
      </w:r>
      <w:r w:rsidR="003B65CF" w:rsidRPr="003B65CF">
        <w:t xml:space="preserve"> </w:t>
      </w:r>
      <w:r>
        <w:t>under</w:t>
      </w:r>
      <w:r w:rsidR="003B65CF" w:rsidRPr="003B65CF">
        <w:t xml:space="preserve"> </w:t>
      </w:r>
      <w:r>
        <w:t>this</w:t>
      </w:r>
      <w:r w:rsidR="003B65CF" w:rsidRPr="003B65CF">
        <w:t xml:space="preserve"> </w:t>
      </w:r>
      <w:r>
        <w:t>regulation</w:t>
      </w:r>
      <w:r w:rsidR="003B65CF" w:rsidRPr="003B65CF">
        <w:t xml:space="preserve"> </w:t>
      </w:r>
      <w:r>
        <w:t>may</w:t>
      </w:r>
      <w:r w:rsidR="003B65CF" w:rsidRPr="003B65CF">
        <w:t xml:space="preserve"> </w:t>
      </w:r>
      <w:r>
        <w:t>be</w:t>
      </w:r>
      <w:r w:rsidR="003B65CF" w:rsidRPr="003B65CF">
        <w:t xml:space="preserve"> </w:t>
      </w:r>
      <w:r>
        <w:t>applied</w:t>
      </w:r>
      <w:r w:rsidR="003B65CF" w:rsidRPr="003B65CF">
        <w:t xml:space="preserve"> </w:t>
      </w:r>
      <w:r>
        <w:t>for</w:t>
      </w:r>
      <w:r w:rsidR="003B65CF" w:rsidRPr="003B65CF">
        <w:t xml:space="preserve"> </w:t>
      </w:r>
      <w:r>
        <w:t>may</w:t>
      </w:r>
      <w:r w:rsidR="003B65CF" w:rsidRPr="003B65CF">
        <w:t xml:space="preserve"> </w:t>
      </w:r>
      <w:r>
        <w:t>defeat</w:t>
      </w:r>
      <w:r w:rsidR="003B65CF" w:rsidRPr="003B65CF">
        <w:t xml:space="preserve"> </w:t>
      </w:r>
      <w:r>
        <w:t>the</w:t>
      </w:r>
      <w:r w:rsidR="003B65CF" w:rsidRPr="003B65CF">
        <w:t xml:space="preserve"> </w:t>
      </w:r>
      <w:r>
        <w:t>object</w:t>
      </w:r>
      <w:r w:rsidR="003B65CF" w:rsidRPr="003B65CF">
        <w:t xml:space="preserve"> </w:t>
      </w:r>
      <w:r>
        <w:t>of</w:t>
      </w:r>
      <w:r w:rsidR="003B65CF" w:rsidRPr="003B65CF">
        <w:t xml:space="preserve"> </w:t>
      </w:r>
      <w:r>
        <w:t>the</w:t>
      </w:r>
      <w:r w:rsidR="003B65CF" w:rsidRPr="003B65CF">
        <w:t xml:space="preserve"> </w:t>
      </w:r>
      <w:r>
        <w:t>entry.</w:t>
      </w:r>
    </w:p>
    <w:p w:rsidR="003B65CF" w:rsidRDefault="004E4230" w:rsidP="004E4230">
      <w:pPr>
        <w:pStyle w:val="N2"/>
      </w:pPr>
      <w:r>
        <w:t>Condition</w:t>
      </w:r>
      <w:r w:rsidR="003B65CF" w:rsidRPr="003B65CF">
        <w:t xml:space="preserve"> </w:t>
      </w:r>
      <w:r>
        <w:t>E</w:t>
      </w:r>
      <w:r w:rsidR="003B65CF" w:rsidRPr="003B65CF">
        <w:t xml:space="preserve"> </w:t>
      </w:r>
      <w:r>
        <w:t>is</w:t>
      </w:r>
      <w:r w:rsidR="003B65CF" w:rsidRPr="003B65CF">
        <w:t xml:space="preserve"> </w:t>
      </w:r>
      <w:r>
        <w:t>that</w:t>
      </w:r>
      <w:r w:rsidR="003B65CF" w:rsidRPr="003B65CF">
        <w:t xml:space="preserve"> </w:t>
      </w:r>
      <w:r>
        <w:t>the</w:t>
      </w:r>
      <w:r w:rsidR="003B65CF" w:rsidRPr="003B65CF">
        <w:t xml:space="preserve"> </w:t>
      </w:r>
      <w:r>
        <w:t>premises</w:t>
      </w:r>
      <w:r w:rsidR="003B65CF" w:rsidRPr="003B65CF">
        <w:t xml:space="preserve"> </w:t>
      </w:r>
      <w:r>
        <w:t>are</w:t>
      </w:r>
      <w:r w:rsidR="003B65CF" w:rsidRPr="003B65CF">
        <w:t xml:space="preserve"> </w:t>
      </w:r>
      <w:r>
        <w:t>unoccupied</w:t>
      </w:r>
      <w:r w:rsidR="003B65CF" w:rsidRPr="003B65CF">
        <w:t xml:space="preserve"> </w:t>
      </w:r>
      <w:r>
        <w:t>or</w:t>
      </w:r>
      <w:r w:rsidR="003B65CF" w:rsidRPr="003B65CF">
        <w:t xml:space="preserve"> </w:t>
      </w:r>
      <w:r>
        <w:t>that</w:t>
      </w:r>
      <w:r w:rsidR="003B65CF" w:rsidRPr="003B65CF">
        <w:t xml:space="preserve"> </w:t>
      </w:r>
      <w:r>
        <w:t>the</w:t>
      </w:r>
      <w:r w:rsidR="003B65CF" w:rsidRPr="003B65CF">
        <w:t xml:space="preserve"> </w:t>
      </w:r>
      <w:r>
        <w:t>occupier</w:t>
      </w:r>
      <w:r w:rsidR="003B65CF" w:rsidRPr="003B65CF">
        <w:t xml:space="preserve"> </w:t>
      </w:r>
      <w:r>
        <w:t>is</w:t>
      </w:r>
      <w:r w:rsidR="003B65CF" w:rsidRPr="003B65CF">
        <w:t xml:space="preserve"> </w:t>
      </w:r>
      <w:r>
        <w:t>temporarily</w:t>
      </w:r>
      <w:r w:rsidR="003B65CF" w:rsidRPr="003B65CF">
        <w:t xml:space="preserve"> </w:t>
      </w:r>
      <w:r>
        <w:t>absent</w:t>
      </w:r>
      <w:r w:rsidR="003B65CF" w:rsidRPr="003B65CF">
        <w:t xml:space="preserve"> </w:t>
      </w:r>
      <w:r>
        <w:t>and</w:t>
      </w:r>
      <w:r w:rsidR="003B65CF" w:rsidRPr="003B65CF">
        <w:t xml:space="preserve"> </w:t>
      </w:r>
      <w:r>
        <w:t>it</w:t>
      </w:r>
      <w:r w:rsidR="003B65CF" w:rsidRPr="003B65CF">
        <w:t xml:space="preserve"> </w:t>
      </w:r>
      <w:r>
        <w:t>may</w:t>
      </w:r>
      <w:r w:rsidR="003B65CF" w:rsidRPr="003B65CF">
        <w:t xml:space="preserve"> </w:t>
      </w:r>
      <w:r>
        <w:t>defeat</w:t>
      </w:r>
      <w:r w:rsidR="003B65CF" w:rsidRPr="003B65CF">
        <w:t xml:space="preserve"> </w:t>
      </w:r>
      <w:r>
        <w:t>the</w:t>
      </w:r>
      <w:r w:rsidR="003B65CF" w:rsidRPr="003B65CF">
        <w:t xml:space="preserve"> </w:t>
      </w:r>
      <w:r>
        <w:t>object</w:t>
      </w:r>
      <w:r w:rsidR="003B65CF" w:rsidRPr="003B65CF">
        <w:t xml:space="preserve"> </w:t>
      </w:r>
      <w:r>
        <w:t>of</w:t>
      </w:r>
      <w:r w:rsidR="003B65CF" w:rsidRPr="003B65CF">
        <w:t xml:space="preserve"> </w:t>
      </w:r>
      <w:r>
        <w:t>the</w:t>
      </w:r>
      <w:r w:rsidR="003B65CF" w:rsidRPr="003B65CF">
        <w:t xml:space="preserve"> </w:t>
      </w:r>
      <w:r>
        <w:t>entry</w:t>
      </w:r>
      <w:r w:rsidR="003B65CF" w:rsidRPr="003B65CF">
        <w:t xml:space="preserve"> </w:t>
      </w:r>
      <w:r>
        <w:t>to</w:t>
      </w:r>
      <w:r w:rsidR="003B65CF" w:rsidRPr="003B65CF">
        <w:t xml:space="preserve"> </w:t>
      </w:r>
      <w:r>
        <w:t>await</w:t>
      </w:r>
      <w:r w:rsidR="003B65CF" w:rsidRPr="003B65CF">
        <w:t xml:space="preserve"> </w:t>
      </w:r>
      <w:r>
        <w:t>their</w:t>
      </w:r>
      <w:r w:rsidR="003B65CF" w:rsidRPr="003B65CF">
        <w:t xml:space="preserve"> </w:t>
      </w:r>
      <w:r>
        <w:t>return.</w:t>
      </w:r>
    </w:p>
    <w:p w:rsidR="003B65CF" w:rsidRDefault="004E4230" w:rsidP="004E4230">
      <w:pPr>
        <w:pStyle w:val="N2"/>
      </w:pPr>
      <w:r>
        <w:t>A</w:t>
      </w:r>
      <w:r w:rsidR="003B65CF" w:rsidRPr="003B65CF">
        <w:t xml:space="preserve"> </w:t>
      </w:r>
      <w:r>
        <w:t>warr</w:t>
      </w:r>
      <w:r w:rsidR="00B07141">
        <w:t>ant</w:t>
      </w:r>
      <w:r w:rsidR="003B65CF" w:rsidRPr="003B65CF">
        <w:t xml:space="preserve"> </w:t>
      </w:r>
      <w:r w:rsidR="00B07141">
        <w:t>granted</w:t>
      </w:r>
      <w:r w:rsidR="003B65CF" w:rsidRPr="003B65CF">
        <w:t xml:space="preserve"> </w:t>
      </w:r>
      <w:r w:rsidR="00B07141">
        <w:t>under</w:t>
      </w:r>
      <w:r w:rsidR="003B65CF" w:rsidRPr="003B65CF">
        <w:t xml:space="preserve"> </w:t>
      </w:r>
      <w:r w:rsidR="00B07141">
        <w:t>paragraph</w:t>
      </w:r>
      <w:r w:rsidR="003B65CF" w:rsidRPr="003B65CF">
        <w:t xml:space="preserve"> </w:t>
      </w:r>
      <w:r w:rsidR="00B07141">
        <w:t>(5)</w:t>
      </w:r>
      <w:r>
        <w:t>—</w:t>
      </w:r>
    </w:p>
    <w:p w:rsidR="004E4230" w:rsidRDefault="004E4230" w:rsidP="00F820F3">
      <w:pPr>
        <w:pStyle w:val="N3"/>
      </w:pPr>
      <w:r>
        <w:t>is</w:t>
      </w:r>
      <w:r w:rsidR="003B65CF" w:rsidRPr="003B65CF">
        <w:t xml:space="preserve"> </w:t>
      </w:r>
      <w:r>
        <w:t>valid</w:t>
      </w:r>
      <w:r w:rsidR="003B65CF" w:rsidRPr="003B65CF">
        <w:t xml:space="preserve"> </w:t>
      </w:r>
      <w:r w:rsidR="00F820F3">
        <w:t>for</w:t>
      </w:r>
      <w:r w:rsidR="003B65CF" w:rsidRPr="003B65CF">
        <w:t xml:space="preserve"> </w:t>
      </w:r>
      <w:r w:rsidR="00F820F3">
        <w:t>one</w:t>
      </w:r>
      <w:r w:rsidR="003B65CF" w:rsidRPr="003B65CF">
        <w:t xml:space="preserve"> </w:t>
      </w:r>
      <w:r w:rsidR="00F820F3">
        <w:t>month</w:t>
      </w:r>
      <w:r>
        <w:t>,</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it</w:t>
      </w:r>
      <w:r w:rsidR="003B65CF" w:rsidRPr="003B65CF">
        <w:t xml:space="preserve"> </w:t>
      </w:r>
      <w:r>
        <w:t>is</w:t>
      </w:r>
      <w:r w:rsidR="003B65CF" w:rsidRPr="003B65CF">
        <w:t xml:space="preserve"> </w:t>
      </w:r>
      <w:r>
        <w:t>granted</w:t>
      </w:r>
      <w:r w:rsidR="001B7E66">
        <w:t>,</w:t>
      </w:r>
      <w:r w:rsidR="003B65CF" w:rsidRPr="003B65CF">
        <w:t xml:space="preserve"> </w:t>
      </w:r>
      <w:r>
        <w:t>and</w:t>
      </w:r>
    </w:p>
    <w:p w:rsidR="004E4230" w:rsidRDefault="004E4230" w:rsidP="00B07141">
      <w:pPr>
        <w:pStyle w:val="N3"/>
      </w:pPr>
      <w:r>
        <w:t>must</w:t>
      </w:r>
      <w:r w:rsidR="003B65CF" w:rsidRPr="003B65CF">
        <w:t xml:space="preserve"> </w:t>
      </w:r>
      <w:r>
        <w:t>be</w:t>
      </w:r>
      <w:r w:rsidR="003B65CF" w:rsidRPr="003B65CF">
        <w:t xml:space="preserve"> </w:t>
      </w:r>
      <w:r>
        <w:t>produced</w:t>
      </w:r>
      <w:r w:rsidR="003B65CF" w:rsidRPr="003B65CF">
        <w:t xml:space="preserve"> </w:t>
      </w:r>
      <w:r>
        <w:t>for</w:t>
      </w:r>
      <w:r w:rsidR="003B65CF" w:rsidRPr="003B65CF">
        <w:t xml:space="preserve"> </w:t>
      </w:r>
      <w:r>
        <w:t>inspection</w:t>
      </w:r>
      <w:r w:rsidR="003B65CF" w:rsidRPr="003B65CF">
        <w:t xml:space="preserve"> </w:t>
      </w:r>
      <w:r>
        <w:t>to</w:t>
      </w:r>
      <w:r w:rsidR="003B65CF" w:rsidRPr="003B65CF">
        <w:t xml:space="preserve"> </w:t>
      </w:r>
      <w:r>
        <w:t>the</w:t>
      </w:r>
      <w:r w:rsidR="003B65CF" w:rsidRPr="003B65CF">
        <w:t xml:space="preserve"> </w:t>
      </w:r>
      <w:r>
        <w:t>person</w:t>
      </w:r>
      <w:r w:rsidR="003B65CF" w:rsidRPr="003B65CF">
        <w:t xml:space="preserve"> </w:t>
      </w:r>
      <w:r>
        <w:t>(if</w:t>
      </w:r>
      <w:r w:rsidR="003B65CF" w:rsidRPr="003B65CF">
        <w:t xml:space="preserve"> </w:t>
      </w:r>
      <w:r>
        <w:t>there</w:t>
      </w:r>
      <w:r w:rsidR="003B65CF" w:rsidRPr="003B65CF">
        <w:t xml:space="preserve"> </w:t>
      </w:r>
      <w:r>
        <w:t>is</w:t>
      </w:r>
      <w:r w:rsidR="003B65CF" w:rsidRPr="003B65CF">
        <w:t xml:space="preserve"> </w:t>
      </w:r>
      <w:r>
        <w:t>one)</w:t>
      </w:r>
      <w:r w:rsidR="003B65CF" w:rsidRPr="003B65CF">
        <w:t xml:space="preserve"> </w:t>
      </w:r>
      <w:r>
        <w:t>who</w:t>
      </w:r>
      <w:r w:rsidR="003B65CF" w:rsidRPr="003B65CF">
        <w:t xml:space="preserve"> </w:t>
      </w:r>
      <w:r>
        <w:t>appears</w:t>
      </w:r>
      <w:r w:rsidR="003B65CF" w:rsidRPr="003B65CF">
        <w:t xml:space="preserve"> </w:t>
      </w:r>
      <w:r>
        <w:t>to</w:t>
      </w:r>
      <w:r w:rsidR="003B65CF" w:rsidRPr="003B65CF">
        <w:t xml:space="preserve"> </w:t>
      </w:r>
      <w:r>
        <w:t>the</w:t>
      </w:r>
      <w:r w:rsidR="003B65CF" w:rsidRPr="003B65CF">
        <w:t xml:space="preserve"> </w:t>
      </w:r>
      <w:r>
        <w:t>officer</w:t>
      </w:r>
      <w:r w:rsidR="003B65CF" w:rsidRPr="003B65CF">
        <w:t xml:space="preserve"> </w:t>
      </w:r>
      <w:r>
        <w:t>to</w:t>
      </w:r>
      <w:r w:rsidR="003B65CF" w:rsidRPr="003B65CF">
        <w:t xml:space="preserve"> </w:t>
      </w:r>
      <w:r>
        <w:t>be</w:t>
      </w:r>
      <w:r w:rsidR="003B65CF" w:rsidRPr="003B65CF">
        <w:t xml:space="preserve"> </w:t>
      </w:r>
      <w:r>
        <w:t>the</w:t>
      </w:r>
      <w:r w:rsidR="003B65CF" w:rsidRPr="003B65CF">
        <w:t xml:space="preserve"> </w:t>
      </w:r>
      <w:r>
        <w:t>occupier</w:t>
      </w:r>
      <w:r w:rsidR="003B65CF" w:rsidRPr="003B65CF">
        <w:t xml:space="preserve"> </w:t>
      </w:r>
      <w:r>
        <w:t>of</w:t>
      </w:r>
      <w:r w:rsidR="003B65CF" w:rsidRPr="003B65CF">
        <w:t xml:space="preserve"> </w:t>
      </w:r>
      <w:r>
        <w:t>the</w:t>
      </w:r>
      <w:r w:rsidR="003B65CF" w:rsidRPr="003B65CF">
        <w:t xml:space="preserve"> </w:t>
      </w:r>
      <w:r>
        <w:t>premises.</w:t>
      </w:r>
    </w:p>
    <w:p w:rsidR="00DB1ACF" w:rsidRDefault="004E4230" w:rsidP="00DB1ACF">
      <w:pPr>
        <w:pStyle w:val="N2"/>
      </w:pPr>
      <w:r>
        <w:t>An</w:t>
      </w:r>
      <w:r w:rsidR="003B65CF" w:rsidRPr="003B65CF">
        <w:t xml:space="preserve"> </w:t>
      </w:r>
      <w:r>
        <w:t>authorised</w:t>
      </w:r>
      <w:r w:rsidR="003B65CF" w:rsidRPr="003B65CF">
        <w:t xml:space="preserve"> </w:t>
      </w:r>
      <w:r>
        <w:t>officer</w:t>
      </w:r>
      <w:r w:rsidR="003B65CF" w:rsidRPr="003B65CF">
        <w:t xml:space="preserve"> </w:t>
      </w:r>
      <w:r>
        <w:t>who</w:t>
      </w:r>
      <w:r w:rsidR="003B65CF" w:rsidRPr="003B65CF">
        <w:t xml:space="preserve"> </w:t>
      </w:r>
      <w:r>
        <w:t>enters</w:t>
      </w:r>
      <w:r w:rsidR="003B65CF" w:rsidRPr="003B65CF">
        <w:t xml:space="preserve"> </w:t>
      </w:r>
      <w:r>
        <w:t>any</w:t>
      </w:r>
      <w:r w:rsidR="003B65CF" w:rsidRPr="003B65CF">
        <w:t xml:space="preserve"> </w:t>
      </w:r>
      <w:r>
        <w:t>premises</w:t>
      </w:r>
      <w:r w:rsidR="003B65CF" w:rsidRPr="003B65CF">
        <w:t xml:space="preserve"> </w:t>
      </w:r>
      <w:r>
        <w:t>that</w:t>
      </w:r>
      <w:r w:rsidR="003B65CF" w:rsidRPr="003B65CF">
        <w:t xml:space="preserve"> </w:t>
      </w:r>
      <w:r>
        <w:t>are</w:t>
      </w:r>
      <w:r w:rsidR="003B65CF" w:rsidRPr="003B65CF">
        <w:t xml:space="preserve"> </w:t>
      </w:r>
      <w:r>
        <w:t>unoccupied</w:t>
      </w:r>
      <w:r w:rsidR="003B65CF" w:rsidRPr="003B65CF">
        <w:t xml:space="preserve"> </w:t>
      </w:r>
      <w:r>
        <w:t>or</w:t>
      </w:r>
      <w:r w:rsidR="003B65CF" w:rsidRPr="003B65CF">
        <w:t xml:space="preserve"> </w:t>
      </w:r>
      <w:r>
        <w:t>where</w:t>
      </w:r>
      <w:r w:rsidR="003B65CF" w:rsidRPr="003B65CF">
        <w:t xml:space="preserve"> </w:t>
      </w:r>
      <w:r>
        <w:t>the</w:t>
      </w:r>
      <w:r w:rsidR="003B65CF" w:rsidRPr="003B65CF">
        <w:t xml:space="preserve"> </w:t>
      </w:r>
      <w:r>
        <w:t>occupier</w:t>
      </w:r>
      <w:r w:rsidR="003B65CF" w:rsidRPr="003B65CF">
        <w:t xml:space="preserve"> </w:t>
      </w:r>
      <w:r>
        <w:t>is</w:t>
      </w:r>
      <w:r w:rsidR="003B65CF" w:rsidRPr="003B65CF">
        <w:t xml:space="preserve"> </w:t>
      </w:r>
      <w:r>
        <w:t>temporarily</w:t>
      </w:r>
      <w:r w:rsidR="003B65CF" w:rsidRPr="003B65CF">
        <w:t xml:space="preserve"> </w:t>
      </w:r>
      <w:r>
        <w:t>absent</w:t>
      </w:r>
      <w:r w:rsidR="003B65CF" w:rsidRPr="003B65CF">
        <w:t xml:space="preserve"> </w:t>
      </w:r>
      <w:r>
        <w:t>must</w:t>
      </w:r>
      <w:r w:rsidR="003B65CF" w:rsidRPr="003B65CF">
        <w:t xml:space="preserve"> </w:t>
      </w:r>
      <w:r>
        <w:t>leave</w:t>
      </w:r>
      <w:r w:rsidR="003B65CF" w:rsidRPr="003B65CF">
        <w:t xml:space="preserve"> </w:t>
      </w:r>
      <w:r>
        <w:t>the</w:t>
      </w:r>
      <w:r w:rsidR="003B65CF" w:rsidRPr="003B65CF">
        <w:t xml:space="preserve"> </w:t>
      </w:r>
      <w:r>
        <w:t>premises</w:t>
      </w:r>
      <w:r w:rsidR="003B65CF" w:rsidRPr="003B65CF">
        <w:t xml:space="preserve"> </w:t>
      </w:r>
      <w:r>
        <w:t>as</w:t>
      </w:r>
      <w:r w:rsidR="003B65CF" w:rsidRPr="003B65CF">
        <w:t xml:space="preserve"> </w:t>
      </w:r>
      <w:r>
        <w:t>effectively</w:t>
      </w:r>
      <w:r w:rsidR="003B65CF" w:rsidRPr="003B65CF">
        <w:t xml:space="preserve"> </w:t>
      </w:r>
      <w:r>
        <w:t>secured</w:t>
      </w:r>
      <w:r w:rsidR="003B65CF" w:rsidRPr="003B65CF">
        <w:t xml:space="preserve"> </w:t>
      </w:r>
      <w:r>
        <w:t>against</w:t>
      </w:r>
      <w:r w:rsidR="003B65CF" w:rsidRPr="003B65CF">
        <w:t xml:space="preserve"> </w:t>
      </w:r>
      <w:r>
        <w:t>unauthorised</w:t>
      </w:r>
      <w:r w:rsidR="003B65CF" w:rsidRPr="003B65CF">
        <w:t xml:space="preserve"> </w:t>
      </w:r>
      <w:r w:rsidR="00B07141">
        <w:t>entry</w:t>
      </w:r>
      <w:r w:rsidR="003B65CF" w:rsidRPr="003B65CF">
        <w:t xml:space="preserve"> </w:t>
      </w:r>
      <w:r w:rsidR="00B07141">
        <w:t>as</w:t>
      </w:r>
      <w:r w:rsidR="003B65CF" w:rsidRPr="003B65CF">
        <w:t xml:space="preserve"> </w:t>
      </w:r>
      <w:r w:rsidR="00B07141">
        <w:t>when</w:t>
      </w:r>
      <w:r w:rsidR="003B65CF" w:rsidRPr="003B65CF">
        <w:t xml:space="preserve"> </w:t>
      </w:r>
      <w:r w:rsidR="00B07141">
        <w:t>they</w:t>
      </w:r>
      <w:r w:rsidR="003B65CF" w:rsidRPr="003B65CF">
        <w:t xml:space="preserve"> </w:t>
      </w:r>
      <w:r w:rsidR="00B07141">
        <w:t>found</w:t>
      </w:r>
      <w:r w:rsidR="003B65CF" w:rsidRPr="003B65CF">
        <w:t xml:space="preserve"> </w:t>
      </w:r>
      <w:r w:rsidR="00B07141">
        <w:t>them.</w:t>
      </w:r>
    </w:p>
    <w:p w:rsidR="004E4230" w:rsidRDefault="004E4230" w:rsidP="00B07141">
      <w:pPr>
        <w:pStyle w:val="H1"/>
      </w:pPr>
      <w:r>
        <w:t>Powers</w:t>
      </w:r>
      <w:r w:rsidR="003B65CF" w:rsidRPr="003B65CF">
        <w:t xml:space="preserve"> </w:t>
      </w:r>
      <w:r>
        <w:t>of</w:t>
      </w:r>
      <w:r w:rsidR="003B65CF" w:rsidRPr="003B65CF">
        <w:t xml:space="preserve"> </w:t>
      </w:r>
      <w:r>
        <w:t>an</w:t>
      </w:r>
      <w:r w:rsidR="003B65CF" w:rsidRPr="003B65CF">
        <w:t xml:space="preserve"> </w:t>
      </w:r>
      <w:r>
        <w:t>authorised</w:t>
      </w:r>
      <w:r w:rsidR="003B65CF" w:rsidRPr="003B65CF">
        <w:t xml:space="preserve"> </w:t>
      </w:r>
      <w:r>
        <w:t>officer</w:t>
      </w:r>
    </w:p>
    <w:p w:rsidR="003B65CF" w:rsidRDefault="00B07141" w:rsidP="00B07141">
      <w:pPr>
        <w:pStyle w:val="N1"/>
      </w:pPr>
      <w:r>
        <w:t>—</w:t>
      </w:r>
      <w:r>
        <w:fldChar w:fldCharType="begin"/>
      </w:r>
      <w:r>
        <w:instrText xml:space="preserve"> LISTNUM "SEQ1" \l 2 </w:instrText>
      </w:r>
      <w:r>
        <w:fldChar w:fldCharType="end">
          <w:numberingChange w:id="8" w:author="Boyd, Steve" w:date="2021-06-21T19:46:00Z" w:original="(1)"/>
        </w:fldChar>
      </w:r>
      <w:r w:rsidR="003B65CF" w:rsidRPr="003B65CF">
        <w:t> </w:t>
      </w:r>
      <w:r w:rsidR="004E4230">
        <w:t>An</w:t>
      </w:r>
      <w:r w:rsidR="003B65CF" w:rsidRPr="003B65CF">
        <w:t xml:space="preserve"> </w:t>
      </w:r>
      <w:r w:rsidR="004E4230">
        <w:t>authorised</w:t>
      </w:r>
      <w:r w:rsidR="003B65CF" w:rsidRPr="003B65CF">
        <w:t xml:space="preserve"> </w:t>
      </w:r>
      <w:r w:rsidR="004E4230">
        <w:t>officer</w:t>
      </w:r>
      <w:r w:rsidR="003B65CF" w:rsidRPr="003B65CF">
        <w:t xml:space="preserve"> </w:t>
      </w:r>
      <w:r w:rsidR="004E4230">
        <w:t>(“O”)</w:t>
      </w:r>
      <w:r w:rsidR="003B65CF" w:rsidRPr="003B65CF">
        <w:t xml:space="preserve"> </w:t>
      </w:r>
      <w:r w:rsidR="004E4230">
        <w:t>enter</w:t>
      </w:r>
      <w:r w:rsidR="00052EFA">
        <w:t>ing</w:t>
      </w:r>
      <w:r w:rsidR="003B65CF" w:rsidRPr="003B65CF">
        <w:t xml:space="preserve"> </w:t>
      </w:r>
      <w:r w:rsidR="00052EFA">
        <w:t>premises</w:t>
      </w:r>
      <w:r w:rsidR="003B65CF" w:rsidRPr="003B65CF">
        <w:t xml:space="preserve"> </w:t>
      </w:r>
      <w:r w:rsidR="00052EFA">
        <w:t>under</w:t>
      </w:r>
      <w:r w:rsidR="003B65CF" w:rsidRPr="003B65CF">
        <w:t xml:space="preserve"> </w:t>
      </w:r>
      <w:r w:rsidR="00052EFA">
        <w:t>regulation</w:t>
      </w:r>
      <w:r w:rsidR="003B65CF" w:rsidRPr="003B65CF">
        <w:t xml:space="preserve"> </w:t>
      </w:r>
      <w:r w:rsidR="00052EFA">
        <w:t>8</w:t>
      </w:r>
      <w:r w:rsidR="003B65CF" w:rsidRPr="003B65CF">
        <w:t xml:space="preserve"> </w:t>
      </w:r>
      <w:r w:rsidR="004E4230">
        <w:t>may—</w:t>
      </w:r>
    </w:p>
    <w:p w:rsidR="004E4230" w:rsidRDefault="004E4230" w:rsidP="00B07141">
      <w:pPr>
        <w:pStyle w:val="N3"/>
      </w:pPr>
      <w:r>
        <w:t>inspect</w:t>
      </w:r>
      <w:r w:rsidR="003B65CF" w:rsidRPr="003B65CF">
        <w:t xml:space="preserve"> </w:t>
      </w:r>
      <w:r>
        <w:t>the</w:t>
      </w:r>
      <w:r w:rsidR="003B65CF" w:rsidRPr="003B65CF">
        <w:t xml:space="preserve"> </w:t>
      </w:r>
      <w:r>
        <w:t>premises,</w:t>
      </w:r>
      <w:r w:rsidR="003B65CF" w:rsidRPr="003B65CF">
        <w:t xml:space="preserve"> </w:t>
      </w:r>
      <w:r>
        <w:t>and</w:t>
      </w:r>
      <w:r w:rsidR="003B65CF" w:rsidRPr="003B65CF">
        <w:t xml:space="preserve"> </w:t>
      </w:r>
      <w:r>
        <w:t>any</w:t>
      </w:r>
      <w:r w:rsidR="003B65CF" w:rsidRPr="003B65CF">
        <w:t xml:space="preserve"> </w:t>
      </w:r>
      <w:r>
        <w:t>still</w:t>
      </w:r>
      <w:r w:rsidR="003B65CF" w:rsidRPr="003B65CF">
        <w:t xml:space="preserve"> </w:t>
      </w:r>
      <w:r>
        <w:t>and</w:t>
      </w:r>
      <w:r w:rsidR="003B65CF" w:rsidRPr="003B65CF">
        <w:t xml:space="preserve"> </w:t>
      </w:r>
      <w:r>
        <w:t>any</w:t>
      </w:r>
      <w:r w:rsidR="003B65CF" w:rsidRPr="003B65CF">
        <w:t xml:space="preserve"> </w:t>
      </w:r>
      <w:r>
        <w:t>other</w:t>
      </w:r>
      <w:r w:rsidR="003B65CF" w:rsidRPr="003B65CF">
        <w:t xml:space="preserve"> </w:t>
      </w:r>
      <w:r>
        <w:t>plant,</w:t>
      </w:r>
      <w:r w:rsidR="003B65CF" w:rsidRPr="003B65CF">
        <w:t xml:space="preserve"> </w:t>
      </w:r>
      <w:r>
        <w:t>machinery</w:t>
      </w:r>
      <w:r w:rsidR="003B65CF" w:rsidRPr="003B65CF">
        <w:t xml:space="preserve"> </w:t>
      </w:r>
      <w:r>
        <w:t>or</w:t>
      </w:r>
      <w:r w:rsidR="003B65CF" w:rsidRPr="003B65CF">
        <w:t xml:space="preserve"> </w:t>
      </w:r>
      <w:r>
        <w:t>equipment</w:t>
      </w:r>
      <w:r w:rsidR="003B65CF" w:rsidRPr="003B65CF">
        <w:t xml:space="preserve"> </w:t>
      </w:r>
      <w:r>
        <w:t>on</w:t>
      </w:r>
      <w:r w:rsidR="003B65CF" w:rsidRPr="003B65CF">
        <w:t xml:space="preserve"> </w:t>
      </w:r>
      <w:r>
        <w:t>those</w:t>
      </w:r>
      <w:r w:rsidR="003B65CF" w:rsidRPr="003B65CF">
        <w:t xml:space="preserve"> </w:t>
      </w:r>
      <w:r>
        <w:t>premises,</w:t>
      </w:r>
      <w:r w:rsidR="003B65CF" w:rsidRPr="003B65CF">
        <w:t xml:space="preserve"> </w:t>
      </w:r>
      <w:r>
        <w:t>and</w:t>
      </w:r>
      <w:r w:rsidR="003B65CF" w:rsidRPr="003B65CF">
        <w:t xml:space="preserve"> </w:t>
      </w:r>
      <w:r>
        <w:t>any</w:t>
      </w:r>
      <w:r w:rsidR="003B65CF" w:rsidRPr="003B65CF">
        <w:t xml:space="preserve"> </w:t>
      </w:r>
      <w:r>
        <w:t>of</w:t>
      </w:r>
      <w:r w:rsidR="003B65CF" w:rsidRPr="003B65CF">
        <w:t xml:space="preserve"> </w:t>
      </w:r>
      <w:r>
        <w:t>the</w:t>
      </w:r>
      <w:r w:rsidR="003B65CF" w:rsidRPr="003B65CF">
        <w:t xml:space="preserve"> </w:t>
      </w:r>
      <w:r>
        <w:t>following</w:t>
      </w:r>
      <w:r w:rsidR="003B65CF" w:rsidRPr="003B65CF">
        <w:t xml:space="preserve"> </w:t>
      </w:r>
      <w:r>
        <w:t>items</w:t>
      </w:r>
      <w:r w:rsidR="003B65CF" w:rsidRPr="003B65CF">
        <w:t xml:space="preserve"> </w:t>
      </w:r>
      <w:r>
        <w:t>found</w:t>
      </w:r>
      <w:r w:rsidR="003B65CF" w:rsidRPr="003B65CF">
        <w:t xml:space="preserve"> </w:t>
      </w:r>
      <w:r>
        <w:t>on</w:t>
      </w:r>
      <w:r w:rsidR="003B65CF" w:rsidRPr="003B65CF">
        <w:t xml:space="preserve"> </w:t>
      </w:r>
      <w:r>
        <w:t>those</w:t>
      </w:r>
      <w:r w:rsidR="003B65CF" w:rsidRPr="003B65CF">
        <w:t xml:space="preserve"> </w:t>
      </w:r>
      <w:r>
        <w:t>premises—</w:t>
      </w:r>
    </w:p>
    <w:p w:rsidR="004E4230" w:rsidRDefault="004E4230" w:rsidP="00B07141">
      <w:pPr>
        <w:pStyle w:val="N4"/>
      </w:pPr>
      <w:r>
        <w:t>any</w:t>
      </w:r>
      <w:r w:rsidR="003B65CF" w:rsidRPr="003B65CF">
        <w:t xml:space="preserve"> </w:t>
      </w:r>
      <w:r>
        <w:t>spirit</w:t>
      </w:r>
      <w:r w:rsidR="003B65CF" w:rsidRPr="003B65CF">
        <w:t xml:space="preserve"> </w:t>
      </w:r>
      <w:r>
        <w:t>drink</w:t>
      </w:r>
      <w:r w:rsidR="003B65CF" w:rsidRPr="003B65CF">
        <w:t xml:space="preserve"> </w:t>
      </w:r>
      <w:r>
        <w:t>partly</w:t>
      </w:r>
      <w:r w:rsidR="003B65CF" w:rsidRPr="003B65CF">
        <w:t xml:space="preserve"> </w:t>
      </w:r>
      <w:r>
        <w:t>or</w:t>
      </w:r>
      <w:r w:rsidR="003B65CF" w:rsidRPr="003B65CF">
        <w:t xml:space="preserve"> </w:t>
      </w:r>
      <w:r>
        <w:t>fully</w:t>
      </w:r>
      <w:r w:rsidR="003B65CF" w:rsidRPr="003B65CF">
        <w:t xml:space="preserve"> </w:t>
      </w:r>
      <w:r>
        <w:t>packaged</w:t>
      </w:r>
      <w:r w:rsidR="003B65CF" w:rsidRPr="003B65CF">
        <w:t xml:space="preserve"> </w:t>
      </w:r>
      <w:r>
        <w:t>ready</w:t>
      </w:r>
      <w:r w:rsidR="003B65CF" w:rsidRPr="003B65CF">
        <w:t xml:space="preserve"> </w:t>
      </w:r>
      <w:r>
        <w:t>for</w:t>
      </w:r>
      <w:r w:rsidR="003B65CF" w:rsidRPr="003B65CF">
        <w:t xml:space="preserve"> </w:t>
      </w:r>
      <w:r>
        <w:t>sale;</w:t>
      </w:r>
    </w:p>
    <w:p w:rsidR="004E4230" w:rsidRDefault="004E4230" w:rsidP="00B07141">
      <w:pPr>
        <w:pStyle w:val="N4"/>
      </w:pPr>
      <w:r>
        <w:t>any</w:t>
      </w:r>
      <w:r w:rsidR="003B65CF" w:rsidRPr="003B65CF">
        <w:t xml:space="preserve"> </w:t>
      </w:r>
      <w:r>
        <w:t>product</w:t>
      </w:r>
      <w:r w:rsidR="003B65CF" w:rsidRPr="003B65CF">
        <w:t xml:space="preserve"> </w:t>
      </w:r>
      <w:r>
        <w:t>purporting</w:t>
      </w:r>
      <w:r w:rsidR="003B65CF" w:rsidRPr="003B65CF">
        <w:t xml:space="preserve"> </w:t>
      </w:r>
      <w:r>
        <w:t>to</w:t>
      </w:r>
      <w:r w:rsidR="003B65CF" w:rsidRPr="003B65CF">
        <w:t xml:space="preserve"> </w:t>
      </w:r>
      <w:r>
        <w:t>be</w:t>
      </w:r>
      <w:r w:rsidR="003B65CF" w:rsidRPr="003B65CF">
        <w:t xml:space="preserve"> </w:t>
      </w:r>
      <w:r>
        <w:t>a</w:t>
      </w:r>
      <w:r w:rsidR="003B65CF" w:rsidRPr="003B65CF">
        <w:t xml:space="preserve"> </w:t>
      </w:r>
      <w:r>
        <w:t>spirit</w:t>
      </w:r>
      <w:r w:rsidR="003B65CF" w:rsidRPr="003B65CF">
        <w:t xml:space="preserve"> </w:t>
      </w:r>
      <w:r>
        <w:t>drink</w:t>
      </w:r>
      <w:r w:rsidR="003B65CF" w:rsidRPr="003B65CF">
        <w:t xml:space="preserve"> </w:t>
      </w:r>
      <w:r>
        <w:t>partly</w:t>
      </w:r>
      <w:r w:rsidR="003B65CF" w:rsidRPr="003B65CF">
        <w:t xml:space="preserve"> </w:t>
      </w:r>
      <w:r>
        <w:t>or</w:t>
      </w:r>
      <w:r w:rsidR="003B65CF" w:rsidRPr="003B65CF">
        <w:t xml:space="preserve"> </w:t>
      </w:r>
      <w:r>
        <w:t>fully</w:t>
      </w:r>
      <w:r w:rsidR="003B65CF" w:rsidRPr="003B65CF">
        <w:t xml:space="preserve"> </w:t>
      </w:r>
      <w:r>
        <w:t>packaged</w:t>
      </w:r>
      <w:r w:rsidR="003B65CF" w:rsidRPr="003B65CF">
        <w:t xml:space="preserve"> </w:t>
      </w:r>
      <w:r>
        <w:t>ready</w:t>
      </w:r>
      <w:r w:rsidR="003B65CF" w:rsidRPr="003B65CF">
        <w:t xml:space="preserve"> </w:t>
      </w:r>
      <w:r>
        <w:t>for</w:t>
      </w:r>
      <w:r w:rsidR="003B65CF" w:rsidRPr="003B65CF">
        <w:t xml:space="preserve"> </w:t>
      </w:r>
      <w:r>
        <w:t>sale;</w:t>
      </w:r>
    </w:p>
    <w:p w:rsidR="004E4230" w:rsidRDefault="004E4230" w:rsidP="00B07141">
      <w:pPr>
        <w:pStyle w:val="N4"/>
      </w:pPr>
      <w:r>
        <w:t>any</w:t>
      </w:r>
      <w:r w:rsidR="003B65CF" w:rsidRPr="003B65CF">
        <w:t xml:space="preserve"> </w:t>
      </w:r>
      <w:r>
        <w:t>other</w:t>
      </w:r>
      <w:r w:rsidR="003B65CF" w:rsidRPr="003B65CF">
        <w:t xml:space="preserve"> </w:t>
      </w:r>
      <w:r>
        <w:t>liquid</w:t>
      </w:r>
      <w:r w:rsidR="003B65CF" w:rsidRPr="003B65CF">
        <w:t xml:space="preserve"> </w:t>
      </w:r>
      <w:r>
        <w:t>that</w:t>
      </w:r>
      <w:r w:rsidR="003B65CF" w:rsidRPr="003B65CF">
        <w:t xml:space="preserve"> </w:t>
      </w:r>
      <w:r>
        <w:t>the</w:t>
      </w:r>
      <w:r w:rsidR="003B65CF" w:rsidRPr="003B65CF">
        <w:t xml:space="preserve"> </w:t>
      </w:r>
      <w:r>
        <w:t>officer</w:t>
      </w:r>
      <w:r w:rsidR="003B65CF" w:rsidRPr="003B65CF">
        <w:t xml:space="preserve"> </w:t>
      </w:r>
      <w:r>
        <w:t>has</w:t>
      </w:r>
      <w:r w:rsidR="003B65CF" w:rsidRPr="003B65CF">
        <w:t xml:space="preserve"> </w:t>
      </w:r>
      <w:r>
        <w:t>reasonable</w:t>
      </w:r>
      <w:r w:rsidR="003B65CF" w:rsidRPr="003B65CF">
        <w:t xml:space="preserve"> </w:t>
      </w:r>
      <w:r>
        <w:t>grounds</w:t>
      </w:r>
      <w:r w:rsidR="003B65CF" w:rsidRPr="003B65CF">
        <w:t xml:space="preserve"> </w:t>
      </w:r>
      <w:r>
        <w:t>for</w:t>
      </w:r>
      <w:r w:rsidR="003B65CF" w:rsidRPr="003B65CF">
        <w:t xml:space="preserve"> </w:t>
      </w:r>
      <w:r>
        <w:t>believing</w:t>
      </w:r>
      <w:r w:rsidR="003B65CF" w:rsidRPr="003B65CF">
        <w:t xml:space="preserve"> </w:t>
      </w:r>
      <w:r>
        <w:t>is</w:t>
      </w:r>
      <w:r w:rsidR="003B65CF" w:rsidRPr="003B65CF">
        <w:t xml:space="preserve"> </w:t>
      </w:r>
      <w:r>
        <w:t>a</w:t>
      </w:r>
      <w:r w:rsidR="003B65CF" w:rsidRPr="003B65CF">
        <w:t xml:space="preserve"> </w:t>
      </w:r>
      <w:r>
        <w:t>distillate</w:t>
      </w:r>
      <w:r w:rsidR="003B65CF" w:rsidRPr="003B65CF">
        <w:t xml:space="preserve"> </w:t>
      </w:r>
      <w:r>
        <w:t>or</w:t>
      </w:r>
      <w:r w:rsidR="003B65CF" w:rsidRPr="003B65CF">
        <w:t xml:space="preserve"> </w:t>
      </w:r>
      <w:r>
        <w:t>drink</w:t>
      </w:r>
      <w:r w:rsidR="003B65CF" w:rsidRPr="003B65CF">
        <w:t xml:space="preserve"> </w:t>
      </w:r>
      <w:r>
        <w:t>(including</w:t>
      </w:r>
      <w:r w:rsidR="003B65CF" w:rsidRPr="003B65CF">
        <w:t xml:space="preserve"> </w:t>
      </w:r>
      <w:r>
        <w:t>any</w:t>
      </w:r>
      <w:r w:rsidR="003B65CF" w:rsidRPr="003B65CF">
        <w:t xml:space="preserve"> </w:t>
      </w:r>
      <w:r>
        <w:t>vessel</w:t>
      </w:r>
      <w:r w:rsidR="003B65CF" w:rsidRPr="003B65CF">
        <w:t xml:space="preserve"> </w:t>
      </w:r>
      <w:r>
        <w:t>in</w:t>
      </w:r>
      <w:r w:rsidR="003B65CF" w:rsidRPr="003B65CF">
        <w:t xml:space="preserve"> </w:t>
      </w:r>
      <w:r>
        <w:t>which</w:t>
      </w:r>
      <w:r w:rsidR="003B65CF" w:rsidRPr="003B65CF">
        <w:t xml:space="preserve"> </w:t>
      </w:r>
      <w:r>
        <w:t>the</w:t>
      </w:r>
      <w:r w:rsidR="003B65CF" w:rsidRPr="003B65CF">
        <w:t xml:space="preserve"> </w:t>
      </w:r>
      <w:r>
        <w:t>liquid</w:t>
      </w:r>
      <w:r w:rsidR="003B65CF" w:rsidRPr="003B65CF">
        <w:t xml:space="preserve"> </w:t>
      </w:r>
      <w:r>
        <w:t>is</w:t>
      </w:r>
      <w:r w:rsidR="003B65CF" w:rsidRPr="003B65CF">
        <w:t xml:space="preserve"> </w:t>
      </w:r>
      <w:r>
        <w:t>found);</w:t>
      </w:r>
    </w:p>
    <w:p w:rsidR="004E4230" w:rsidRDefault="004E4230" w:rsidP="00B07141">
      <w:pPr>
        <w:pStyle w:val="N4"/>
      </w:pPr>
      <w:r>
        <w:t>any</w:t>
      </w:r>
      <w:r w:rsidR="003B65CF" w:rsidRPr="003B65CF">
        <w:t xml:space="preserve"> </w:t>
      </w:r>
      <w:r>
        <w:t>raw</w:t>
      </w:r>
      <w:r w:rsidR="003B65CF" w:rsidRPr="003B65CF">
        <w:t xml:space="preserve"> </w:t>
      </w:r>
      <w:r>
        <w:t>material</w:t>
      </w:r>
      <w:r w:rsidR="003B65CF" w:rsidRPr="003B65CF">
        <w:t xml:space="preserve"> </w:t>
      </w:r>
      <w:r>
        <w:t>or</w:t>
      </w:r>
      <w:r w:rsidR="003B65CF" w:rsidRPr="003B65CF">
        <w:t xml:space="preserve"> </w:t>
      </w:r>
      <w:r>
        <w:t>ingredients</w:t>
      </w:r>
      <w:r w:rsidR="003B65CF" w:rsidRPr="003B65CF">
        <w:t xml:space="preserve"> </w:t>
      </w:r>
      <w:r>
        <w:t>that</w:t>
      </w:r>
      <w:r w:rsidR="003B65CF" w:rsidRPr="003B65CF">
        <w:t xml:space="preserve"> </w:t>
      </w:r>
      <w:r>
        <w:t>may</w:t>
      </w:r>
      <w:r w:rsidR="003B65CF" w:rsidRPr="003B65CF">
        <w:t xml:space="preserve"> </w:t>
      </w:r>
      <w:r>
        <w:t>be</w:t>
      </w:r>
      <w:r w:rsidR="003B65CF" w:rsidRPr="003B65CF">
        <w:t xml:space="preserve"> </w:t>
      </w:r>
      <w:r>
        <w:t>used</w:t>
      </w:r>
      <w:r w:rsidR="003B65CF" w:rsidRPr="003B65CF">
        <w:t xml:space="preserve"> </w:t>
      </w:r>
      <w:r>
        <w:t>to</w:t>
      </w:r>
      <w:r w:rsidR="003B65CF" w:rsidRPr="003B65CF">
        <w:t xml:space="preserve"> </w:t>
      </w:r>
      <w:r>
        <w:t>produce</w:t>
      </w:r>
      <w:r w:rsidR="003B65CF" w:rsidRPr="003B65CF">
        <w:t xml:space="preserve"> </w:t>
      </w:r>
      <w:r>
        <w:t>any</w:t>
      </w:r>
      <w:r w:rsidR="003B65CF" w:rsidRPr="003B65CF">
        <w:t xml:space="preserve"> </w:t>
      </w:r>
      <w:r>
        <w:t>distillate</w:t>
      </w:r>
      <w:r w:rsidR="003B65CF" w:rsidRPr="003B65CF">
        <w:t xml:space="preserve"> </w:t>
      </w:r>
      <w:r>
        <w:t>or</w:t>
      </w:r>
      <w:r w:rsidR="003B65CF" w:rsidRPr="003B65CF">
        <w:t xml:space="preserve"> </w:t>
      </w:r>
      <w:r>
        <w:t>drink,</w:t>
      </w:r>
      <w:r w:rsidR="003B65CF" w:rsidRPr="003B65CF">
        <w:t xml:space="preserve"> </w:t>
      </w:r>
      <w:r>
        <w:t>including</w:t>
      </w:r>
      <w:r w:rsidR="003B65CF" w:rsidRPr="003B65CF">
        <w:t xml:space="preserve"> </w:t>
      </w:r>
      <w:r>
        <w:t>colourings</w:t>
      </w:r>
      <w:r w:rsidR="003B65CF" w:rsidRPr="003B65CF">
        <w:t xml:space="preserve"> </w:t>
      </w:r>
      <w:r>
        <w:t>and</w:t>
      </w:r>
      <w:r w:rsidR="003B65CF" w:rsidRPr="003B65CF">
        <w:t xml:space="preserve"> </w:t>
      </w:r>
      <w:r>
        <w:t>flavourings;</w:t>
      </w:r>
    </w:p>
    <w:p w:rsidR="004E4230" w:rsidRDefault="004E4230" w:rsidP="00B07141">
      <w:pPr>
        <w:pStyle w:val="N4"/>
      </w:pPr>
      <w:r>
        <w:t>any</w:t>
      </w:r>
      <w:r w:rsidR="003B65CF" w:rsidRPr="003B65CF">
        <w:t xml:space="preserve"> </w:t>
      </w:r>
      <w:r>
        <w:t>mash;</w:t>
      </w:r>
    </w:p>
    <w:p w:rsidR="004E4230" w:rsidRDefault="004E4230" w:rsidP="00B07141">
      <w:pPr>
        <w:pStyle w:val="N4"/>
      </w:pPr>
      <w:r>
        <w:t>any</w:t>
      </w:r>
      <w:r w:rsidR="003B65CF" w:rsidRPr="003B65CF">
        <w:t xml:space="preserve"> </w:t>
      </w:r>
      <w:r>
        <w:t>empty</w:t>
      </w:r>
      <w:r w:rsidR="003B65CF" w:rsidRPr="003B65CF">
        <w:t xml:space="preserve"> </w:t>
      </w:r>
      <w:r>
        <w:t>container;</w:t>
      </w:r>
    </w:p>
    <w:p w:rsidR="004E4230" w:rsidRDefault="004E4230" w:rsidP="00B07141">
      <w:pPr>
        <w:pStyle w:val="N4"/>
      </w:pPr>
      <w:r>
        <w:t>any</w:t>
      </w:r>
      <w:r w:rsidR="003B65CF" w:rsidRPr="003B65CF">
        <w:t xml:space="preserve"> </w:t>
      </w:r>
      <w:r>
        <w:t>label;</w:t>
      </w:r>
    </w:p>
    <w:p w:rsidR="004E4230" w:rsidRDefault="004E4230" w:rsidP="00B07141">
      <w:pPr>
        <w:pStyle w:val="N4"/>
      </w:pPr>
      <w:r>
        <w:t>any</w:t>
      </w:r>
      <w:r w:rsidR="003B65CF" w:rsidRPr="003B65CF">
        <w:t xml:space="preserve"> </w:t>
      </w:r>
      <w:r>
        <w:t>packaging;</w:t>
      </w:r>
    </w:p>
    <w:p w:rsidR="004E4230" w:rsidRDefault="004E4230" w:rsidP="00B07141">
      <w:pPr>
        <w:pStyle w:val="N4"/>
      </w:pPr>
      <w:r>
        <w:t>any</w:t>
      </w:r>
      <w:r w:rsidR="003B65CF" w:rsidRPr="003B65CF">
        <w:t xml:space="preserve"> </w:t>
      </w:r>
      <w:r>
        <w:t>advertising</w:t>
      </w:r>
      <w:r w:rsidR="003B65CF" w:rsidRPr="003B65CF">
        <w:t xml:space="preserve"> </w:t>
      </w:r>
      <w:r>
        <w:t>or</w:t>
      </w:r>
      <w:r w:rsidR="003B65CF" w:rsidRPr="003B65CF">
        <w:t xml:space="preserve"> </w:t>
      </w:r>
      <w:r>
        <w:t>promotional</w:t>
      </w:r>
      <w:r w:rsidR="003B65CF" w:rsidRPr="003B65CF">
        <w:t xml:space="preserve"> </w:t>
      </w:r>
      <w:r>
        <w:t>materials</w:t>
      </w:r>
      <w:r w:rsidR="003B65CF" w:rsidRPr="003B65CF">
        <w:t xml:space="preserve"> </w:t>
      </w:r>
      <w:r>
        <w:t>relating</w:t>
      </w:r>
      <w:r w:rsidR="003B65CF" w:rsidRPr="003B65CF">
        <w:t xml:space="preserve"> </w:t>
      </w:r>
      <w:r>
        <w:t>to</w:t>
      </w:r>
      <w:r w:rsidR="003B65CF" w:rsidRPr="003B65CF">
        <w:t xml:space="preserve"> </w:t>
      </w:r>
      <w:r>
        <w:t>a</w:t>
      </w:r>
      <w:r w:rsidR="003B65CF" w:rsidRPr="003B65CF">
        <w:t xml:space="preserve"> </w:t>
      </w:r>
      <w:r>
        <w:t>drink,</w:t>
      </w:r>
      <w:r w:rsidR="003B65CF" w:rsidRPr="003B65CF">
        <w:t xml:space="preserve"> </w:t>
      </w:r>
      <w:r>
        <w:t>or</w:t>
      </w:r>
      <w:r w:rsidR="003B65CF" w:rsidRPr="003B65CF">
        <w:t xml:space="preserve"> </w:t>
      </w:r>
      <w:r>
        <w:t>other</w:t>
      </w:r>
      <w:r w:rsidR="003B65CF" w:rsidRPr="003B65CF">
        <w:t xml:space="preserve"> </w:t>
      </w:r>
      <w:r>
        <w:t>documentation</w:t>
      </w:r>
      <w:r w:rsidR="003B65CF" w:rsidRPr="003B65CF">
        <w:t xml:space="preserve"> </w:t>
      </w:r>
      <w:r>
        <w:t>relating</w:t>
      </w:r>
      <w:r w:rsidR="003B65CF" w:rsidRPr="003B65CF">
        <w:t xml:space="preserve"> </w:t>
      </w:r>
      <w:r>
        <w:t>to</w:t>
      </w:r>
      <w:r w:rsidR="003B65CF" w:rsidRPr="003B65CF">
        <w:t xml:space="preserve"> </w:t>
      </w:r>
      <w:r>
        <w:t>a</w:t>
      </w:r>
      <w:r w:rsidR="003B65CF" w:rsidRPr="003B65CF">
        <w:t xml:space="preserve"> </w:t>
      </w:r>
      <w:r>
        <w:t>distillate</w:t>
      </w:r>
      <w:r w:rsidR="003B65CF" w:rsidRPr="003B65CF">
        <w:t xml:space="preserve"> </w:t>
      </w:r>
      <w:r>
        <w:t>or</w:t>
      </w:r>
      <w:r w:rsidR="003B65CF" w:rsidRPr="003B65CF">
        <w:t xml:space="preserve"> </w:t>
      </w:r>
      <w:r>
        <w:t>to</w:t>
      </w:r>
      <w:r w:rsidR="003B65CF" w:rsidRPr="003B65CF">
        <w:t xml:space="preserve"> </w:t>
      </w:r>
      <w:r>
        <w:t>a</w:t>
      </w:r>
      <w:r w:rsidR="003B65CF" w:rsidRPr="003B65CF">
        <w:t xml:space="preserve"> </w:t>
      </w:r>
      <w:r>
        <w:t>drink;</w:t>
      </w:r>
    </w:p>
    <w:p w:rsidR="004E4230" w:rsidRDefault="004E4230" w:rsidP="00B07141">
      <w:pPr>
        <w:pStyle w:val="N3"/>
      </w:pPr>
      <w:r>
        <w:t>search</w:t>
      </w:r>
      <w:r w:rsidR="003B65CF" w:rsidRPr="003B65CF">
        <w:t xml:space="preserve"> </w:t>
      </w:r>
      <w:r>
        <w:t>the</w:t>
      </w:r>
      <w:r w:rsidR="003B65CF" w:rsidRPr="003B65CF">
        <w:t xml:space="preserve"> </w:t>
      </w:r>
      <w:r>
        <w:t>premises;</w:t>
      </w:r>
    </w:p>
    <w:p w:rsidR="004E4230" w:rsidRDefault="004E4230" w:rsidP="00B07141">
      <w:pPr>
        <w:pStyle w:val="N3"/>
      </w:pPr>
      <w:r>
        <w:t>take</w:t>
      </w:r>
      <w:r w:rsidR="003B65CF" w:rsidRPr="003B65CF">
        <w:t xml:space="preserve"> </w:t>
      </w:r>
      <w:r>
        <w:t>samples;</w:t>
      </w:r>
    </w:p>
    <w:p w:rsidR="00B057DD" w:rsidRDefault="004E4230" w:rsidP="00F820F3">
      <w:pPr>
        <w:pStyle w:val="N3"/>
      </w:pPr>
      <w:r>
        <w:t>carry</w:t>
      </w:r>
      <w:r w:rsidR="003B65CF" w:rsidRPr="003B65CF">
        <w:t xml:space="preserve"> </w:t>
      </w:r>
      <w:r>
        <w:t>out</w:t>
      </w:r>
      <w:r w:rsidR="003B65CF" w:rsidRPr="003B65CF">
        <w:t xml:space="preserve"> </w:t>
      </w:r>
      <w:r>
        <w:t>any</w:t>
      </w:r>
      <w:r w:rsidR="003B65CF" w:rsidRPr="003B65CF">
        <w:t xml:space="preserve"> </w:t>
      </w:r>
      <w:r>
        <w:t>inquiries,</w:t>
      </w:r>
      <w:r w:rsidR="003B65CF" w:rsidRPr="003B65CF">
        <w:t xml:space="preserve"> </w:t>
      </w:r>
      <w:r>
        <w:t>examinations</w:t>
      </w:r>
      <w:r w:rsidR="003B65CF" w:rsidRPr="003B65CF">
        <w:t xml:space="preserve"> </w:t>
      </w:r>
      <w:r>
        <w:t>or</w:t>
      </w:r>
      <w:r w:rsidR="003B65CF" w:rsidRPr="003B65CF">
        <w:t xml:space="preserve"> </w:t>
      </w:r>
      <w:r>
        <w:t>tests;</w:t>
      </w:r>
    </w:p>
    <w:p w:rsidR="004E4230" w:rsidRDefault="004E4230" w:rsidP="00B07141">
      <w:pPr>
        <w:pStyle w:val="N3"/>
      </w:pPr>
      <w:r>
        <w:lastRenderedPageBreak/>
        <w:t>have</w:t>
      </w:r>
      <w:r w:rsidR="003B65CF" w:rsidRPr="003B65CF">
        <w:t xml:space="preserve"> </w:t>
      </w:r>
      <w:r>
        <w:t>access</w:t>
      </w:r>
      <w:r w:rsidR="003B65CF" w:rsidRPr="003B65CF">
        <w:t xml:space="preserve"> </w:t>
      </w:r>
      <w:r>
        <w:t>to,</w:t>
      </w:r>
      <w:r w:rsidR="003B65CF" w:rsidRPr="003B65CF">
        <w:t xml:space="preserve"> </w:t>
      </w:r>
      <w:r>
        <w:t>and</w:t>
      </w:r>
      <w:r w:rsidR="003B65CF" w:rsidRPr="003B65CF">
        <w:t xml:space="preserve"> </w:t>
      </w:r>
      <w:r>
        <w:t>inspect</w:t>
      </w:r>
      <w:r w:rsidR="003B65CF" w:rsidRPr="003B65CF">
        <w:t xml:space="preserve"> </w:t>
      </w:r>
      <w:r>
        <w:t>and</w:t>
      </w:r>
      <w:r w:rsidR="003B65CF" w:rsidRPr="003B65CF">
        <w:t xml:space="preserve"> </w:t>
      </w:r>
      <w:r>
        <w:t>copy,</w:t>
      </w:r>
      <w:r w:rsidR="003B65CF" w:rsidRPr="003B65CF">
        <w:t xml:space="preserve"> </w:t>
      </w:r>
      <w:r>
        <w:t>any</w:t>
      </w:r>
      <w:r w:rsidR="003B65CF" w:rsidRPr="003B65CF">
        <w:t xml:space="preserve"> </w:t>
      </w:r>
      <w:r>
        <w:t>documents</w:t>
      </w:r>
      <w:r w:rsidR="003B65CF" w:rsidRPr="003B65CF">
        <w:t xml:space="preserve"> </w:t>
      </w:r>
      <w:r>
        <w:t>or</w:t>
      </w:r>
      <w:r w:rsidR="003B65CF" w:rsidRPr="003B65CF">
        <w:t xml:space="preserve"> </w:t>
      </w:r>
      <w:r>
        <w:t>records</w:t>
      </w:r>
      <w:r w:rsidR="003B65CF" w:rsidRPr="003B65CF">
        <w:t xml:space="preserve"> </w:t>
      </w:r>
      <w:r>
        <w:t>(in</w:t>
      </w:r>
      <w:r w:rsidR="003B65CF" w:rsidRPr="003B65CF">
        <w:t xml:space="preserve"> </w:t>
      </w:r>
      <w:r>
        <w:t>whatever</w:t>
      </w:r>
      <w:r w:rsidR="003B65CF" w:rsidRPr="003B65CF">
        <w:t xml:space="preserve"> </w:t>
      </w:r>
      <w:r>
        <w:t>form</w:t>
      </w:r>
      <w:r w:rsidR="003B65CF" w:rsidRPr="003B65CF">
        <w:t xml:space="preserve"> </w:t>
      </w:r>
      <w:r>
        <w:t>they</w:t>
      </w:r>
      <w:r w:rsidR="003B65CF" w:rsidRPr="003B65CF">
        <w:t xml:space="preserve"> </w:t>
      </w:r>
      <w:r>
        <w:t>are</w:t>
      </w:r>
      <w:r w:rsidR="003B65CF" w:rsidRPr="003B65CF">
        <w:t xml:space="preserve"> </w:t>
      </w:r>
      <w:r>
        <w:t>held)</w:t>
      </w:r>
      <w:r w:rsidR="003B65CF" w:rsidRPr="003B65CF">
        <w:t xml:space="preserve"> </w:t>
      </w:r>
      <w:r>
        <w:t>relating</w:t>
      </w:r>
      <w:r w:rsidR="003B65CF" w:rsidRPr="003B65CF">
        <w:t xml:space="preserve"> </w:t>
      </w:r>
      <w:r>
        <w:t>to</w:t>
      </w:r>
      <w:r w:rsidR="003B65CF" w:rsidRPr="003B65CF">
        <w:t xml:space="preserve"> </w:t>
      </w:r>
      <w:r>
        <w:t>matters</w:t>
      </w:r>
      <w:r w:rsidR="003B65CF" w:rsidRPr="003B65CF">
        <w:t xml:space="preserve"> </w:t>
      </w:r>
      <w:r>
        <w:t>covered</w:t>
      </w:r>
      <w:r w:rsidR="003B65CF" w:rsidRPr="003B65CF">
        <w:t xml:space="preserve"> </w:t>
      </w:r>
      <w:r>
        <w:t>by</w:t>
      </w:r>
      <w:r w:rsidR="003B65CF" w:rsidRPr="003B65CF">
        <w:t xml:space="preserve"> </w:t>
      </w:r>
      <w:r>
        <w:t>these</w:t>
      </w:r>
      <w:r w:rsidR="003B65CF" w:rsidRPr="003B65CF">
        <w:t xml:space="preserve"> </w:t>
      </w:r>
      <w:r>
        <w:t>Regulations,</w:t>
      </w:r>
      <w:r w:rsidR="003B65CF" w:rsidRPr="003B65CF">
        <w:t xml:space="preserve"> </w:t>
      </w:r>
      <w:r>
        <w:t>and</w:t>
      </w:r>
      <w:r w:rsidR="003B65CF" w:rsidRPr="003B65CF">
        <w:t xml:space="preserve"> </w:t>
      </w:r>
      <w:r>
        <w:t>remove</w:t>
      </w:r>
      <w:r w:rsidR="003B65CF" w:rsidRPr="003B65CF">
        <w:t xml:space="preserve"> </w:t>
      </w:r>
      <w:r>
        <w:t>them</w:t>
      </w:r>
      <w:r w:rsidR="003B65CF" w:rsidRPr="003B65CF">
        <w:t xml:space="preserve"> </w:t>
      </w:r>
      <w:r>
        <w:t>to</w:t>
      </w:r>
      <w:r w:rsidR="003B65CF" w:rsidRPr="003B65CF">
        <w:t xml:space="preserve"> </w:t>
      </w:r>
      <w:r>
        <w:t>enable</w:t>
      </w:r>
      <w:r w:rsidR="003B65CF" w:rsidRPr="003B65CF">
        <w:t xml:space="preserve"> </w:t>
      </w:r>
      <w:r>
        <w:t>them</w:t>
      </w:r>
      <w:r w:rsidR="003B65CF" w:rsidRPr="003B65CF">
        <w:t xml:space="preserve"> </w:t>
      </w:r>
      <w:r>
        <w:t>to</w:t>
      </w:r>
      <w:r w:rsidR="003B65CF" w:rsidRPr="003B65CF">
        <w:t xml:space="preserve"> </w:t>
      </w:r>
      <w:r>
        <w:t>be</w:t>
      </w:r>
      <w:r w:rsidR="003B65CF" w:rsidRPr="003B65CF">
        <w:t xml:space="preserve"> </w:t>
      </w:r>
      <w:r>
        <w:t>copied;</w:t>
      </w:r>
    </w:p>
    <w:p w:rsidR="004E4230" w:rsidRDefault="004E4230" w:rsidP="00B07141">
      <w:pPr>
        <w:pStyle w:val="N3"/>
      </w:pPr>
      <w:r>
        <w:t>have</w:t>
      </w:r>
      <w:r w:rsidR="003B65CF" w:rsidRPr="003B65CF">
        <w:t xml:space="preserve"> </w:t>
      </w:r>
      <w:r>
        <w:t>access</w:t>
      </w:r>
      <w:r w:rsidR="003B65CF" w:rsidRPr="003B65CF">
        <w:t xml:space="preserve"> </w:t>
      </w:r>
      <w:r>
        <w:t>to,</w:t>
      </w:r>
      <w:r w:rsidR="003B65CF" w:rsidRPr="003B65CF">
        <w:t xml:space="preserve"> </w:t>
      </w:r>
      <w:r>
        <w:t>and</w:t>
      </w:r>
      <w:r w:rsidR="003B65CF" w:rsidRPr="003B65CF">
        <w:t xml:space="preserve"> </w:t>
      </w:r>
      <w:r>
        <w:t>inspect</w:t>
      </w:r>
      <w:r w:rsidR="003B65CF" w:rsidRPr="003B65CF">
        <w:t xml:space="preserve"> </w:t>
      </w:r>
      <w:r>
        <w:t>and</w:t>
      </w:r>
      <w:r w:rsidR="003B65CF" w:rsidRPr="003B65CF">
        <w:t xml:space="preserve"> </w:t>
      </w:r>
      <w:r>
        <w:t>check</w:t>
      </w:r>
      <w:r w:rsidR="003B65CF" w:rsidRPr="003B65CF">
        <w:t xml:space="preserve"> </w:t>
      </w:r>
      <w:r>
        <w:t>the</w:t>
      </w:r>
      <w:r w:rsidR="003B65CF" w:rsidRPr="003B65CF">
        <w:t xml:space="preserve"> </w:t>
      </w:r>
      <w:r>
        <w:t>data</w:t>
      </w:r>
      <w:r w:rsidR="003B65CF" w:rsidRPr="003B65CF">
        <w:t xml:space="preserve"> </w:t>
      </w:r>
      <w:r>
        <w:t>on,</w:t>
      </w:r>
      <w:r w:rsidR="003B65CF" w:rsidRPr="003B65CF">
        <w:t xml:space="preserve"> </w:t>
      </w:r>
      <w:r>
        <w:t>and</w:t>
      </w:r>
      <w:r w:rsidR="003B65CF" w:rsidRPr="003B65CF">
        <w:t xml:space="preserve"> </w:t>
      </w:r>
      <w:r>
        <w:t>operation</w:t>
      </w:r>
      <w:r w:rsidR="003B65CF" w:rsidRPr="003B65CF">
        <w:t xml:space="preserve"> </w:t>
      </w:r>
      <w:r>
        <w:t>of,</w:t>
      </w:r>
      <w:r w:rsidR="003B65CF" w:rsidRPr="003B65CF">
        <w:t xml:space="preserve"> </w:t>
      </w:r>
      <w:r>
        <w:t>any</w:t>
      </w:r>
      <w:r w:rsidR="003B65CF" w:rsidRPr="003B65CF">
        <w:t xml:space="preserve"> </w:t>
      </w:r>
      <w:r>
        <w:t>computer,</w:t>
      </w:r>
      <w:r w:rsidR="003B65CF" w:rsidRPr="003B65CF">
        <w:t xml:space="preserve"> </w:t>
      </w:r>
      <w:r>
        <w:t>and</w:t>
      </w:r>
      <w:r w:rsidR="003B65CF" w:rsidRPr="003B65CF">
        <w:t xml:space="preserve"> </w:t>
      </w:r>
      <w:r>
        <w:t>any</w:t>
      </w:r>
      <w:r w:rsidR="003B65CF" w:rsidRPr="003B65CF">
        <w:t xml:space="preserve"> </w:t>
      </w:r>
      <w:r>
        <w:t>associated</w:t>
      </w:r>
      <w:r w:rsidR="003B65CF" w:rsidRPr="003B65CF">
        <w:t xml:space="preserve"> </w:t>
      </w:r>
      <w:r>
        <w:t>electronic</w:t>
      </w:r>
      <w:r w:rsidR="003B65CF" w:rsidRPr="003B65CF">
        <w:t xml:space="preserve"> </w:t>
      </w:r>
      <w:r>
        <w:t>storage</w:t>
      </w:r>
      <w:r w:rsidR="003B65CF" w:rsidRPr="003B65CF">
        <w:t xml:space="preserve"> </w:t>
      </w:r>
      <w:r>
        <w:t>device</w:t>
      </w:r>
      <w:r w:rsidR="003B65CF" w:rsidRPr="003B65CF">
        <w:t xml:space="preserve"> </w:t>
      </w:r>
      <w:r>
        <w:t>or</w:t>
      </w:r>
      <w:r w:rsidR="003B65CF" w:rsidRPr="003B65CF">
        <w:t xml:space="preserve"> </w:t>
      </w:r>
      <w:r>
        <w:t>apparatus</w:t>
      </w:r>
      <w:r w:rsidR="003B65CF" w:rsidRPr="003B65CF">
        <w:t xml:space="preserve"> </w:t>
      </w:r>
      <w:r>
        <w:t>(“computer</w:t>
      </w:r>
      <w:r w:rsidR="003B65CF" w:rsidRPr="003B65CF">
        <w:t xml:space="preserve"> </w:t>
      </w:r>
      <w:r>
        <w:t>equipment”)</w:t>
      </w:r>
      <w:r w:rsidR="003B65CF" w:rsidRPr="003B65CF">
        <w:t xml:space="preserve"> </w:t>
      </w:r>
      <w:r>
        <w:t>that</w:t>
      </w:r>
      <w:r w:rsidR="003B65CF" w:rsidRPr="003B65CF">
        <w:t xml:space="preserve"> </w:t>
      </w:r>
      <w:r>
        <w:t>is,</w:t>
      </w:r>
      <w:r w:rsidR="003B65CF" w:rsidRPr="003B65CF">
        <w:t xml:space="preserve"> </w:t>
      </w:r>
      <w:r>
        <w:t>or</w:t>
      </w:r>
      <w:r w:rsidR="003B65CF" w:rsidRPr="003B65CF">
        <w:t xml:space="preserve"> </w:t>
      </w:r>
      <w:r>
        <w:t>has</w:t>
      </w:r>
      <w:r w:rsidR="003B65CF" w:rsidRPr="003B65CF">
        <w:t xml:space="preserve"> </w:t>
      </w:r>
      <w:r>
        <w:t>been</w:t>
      </w:r>
      <w:r w:rsidR="003B65CF" w:rsidRPr="003B65CF">
        <w:t xml:space="preserve"> </w:t>
      </w:r>
      <w:r>
        <w:t>in</w:t>
      </w:r>
      <w:r w:rsidR="003B65CF" w:rsidRPr="003B65CF">
        <w:t xml:space="preserve"> </w:t>
      </w:r>
      <w:r>
        <w:t>use</w:t>
      </w:r>
      <w:r w:rsidR="003B65CF" w:rsidRPr="003B65CF">
        <w:t xml:space="preserve"> </w:t>
      </w:r>
      <w:r>
        <w:t>in</w:t>
      </w:r>
      <w:r w:rsidR="003B65CF" w:rsidRPr="003B65CF">
        <w:t xml:space="preserve"> </w:t>
      </w:r>
      <w:r>
        <w:t>connection</w:t>
      </w:r>
      <w:r w:rsidR="003B65CF" w:rsidRPr="003B65CF">
        <w:t xml:space="preserve"> </w:t>
      </w:r>
      <w:r>
        <w:t>with,</w:t>
      </w:r>
      <w:r w:rsidR="003B65CF" w:rsidRPr="003B65CF">
        <w:t xml:space="preserve"> </w:t>
      </w:r>
      <w:r>
        <w:t>the</w:t>
      </w:r>
      <w:r w:rsidR="003B65CF" w:rsidRPr="003B65CF">
        <w:t xml:space="preserve"> </w:t>
      </w:r>
      <w:r>
        <w:t>documents</w:t>
      </w:r>
      <w:r w:rsidR="003B65CF" w:rsidRPr="003B65CF">
        <w:t xml:space="preserve"> </w:t>
      </w:r>
      <w:r>
        <w:t>or</w:t>
      </w:r>
      <w:r w:rsidR="003B65CF" w:rsidRPr="003B65CF">
        <w:t xml:space="preserve"> </w:t>
      </w:r>
      <w:r>
        <w:t>records</w:t>
      </w:r>
      <w:r w:rsidR="003B65CF" w:rsidRPr="003B65CF">
        <w:t xml:space="preserve"> </w:t>
      </w:r>
      <w:r>
        <w:t>mentioned</w:t>
      </w:r>
      <w:r w:rsidR="003B65CF" w:rsidRPr="003B65CF">
        <w:t xml:space="preserve"> </w:t>
      </w:r>
      <w:r>
        <w:t>in</w:t>
      </w:r>
      <w:r w:rsidR="003B65CF" w:rsidRPr="003B65CF">
        <w:t xml:space="preserve"> </w:t>
      </w:r>
      <w:r>
        <w:t>sub-paragraph</w:t>
      </w:r>
      <w:r w:rsidR="003B65CF" w:rsidRPr="003B65CF">
        <w:t xml:space="preserve"> </w:t>
      </w:r>
      <w:r>
        <w:t>(e),</w:t>
      </w:r>
      <w:r w:rsidR="003B65CF" w:rsidRPr="003B65CF">
        <w:t xml:space="preserve"> </w:t>
      </w:r>
      <w:r>
        <w:t>including</w:t>
      </w:r>
      <w:r w:rsidR="003B65CF" w:rsidRPr="003B65CF">
        <w:t xml:space="preserve"> </w:t>
      </w:r>
      <w:r>
        <w:t>data</w:t>
      </w:r>
      <w:r w:rsidR="003B65CF" w:rsidRPr="003B65CF">
        <w:t xml:space="preserve"> </w:t>
      </w:r>
      <w:r>
        <w:t>relating</w:t>
      </w:r>
      <w:r w:rsidR="003B65CF" w:rsidRPr="003B65CF">
        <w:t xml:space="preserve"> </w:t>
      </w:r>
      <w:r>
        <w:t>to</w:t>
      </w:r>
      <w:r w:rsidR="003B65CF" w:rsidRPr="003B65CF">
        <w:t xml:space="preserve"> </w:t>
      </w:r>
      <w:r>
        <w:t>deleted</w:t>
      </w:r>
      <w:r w:rsidR="003B65CF" w:rsidRPr="003B65CF">
        <w:t xml:space="preserve"> </w:t>
      </w:r>
      <w:r>
        <w:t>files</w:t>
      </w:r>
      <w:r w:rsidR="003B65CF" w:rsidRPr="003B65CF">
        <w:t xml:space="preserve"> </w:t>
      </w:r>
      <w:r>
        <w:t>and</w:t>
      </w:r>
      <w:r w:rsidR="003B65CF" w:rsidRPr="003B65CF">
        <w:t xml:space="preserve"> </w:t>
      </w:r>
      <w:r>
        <w:t>activity</w:t>
      </w:r>
      <w:r w:rsidR="003B65CF" w:rsidRPr="003B65CF">
        <w:t xml:space="preserve"> </w:t>
      </w:r>
      <w:r>
        <w:t>logs;</w:t>
      </w:r>
      <w:r w:rsidR="003B65CF" w:rsidRPr="003B65CF">
        <w:t xml:space="preserve"> </w:t>
      </w:r>
      <w:r>
        <w:t>and</w:t>
      </w:r>
      <w:r w:rsidR="003B65CF" w:rsidRPr="003B65CF">
        <w:t xml:space="preserve"> </w:t>
      </w:r>
      <w:r>
        <w:t>for</w:t>
      </w:r>
      <w:r w:rsidR="003B65CF" w:rsidRPr="003B65CF">
        <w:t xml:space="preserve"> </w:t>
      </w:r>
      <w:r>
        <w:t>this</w:t>
      </w:r>
      <w:r w:rsidR="003B65CF" w:rsidRPr="003B65CF">
        <w:t xml:space="preserve"> </w:t>
      </w:r>
      <w:r>
        <w:t>purpose</w:t>
      </w:r>
      <w:r w:rsidR="003B65CF" w:rsidRPr="003B65CF">
        <w:t xml:space="preserve"> </w:t>
      </w:r>
      <w:r>
        <w:t>O</w:t>
      </w:r>
      <w:r w:rsidR="003B65CF" w:rsidRPr="003B65CF">
        <w:t xml:space="preserve"> </w:t>
      </w:r>
      <w:r>
        <w:t>may</w:t>
      </w:r>
      <w:r w:rsidR="003B65CF" w:rsidRPr="003B65CF">
        <w:t xml:space="preserve"> </w:t>
      </w:r>
      <w:r>
        <w:t>require</w:t>
      </w:r>
      <w:r w:rsidR="003B65CF" w:rsidRPr="003B65CF">
        <w:t xml:space="preserve"> </w:t>
      </w:r>
      <w:r>
        <w:t>any</w:t>
      </w:r>
      <w:r w:rsidR="003B65CF" w:rsidRPr="003B65CF">
        <w:t xml:space="preserve"> </w:t>
      </w:r>
      <w:r>
        <w:t>person</w:t>
      </w:r>
      <w:r w:rsidR="003B65CF" w:rsidRPr="003B65CF">
        <w:t xml:space="preserve"> </w:t>
      </w:r>
      <w:r>
        <w:t>having</w:t>
      </w:r>
      <w:r w:rsidR="003B65CF" w:rsidRPr="003B65CF">
        <w:t xml:space="preserve"> </w:t>
      </w:r>
      <w:r>
        <w:t>charge</w:t>
      </w:r>
      <w:r w:rsidR="003B65CF" w:rsidRPr="003B65CF">
        <w:t xml:space="preserve"> </w:t>
      </w:r>
      <w:r>
        <w:t>of,</w:t>
      </w:r>
      <w:r w:rsidR="003B65CF" w:rsidRPr="003B65CF">
        <w:t xml:space="preserve"> </w:t>
      </w:r>
      <w:r>
        <w:t>or</w:t>
      </w:r>
      <w:r w:rsidR="003B65CF" w:rsidRPr="003B65CF">
        <w:t xml:space="preserve"> </w:t>
      </w:r>
      <w:r>
        <w:t>otherwise</w:t>
      </w:r>
      <w:r w:rsidR="003B65CF" w:rsidRPr="003B65CF">
        <w:t xml:space="preserve"> </w:t>
      </w:r>
      <w:r>
        <w:t>concerned</w:t>
      </w:r>
      <w:r w:rsidR="003B65CF" w:rsidRPr="003B65CF">
        <w:t xml:space="preserve"> </w:t>
      </w:r>
      <w:r>
        <w:t>with</w:t>
      </w:r>
      <w:r w:rsidR="003B65CF" w:rsidRPr="003B65CF">
        <w:t xml:space="preserve"> </w:t>
      </w:r>
      <w:r>
        <w:t>the</w:t>
      </w:r>
      <w:r w:rsidR="003B65CF" w:rsidRPr="003B65CF">
        <w:t xml:space="preserve"> </w:t>
      </w:r>
      <w:r>
        <w:t>operation</w:t>
      </w:r>
      <w:r w:rsidR="003B65CF" w:rsidRPr="003B65CF">
        <w:t xml:space="preserve"> </w:t>
      </w:r>
      <w:r>
        <w:t>of,</w:t>
      </w:r>
      <w:r w:rsidR="003B65CF" w:rsidRPr="003B65CF">
        <w:t xml:space="preserve"> </w:t>
      </w:r>
      <w:r>
        <w:t>the</w:t>
      </w:r>
      <w:r w:rsidR="003B65CF" w:rsidRPr="003B65CF">
        <w:t xml:space="preserve"> </w:t>
      </w:r>
      <w:r>
        <w:t>computer</w:t>
      </w:r>
      <w:r w:rsidR="003B65CF" w:rsidRPr="003B65CF">
        <w:t xml:space="preserve"> </w:t>
      </w:r>
      <w:r>
        <w:t>equipment</w:t>
      </w:r>
      <w:r w:rsidR="003B65CF" w:rsidRPr="003B65CF">
        <w:t xml:space="preserve"> </w:t>
      </w:r>
      <w:r>
        <w:t>to</w:t>
      </w:r>
      <w:r w:rsidR="003B65CF" w:rsidRPr="003B65CF">
        <w:t xml:space="preserve"> </w:t>
      </w:r>
      <w:r>
        <w:t>afford</w:t>
      </w:r>
      <w:r w:rsidR="003B65CF" w:rsidRPr="003B65CF">
        <w:t xml:space="preserve"> </w:t>
      </w:r>
      <w:r>
        <w:t>to</w:t>
      </w:r>
      <w:r w:rsidR="003B65CF" w:rsidRPr="003B65CF">
        <w:t xml:space="preserve"> </w:t>
      </w:r>
      <w:r>
        <w:t>O</w:t>
      </w:r>
      <w:r w:rsidR="003B65CF" w:rsidRPr="003B65CF">
        <w:t xml:space="preserve"> </w:t>
      </w:r>
      <w:r>
        <w:t>such</w:t>
      </w:r>
      <w:r w:rsidR="003B65CF" w:rsidRPr="003B65CF">
        <w:t xml:space="preserve"> </w:t>
      </w:r>
      <w:r>
        <w:t>assistance</w:t>
      </w:r>
      <w:r w:rsidR="003B65CF" w:rsidRPr="003B65CF">
        <w:t xml:space="preserve"> </w:t>
      </w:r>
      <w:r>
        <w:t>(including</w:t>
      </w:r>
      <w:r w:rsidR="003B65CF" w:rsidRPr="003B65CF">
        <w:t xml:space="preserve"> </w:t>
      </w:r>
      <w:r>
        <w:t>the</w:t>
      </w:r>
      <w:r w:rsidR="003B65CF" w:rsidRPr="003B65CF">
        <w:t xml:space="preserve"> </w:t>
      </w:r>
      <w:r>
        <w:t>provision</w:t>
      </w:r>
      <w:r w:rsidR="003B65CF" w:rsidRPr="003B65CF">
        <w:t xml:space="preserve"> </w:t>
      </w:r>
      <w:r>
        <w:t>of</w:t>
      </w:r>
      <w:r w:rsidR="003B65CF" w:rsidRPr="003B65CF">
        <w:t xml:space="preserve"> </w:t>
      </w:r>
      <w:r>
        <w:t>passwords)</w:t>
      </w:r>
      <w:r w:rsidR="003B65CF" w:rsidRPr="003B65CF">
        <w:t xml:space="preserve"> </w:t>
      </w:r>
      <w:r>
        <w:t>as</w:t>
      </w:r>
      <w:r w:rsidR="003B65CF" w:rsidRPr="003B65CF">
        <w:t xml:space="preserve"> </w:t>
      </w:r>
      <w:r>
        <w:t>O</w:t>
      </w:r>
      <w:r w:rsidR="003B65CF" w:rsidRPr="003B65CF">
        <w:t xml:space="preserve"> </w:t>
      </w:r>
      <w:r>
        <w:t>may</w:t>
      </w:r>
      <w:r w:rsidR="003B65CF" w:rsidRPr="003B65CF">
        <w:t xml:space="preserve"> </w:t>
      </w:r>
      <w:r>
        <w:t>reasonably</w:t>
      </w:r>
      <w:r w:rsidR="003B65CF" w:rsidRPr="003B65CF">
        <w:t xml:space="preserve"> </w:t>
      </w:r>
      <w:r>
        <w:t>require,</w:t>
      </w:r>
      <w:r w:rsidR="003B65CF" w:rsidRPr="003B65CF">
        <w:t xml:space="preserve"> </w:t>
      </w:r>
      <w:r>
        <w:t>and,</w:t>
      </w:r>
      <w:r w:rsidR="003B65CF" w:rsidRPr="003B65CF">
        <w:t xml:space="preserve"> </w:t>
      </w:r>
      <w:r>
        <w:t>during</w:t>
      </w:r>
      <w:r w:rsidR="003B65CF" w:rsidRPr="003B65CF">
        <w:t xml:space="preserve"> </w:t>
      </w:r>
      <w:r>
        <w:t>the</w:t>
      </w:r>
      <w:r w:rsidR="003B65CF" w:rsidRPr="003B65CF">
        <w:t xml:space="preserve"> </w:t>
      </w:r>
      <w:r>
        <w:t>course</w:t>
      </w:r>
      <w:r w:rsidR="003B65CF" w:rsidRPr="003B65CF">
        <w:t xml:space="preserve"> </w:t>
      </w:r>
      <w:r>
        <w:t>of</w:t>
      </w:r>
      <w:r w:rsidR="003B65CF" w:rsidRPr="003B65CF">
        <w:t xml:space="preserve"> </w:t>
      </w:r>
      <w:r>
        <w:t>the</w:t>
      </w:r>
      <w:r w:rsidR="003B65CF" w:rsidRPr="003B65CF">
        <w:t xml:space="preserve"> </w:t>
      </w:r>
      <w:r>
        <w:t>checks,</w:t>
      </w:r>
      <w:r w:rsidR="003B65CF" w:rsidRPr="003B65CF">
        <w:t xml:space="preserve"> </w:t>
      </w:r>
      <w:r>
        <w:t>O</w:t>
      </w:r>
      <w:r w:rsidR="003B65CF" w:rsidRPr="003B65CF">
        <w:t xml:space="preserve"> </w:t>
      </w:r>
      <w:r>
        <w:t>may</w:t>
      </w:r>
      <w:r w:rsidR="003B65CF" w:rsidRPr="003B65CF">
        <w:t xml:space="preserve"> </w:t>
      </w:r>
      <w:r>
        <w:t>recover</w:t>
      </w:r>
      <w:r w:rsidR="003B65CF" w:rsidRPr="003B65CF">
        <w:t xml:space="preserve"> </w:t>
      </w:r>
      <w:r>
        <w:t>data</w:t>
      </w:r>
      <w:r w:rsidR="003B65CF" w:rsidRPr="003B65CF">
        <w:t xml:space="preserve"> </w:t>
      </w:r>
      <w:r>
        <w:t>held</w:t>
      </w:r>
      <w:r w:rsidR="003B65CF" w:rsidRPr="003B65CF">
        <w:t xml:space="preserve"> </w:t>
      </w:r>
      <w:r>
        <w:t>on</w:t>
      </w:r>
      <w:r w:rsidR="003B65CF" w:rsidRPr="003B65CF">
        <w:t xml:space="preserve"> </w:t>
      </w:r>
      <w:r>
        <w:t>the</w:t>
      </w:r>
      <w:r w:rsidR="003B65CF" w:rsidRPr="003B65CF">
        <w:t xml:space="preserve"> </w:t>
      </w:r>
      <w:r>
        <w:t>computer</w:t>
      </w:r>
      <w:r w:rsidR="003B65CF" w:rsidRPr="003B65CF">
        <w:t xml:space="preserve"> </w:t>
      </w:r>
      <w:r>
        <w:t>equipment;</w:t>
      </w:r>
    </w:p>
    <w:p w:rsidR="004E4230" w:rsidRDefault="004E4230" w:rsidP="00B07141">
      <w:pPr>
        <w:pStyle w:val="N3"/>
      </w:pPr>
      <w:r>
        <w:t>where</w:t>
      </w:r>
      <w:r w:rsidR="003B65CF" w:rsidRPr="003B65CF">
        <w:t xml:space="preserve"> </w:t>
      </w:r>
      <w:r>
        <w:t>a</w:t>
      </w:r>
      <w:r w:rsidR="003B65CF" w:rsidRPr="003B65CF">
        <w:t xml:space="preserve"> </w:t>
      </w:r>
      <w:r>
        <w:t>document</w:t>
      </w:r>
      <w:r w:rsidR="003B65CF" w:rsidRPr="003B65CF">
        <w:t xml:space="preserve"> </w:t>
      </w:r>
      <w:r>
        <w:t>or</w:t>
      </w:r>
      <w:r w:rsidR="003B65CF" w:rsidRPr="003B65CF">
        <w:t xml:space="preserve"> </w:t>
      </w:r>
      <w:r>
        <w:t>record</w:t>
      </w:r>
      <w:r w:rsidR="003B65CF" w:rsidRPr="003B65CF">
        <w:t xml:space="preserve"> </w:t>
      </w:r>
      <w:r>
        <w:t>mentioned</w:t>
      </w:r>
      <w:r w:rsidR="003B65CF" w:rsidRPr="003B65CF">
        <w:t xml:space="preserve"> </w:t>
      </w:r>
      <w:r>
        <w:t>in</w:t>
      </w:r>
      <w:r w:rsidR="003B65CF" w:rsidRPr="003B65CF">
        <w:t xml:space="preserve"> </w:t>
      </w:r>
      <w:r>
        <w:t>sub-paragraph</w:t>
      </w:r>
      <w:r w:rsidR="003B65CF" w:rsidRPr="003B65CF">
        <w:t xml:space="preserve"> </w:t>
      </w:r>
      <w:r>
        <w:t>(e)</w:t>
      </w:r>
      <w:r w:rsidR="003B65CF" w:rsidRPr="003B65CF">
        <w:t xml:space="preserve"> </w:t>
      </w:r>
      <w:r>
        <w:t>is</w:t>
      </w:r>
      <w:r w:rsidR="003B65CF" w:rsidRPr="003B65CF">
        <w:t xml:space="preserve"> </w:t>
      </w:r>
      <w:r>
        <w:t>kept</w:t>
      </w:r>
      <w:r w:rsidR="003B65CF" w:rsidRPr="003B65CF">
        <w:t xml:space="preserve"> </w:t>
      </w:r>
      <w:r>
        <w:t>by</w:t>
      </w:r>
      <w:r w:rsidR="003B65CF" w:rsidRPr="003B65CF">
        <w:t xml:space="preserve"> </w:t>
      </w:r>
      <w:r>
        <w:t>means</w:t>
      </w:r>
      <w:r w:rsidR="003B65CF" w:rsidRPr="003B65CF">
        <w:t xml:space="preserve"> </w:t>
      </w:r>
      <w:r>
        <w:t>of</w:t>
      </w:r>
      <w:r w:rsidR="003B65CF" w:rsidRPr="003B65CF">
        <w:t xml:space="preserve"> </w:t>
      </w:r>
      <w:r>
        <w:t>a</w:t>
      </w:r>
      <w:r w:rsidR="003B65CF" w:rsidRPr="003B65CF">
        <w:t xml:space="preserve"> </w:t>
      </w:r>
      <w:r>
        <w:t>computer,</w:t>
      </w:r>
      <w:r w:rsidR="003B65CF" w:rsidRPr="003B65CF">
        <w:t xml:space="preserve"> </w:t>
      </w:r>
      <w:r>
        <w:t>require</w:t>
      </w:r>
      <w:r w:rsidR="003B65CF" w:rsidRPr="003B65CF">
        <w:t xml:space="preserve"> </w:t>
      </w:r>
      <w:r>
        <w:t>the</w:t>
      </w:r>
      <w:r w:rsidR="003B65CF" w:rsidRPr="003B65CF">
        <w:t xml:space="preserve"> </w:t>
      </w:r>
      <w:r>
        <w:t>record</w:t>
      </w:r>
      <w:r w:rsidR="003B65CF" w:rsidRPr="003B65CF">
        <w:t xml:space="preserve"> </w:t>
      </w:r>
      <w:r>
        <w:t>to</w:t>
      </w:r>
      <w:r w:rsidR="003B65CF" w:rsidRPr="003B65CF">
        <w:t xml:space="preserve"> </w:t>
      </w:r>
      <w:r>
        <w:t>be</w:t>
      </w:r>
      <w:r w:rsidR="003B65CF" w:rsidRPr="003B65CF">
        <w:t xml:space="preserve"> </w:t>
      </w:r>
      <w:r>
        <w:t>produced</w:t>
      </w:r>
      <w:r w:rsidR="003B65CF" w:rsidRPr="003B65CF">
        <w:t xml:space="preserve"> </w:t>
      </w:r>
      <w:r>
        <w:t>in</w:t>
      </w:r>
      <w:r w:rsidR="003B65CF" w:rsidRPr="003B65CF">
        <w:t xml:space="preserve"> </w:t>
      </w:r>
      <w:r>
        <w:t>a</w:t>
      </w:r>
      <w:r w:rsidR="003B65CF" w:rsidRPr="003B65CF">
        <w:t xml:space="preserve"> </w:t>
      </w:r>
      <w:r>
        <w:t>form</w:t>
      </w:r>
      <w:r w:rsidR="003B65CF" w:rsidRPr="003B65CF">
        <w:t xml:space="preserve"> </w:t>
      </w:r>
      <w:r>
        <w:t>in</w:t>
      </w:r>
      <w:r w:rsidR="003B65CF" w:rsidRPr="003B65CF">
        <w:t xml:space="preserve"> </w:t>
      </w:r>
      <w:r>
        <w:t>which</w:t>
      </w:r>
      <w:r w:rsidR="003B65CF" w:rsidRPr="003B65CF">
        <w:t xml:space="preserve"> </w:t>
      </w:r>
      <w:r>
        <w:t>it</w:t>
      </w:r>
      <w:r w:rsidR="003B65CF" w:rsidRPr="003B65CF">
        <w:t xml:space="preserve"> </w:t>
      </w:r>
      <w:r>
        <w:t>may</w:t>
      </w:r>
      <w:r w:rsidR="003B65CF" w:rsidRPr="003B65CF">
        <w:t xml:space="preserve"> </w:t>
      </w:r>
      <w:r>
        <w:t>be</w:t>
      </w:r>
      <w:r w:rsidR="003B65CF" w:rsidRPr="003B65CF">
        <w:t xml:space="preserve"> </w:t>
      </w:r>
      <w:r>
        <w:t>taken</w:t>
      </w:r>
      <w:r w:rsidR="003B65CF" w:rsidRPr="003B65CF">
        <w:t xml:space="preserve"> </w:t>
      </w:r>
      <w:r>
        <w:t>away.</w:t>
      </w:r>
    </w:p>
    <w:p w:rsidR="003B65CF" w:rsidRDefault="004E4230" w:rsidP="004E4230">
      <w:pPr>
        <w:pStyle w:val="N2"/>
      </w:pPr>
      <w:r>
        <w:t>O</w:t>
      </w:r>
      <w:r w:rsidR="003B65CF" w:rsidRPr="003B65CF">
        <w:t xml:space="preserve"> </w:t>
      </w:r>
      <w:r>
        <w:t>may</w:t>
      </w:r>
      <w:r w:rsidR="003B65CF" w:rsidRPr="003B65CF">
        <w:t xml:space="preserve"> </w:t>
      </w:r>
      <w:r>
        <w:t>direct</w:t>
      </w:r>
      <w:r w:rsidR="003B65CF" w:rsidRPr="003B65CF">
        <w:t xml:space="preserve"> </w:t>
      </w:r>
      <w:r>
        <w:t>a</w:t>
      </w:r>
      <w:r w:rsidR="003B65CF" w:rsidRPr="003B65CF">
        <w:t xml:space="preserve"> </w:t>
      </w:r>
      <w:r>
        <w:t>person</w:t>
      </w:r>
      <w:r w:rsidR="003B65CF" w:rsidRPr="003B65CF">
        <w:t xml:space="preserve"> </w:t>
      </w:r>
      <w:r>
        <w:t>that</w:t>
      </w:r>
      <w:r w:rsidR="003B65CF" w:rsidRPr="003B65CF">
        <w:t xml:space="preserve"> </w:t>
      </w:r>
      <w:r>
        <w:t>the</w:t>
      </w:r>
      <w:r w:rsidR="003B65CF" w:rsidRPr="003B65CF">
        <w:t xml:space="preserve"> </w:t>
      </w:r>
      <w:r>
        <w:t>following</w:t>
      </w:r>
      <w:r w:rsidR="003B65CF" w:rsidRPr="003B65CF">
        <w:t xml:space="preserve"> </w:t>
      </w:r>
      <w:r>
        <w:t>must</w:t>
      </w:r>
      <w:r w:rsidR="003B65CF" w:rsidRPr="003B65CF">
        <w:t xml:space="preserve"> </w:t>
      </w:r>
      <w:r>
        <w:t>be</w:t>
      </w:r>
      <w:r w:rsidR="003B65CF" w:rsidRPr="003B65CF">
        <w:t xml:space="preserve"> </w:t>
      </w:r>
      <w:r>
        <w:t>left</w:t>
      </w:r>
      <w:r w:rsidR="003B65CF" w:rsidRPr="003B65CF">
        <w:t xml:space="preserve"> </w:t>
      </w:r>
      <w:r>
        <w:t>undisturbed</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is</w:t>
      </w:r>
      <w:r w:rsidR="003B65CF" w:rsidRPr="003B65CF">
        <w:t xml:space="preserve"> </w:t>
      </w:r>
      <w:r>
        <w:t>reasonably</w:t>
      </w:r>
      <w:r w:rsidR="003B65CF" w:rsidRPr="003B65CF">
        <w:t xml:space="preserve"> </w:t>
      </w:r>
      <w:r>
        <w:t>necessary</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examination</w:t>
      </w:r>
      <w:r w:rsidR="003B65CF" w:rsidRPr="003B65CF">
        <w:t xml:space="preserve"> </w:t>
      </w:r>
      <w:r>
        <w:t>or</w:t>
      </w:r>
      <w:r w:rsidR="003B65CF" w:rsidRPr="003B65CF">
        <w:t xml:space="preserve"> </w:t>
      </w:r>
      <w:r>
        <w:t>investigation—</w:t>
      </w:r>
    </w:p>
    <w:p w:rsidR="004E4230" w:rsidRDefault="004E4230" w:rsidP="00B07141">
      <w:pPr>
        <w:pStyle w:val="N3"/>
      </w:pPr>
      <w:r>
        <w:t>any</w:t>
      </w:r>
      <w:r w:rsidR="003B65CF" w:rsidRPr="003B65CF">
        <w:t xml:space="preserve"> </w:t>
      </w:r>
      <w:r>
        <w:t>one</w:t>
      </w:r>
      <w:r w:rsidR="003B65CF" w:rsidRPr="003B65CF">
        <w:t xml:space="preserve"> </w:t>
      </w:r>
      <w:r>
        <w:t>or</w:t>
      </w:r>
      <w:r w:rsidR="003B65CF" w:rsidRPr="003B65CF">
        <w:t xml:space="preserve"> </w:t>
      </w:r>
      <w:r>
        <w:t>more</w:t>
      </w:r>
      <w:r w:rsidR="003B65CF" w:rsidRPr="003B65CF">
        <w:t xml:space="preserve"> </w:t>
      </w:r>
      <w:r>
        <w:t>of</w:t>
      </w:r>
      <w:r w:rsidR="003B65CF" w:rsidRPr="003B65CF">
        <w:t xml:space="preserve"> </w:t>
      </w:r>
      <w:r>
        <w:t>the</w:t>
      </w:r>
      <w:r w:rsidR="003B65CF" w:rsidRPr="003B65CF">
        <w:t xml:space="preserve"> </w:t>
      </w:r>
      <w:r>
        <w:t>items</w:t>
      </w:r>
      <w:r w:rsidR="003B65CF" w:rsidRPr="003B65CF">
        <w:t xml:space="preserve"> </w:t>
      </w:r>
      <w:r>
        <w:t>mentioned</w:t>
      </w:r>
      <w:r w:rsidR="003B65CF" w:rsidRPr="003B65CF">
        <w:t xml:space="preserve"> </w:t>
      </w:r>
      <w:r>
        <w:t>in</w:t>
      </w:r>
      <w:r w:rsidR="003B65CF" w:rsidRPr="003B65CF">
        <w:t xml:space="preserve"> </w:t>
      </w:r>
      <w:r>
        <w:t>paragraph</w:t>
      </w:r>
      <w:r w:rsidR="003B65CF" w:rsidRPr="003B65CF">
        <w:t xml:space="preserve"> </w:t>
      </w:r>
      <w:r>
        <w:t>(1)(a)(i)</w:t>
      </w:r>
      <w:r w:rsidR="003B65CF" w:rsidRPr="003B65CF">
        <w:t xml:space="preserve"> </w:t>
      </w:r>
      <w:r>
        <w:t>to</w:t>
      </w:r>
      <w:r w:rsidR="003B65CF" w:rsidRPr="003B65CF">
        <w:t xml:space="preserve"> </w:t>
      </w:r>
      <w:r>
        <w:t>(ix);</w:t>
      </w:r>
    </w:p>
    <w:p w:rsidR="004E4230" w:rsidRDefault="004E4230" w:rsidP="00B07141">
      <w:pPr>
        <w:pStyle w:val="N3"/>
      </w:pPr>
      <w:r>
        <w:t>any</w:t>
      </w:r>
      <w:r w:rsidR="003B65CF" w:rsidRPr="003B65CF">
        <w:t xml:space="preserve"> </w:t>
      </w:r>
      <w:r>
        <w:t>premises</w:t>
      </w:r>
      <w:r w:rsidR="003B65CF" w:rsidRPr="003B65CF">
        <w:t xml:space="preserve"> </w:t>
      </w:r>
      <w:r>
        <w:t>on</w:t>
      </w:r>
      <w:r w:rsidR="003B65CF" w:rsidRPr="003B65CF">
        <w:t xml:space="preserve"> </w:t>
      </w:r>
      <w:r>
        <w:t>or</w:t>
      </w:r>
      <w:r w:rsidR="003B65CF" w:rsidRPr="003B65CF">
        <w:t xml:space="preserve"> </w:t>
      </w:r>
      <w:r>
        <w:t>in</w:t>
      </w:r>
      <w:r w:rsidR="003B65CF" w:rsidRPr="003B65CF">
        <w:t xml:space="preserve"> </w:t>
      </w:r>
      <w:r>
        <w:t>which</w:t>
      </w:r>
      <w:r w:rsidR="003B65CF" w:rsidRPr="003B65CF">
        <w:t xml:space="preserve"> </w:t>
      </w:r>
      <w:r>
        <w:t>any</w:t>
      </w:r>
      <w:r w:rsidR="003B65CF" w:rsidRPr="003B65CF">
        <w:t xml:space="preserve"> </w:t>
      </w:r>
      <w:r>
        <w:t>of</w:t>
      </w:r>
      <w:r w:rsidR="003B65CF" w:rsidRPr="003B65CF">
        <w:t xml:space="preserve"> </w:t>
      </w:r>
      <w:r>
        <w:t>those</w:t>
      </w:r>
      <w:r w:rsidR="003B65CF" w:rsidRPr="003B65CF">
        <w:t xml:space="preserve"> </w:t>
      </w:r>
      <w:r>
        <w:t>items</w:t>
      </w:r>
      <w:r w:rsidR="003B65CF" w:rsidRPr="003B65CF">
        <w:t xml:space="preserve"> </w:t>
      </w:r>
      <w:r>
        <w:t>are</w:t>
      </w:r>
      <w:r w:rsidR="003B65CF" w:rsidRPr="003B65CF">
        <w:t xml:space="preserve"> </w:t>
      </w:r>
      <w:r>
        <w:t>found.</w:t>
      </w:r>
    </w:p>
    <w:p w:rsidR="003B65CF" w:rsidRDefault="004E4230" w:rsidP="004E4230">
      <w:pPr>
        <w:pStyle w:val="N2"/>
      </w:pPr>
      <w:r>
        <w:t>A</w:t>
      </w:r>
      <w:r w:rsidR="003B65CF" w:rsidRPr="003B65CF">
        <w:t xml:space="preserve"> </w:t>
      </w:r>
      <w:r>
        <w:t>person</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an</w:t>
      </w:r>
      <w:r w:rsidR="003B65CF" w:rsidRPr="003B65CF">
        <w:t xml:space="preserve"> </w:t>
      </w:r>
      <w:r>
        <w:t>offence</w:t>
      </w:r>
      <w:r w:rsidR="003B65CF" w:rsidRPr="003B65CF">
        <w:t xml:space="preserve"> </w:t>
      </w:r>
      <w:r>
        <w:t>if</w:t>
      </w:r>
      <w:r w:rsidR="003B65CF" w:rsidRPr="003B65CF">
        <w:t xml:space="preserve"> </w:t>
      </w:r>
      <w:r>
        <w:t>they</w:t>
      </w:r>
      <w:r w:rsidR="003B65CF" w:rsidRPr="003B65CF">
        <w:t xml:space="preserve"> </w:t>
      </w:r>
      <w:r>
        <w:t>fail</w:t>
      </w:r>
      <w:r w:rsidR="003B65CF" w:rsidRPr="003B65CF">
        <w:t xml:space="preserve"> </w:t>
      </w:r>
      <w:r>
        <w:t>to</w:t>
      </w:r>
      <w:r w:rsidR="003B65CF" w:rsidRPr="003B65CF">
        <w:t xml:space="preserve"> </w:t>
      </w:r>
      <w:r>
        <w:t>comply</w:t>
      </w:r>
      <w:r w:rsidR="003B65CF" w:rsidRPr="003B65CF">
        <w:t xml:space="preserve"> </w:t>
      </w:r>
      <w:r>
        <w:t>with</w:t>
      </w:r>
      <w:r w:rsidR="003B65CF" w:rsidRPr="003B65CF">
        <w:t xml:space="preserve"> </w:t>
      </w:r>
      <w:r>
        <w:t>a</w:t>
      </w:r>
      <w:r w:rsidR="003B65CF" w:rsidRPr="003B65CF">
        <w:t xml:space="preserve"> </w:t>
      </w:r>
      <w:r>
        <w:t>direction</w:t>
      </w:r>
      <w:r w:rsidR="003B65CF" w:rsidRPr="003B65CF">
        <w:t xml:space="preserve"> </w:t>
      </w:r>
      <w:r>
        <w:t>given</w:t>
      </w:r>
      <w:r w:rsidR="003B65CF" w:rsidRPr="003B65CF">
        <w:t xml:space="preserve"> </w:t>
      </w:r>
      <w:r>
        <w:t>to</w:t>
      </w:r>
      <w:r w:rsidR="003B65CF" w:rsidRPr="003B65CF">
        <w:t xml:space="preserve"> </w:t>
      </w:r>
      <w:r>
        <w:t>them</w:t>
      </w:r>
      <w:r w:rsidR="003B65CF" w:rsidRPr="003B65CF">
        <w:t xml:space="preserve"> </w:t>
      </w:r>
      <w:r>
        <w:t>by</w:t>
      </w:r>
      <w:r w:rsidR="003B65CF" w:rsidRPr="003B65CF">
        <w:t xml:space="preserve"> </w:t>
      </w:r>
      <w:r>
        <w:t>O</w:t>
      </w:r>
      <w:r w:rsidR="003B65CF" w:rsidRPr="003B65CF">
        <w:t xml:space="preserve"> </w:t>
      </w:r>
      <w:r>
        <w:t>under</w:t>
      </w:r>
      <w:r w:rsidR="003B65CF" w:rsidRPr="003B65CF">
        <w:t xml:space="preserve"> </w:t>
      </w:r>
      <w:r>
        <w:t>paragraph</w:t>
      </w:r>
      <w:r w:rsidR="003B65CF" w:rsidRPr="003B65CF">
        <w:t xml:space="preserve"> </w:t>
      </w:r>
      <w:r>
        <w:t>(2).</w:t>
      </w:r>
    </w:p>
    <w:p w:rsidR="003B65CF" w:rsidRDefault="004E4230" w:rsidP="004E4230">
      <w:pPr>
        <w:pStyle w:val="N2"/>
      </w:pPr>
      <w:r>
        <w:t>O</w:t>
      </w:r>
      <w:r w:rsidR="003B65CF" w:rsidRPr="003B65CF">
        <w:t xml:space="preserve"> </w:t>
      </w:r>
      <w:r>
        <w:t>may</w:t>
      </w:r>
      <w:r w:rsidR="003B65CF" w:rsidRPr="003B65CF">
        <w:t xml:space="preserve"> </w:t>
      </w:r>
      <w:r>
        <w:t>seize</w:t>
      </w:r>
      <w:r w:rsidR="003B65CF" w:rsidRPr="003B65CF">
        <w:t xml:space="preserve"> </w:t>
      </w:r>
      <w:r>
        <w:t>and</w:t>
      </w:r>
      <w:r w:rsidR="003B65CF" w:rsidRPr="003B65CF">
        <w:t xml:space="preserve"> </w:t>
      </w:r>
      <w:r>
        <w:t>detain</w:t>
      </w:r>
      <w:r w:rsidR="003B65CF" w:rsidRPr="003B65CF">
        <w:t xml:space="preserve"> </w:t>
      </w:r>
      <w:r>
        <w:t>any</w:t>
      </w:r>
      <w:r w:rsidR="003B65CF" w:rsidRPr="003B65CF">
        <w:t xml:space="preserve"> </w:t>
      </w:r>
      <w:r>
        <w:t>item</w:t>
      </w:r>
      <w:r w:rsidR="003B65CF" w:rsidRPr="003B65CF">
        <w:t xml:space="preserve"> </w:t>
      </w:r>
      <w:r>
        <w:t>of</w:t>
      </w:r>
      <w:r w:rsidR="003B65CF" w:rsidRPr="003B65CF">
        <w:t xml:space="preserve"> </w:t>
      </w:r>
      <w:r>
        <w:t>the</w:t>
      </w:r>
      <w:r w:rsidR="003B65CF" w:rsidRPr="003B65CF">
        <w:t xml:space="preserve"> </w:t>
      </w:r>
      <w:r>
        <w:t>type</w:t>
      </w:r>
      <w:r w:rsidR="003B65CF" w:rsidRPr="003B65CF">
        <w:t xml:space="preserve"> </w:t>
      </w:r>
      <w:r>
        <w:t>mentioned</w:t>
      </w:r>
      <w:r w:rsidR="003B65CF" w:rsidRPr="003B65CF">
        <w:t xml:space="preserve"> </w:t>
      </w:r>
      <w:r>
        <w:t>in</w:t>
      </w:r>
      <w:r w:rsidR="003B65CF" w:rsidRPr="003B65CF">
        <w:t xml:space="preserve"> </w:t>
      </w:r>
      <w:r>
        <w:t>paragraph</w:t>
      </w:r>
      <w:r w:rsidR="003B65CF" w:rsidRPr="003B65CF">
        <w:t xml:space="preserve"> </w:t>
      </w:r>
      <w:r>
        <w:t>(1)(a)(i)</w:t>
      </w:r>
      <w:r w:rsidR="003B65CF" w:rsidRPr="003B65CF">
        <w:t xml:space="preserve"> </w:t>
      </w:r>
      <w:r>
        <w:t>to</w:t>
      </w:r>
      <w:r w:rsidR="003B65CF" w:rsidRPr="003B65CF">
        <w:t xml:space="preserve"> </w:t>
      </w:r>
      <w:r>
        <w:t>(ix)</w:t>
      </w:r>
      <w:r w:rsidR="003B65CF" w:rsidRPr="003B65CF">
        <w:t xml:space="preserve"> </w:t>
      </w:r>
      <w:r>
        <w:t>that</w:t>
      </w:r>
      <w:r w:rsidR="003B65CF" w:rsidRPr="003B65CF">
        <w:t xml:space="preserve"> </w:t>
      </w:r>
      <w:r>
        <w:t>O</w:t>
      </w:r>
      <w:r w:rsidR="003B65CF" w:rsidRPr="003B65CF">
        <w:t xml:space="preserve"> </w:t>
      </w:r>
      <w:r>
        <w:t>has</w:t>
      </w:r>
      <w:r w:rsidR="003B65CF" w:rsidRPr="003B65CF">
        <w:t xml:space="preserve"> </w:t>
      </w:r>
      <w:r>
        <w:t>reason</w:t>
      </w:r>
      <w:r w:rsidR="003B65CF" w:rsidRPr="003B65CF">
        <w:t xml:space="preserve"> </w:t>
      </w:r>
      <w:r>
        <w:t>to</w:t>
      </w:r>
      <w:r w:rsidR="003B65CF" w:rsidRPr="003B65CF">
        <w:t xml:space="preserve"> </w:t>
      </w:r>
      <w:r>
        <w:t>believe</w:t>
      </w:r>
      <w:r w:rsidR="003B65CF" w:rsidRPr="003B65CF">
        <w:t xml:space="preserve"> </w:t>
      </w:r>
      <w:r>
        <w:t>may</w:t>
      </w:r>
      <w:r w:rsidR="003B65CF" w:rsidRPr="003B65CF">
        <w:t xml:space="preserve"> </w:t>
      </w:r>
      <w:r>
        <w:t>be</w:t>
      </w:r>
      <w:r w:rsidR="003B65CF" w:rsidRPr="003B65CF">
        <w:t xml:space="preserve"> </w:t>
      </w:r>
      <w:r>
        <w:t>required</w:t>
      </w:r>
      <w:r w:rsidR="003B65CF" w:rsidRPr="003B65CF">
        <w:t xml:space="preserve"> </w:t>
      </w:r>
      <w:r>
        <w:t>as</w:t>
      </w:r>
      <w:r w:rsidR="003B65CF" w:rsidRPr="003B65CF">
        <w:t xml:space="preserve"> </w:t>
      </w:r>
      <w:r>
        <w:t>evidence</w:t>
      </w:r>
      <w:r w:rsidR="003B65CF" w:rsidRPr="003B65CF">
        <w:t xml:space="preserve"> </w:t>
      </w:r>
      <w:r>
        <w:t>in</w:t>
      </w:r>
      <w:r w:rsidR="003B65CF" w:rsidRPr="003B65CF">
        <w:t xml:space="preserve"> </w:t>
      </w:r>
      <w:r>
        <w:t>proceedings</w:t>
      </w:r>
      <w:r w:rsidR="003B65CF" w:rsidRPr="003B65CF">
        <w:t xml:space="preserve"> </w:t>
      </w:r>
      <w:r>
        <w:t>under</w:t>
      </w:r>
      <w:r w:rsidR="003B65CF" w:rsidRPr="003B65CF">
        <w:t xml:space="preserve"> </w:t>
      </w:r>
      <w:r>
        <w:t>these</w:t>
      </w:r>
      <w:r w:rsidR="003B65CF" w:rsidRPr="003B65CF">
        <w:t xml:space="preserve"> </w:t>
      </w:r>
      <w:r>
        <w:t>Regulations.</w:t>
      </w:r>
    </w:p>
    <w:p w:rsidR="004E4230" w:rsidRDefault="004E4230" w:rsidP="002569F2">
      <w:pPr>
        <w:pStyle w:val="N2"/>
      </w:pPr>
      <w:r>
        <w:t>O</w:t>
      </w:r>
      <w:r w:rsidR="003B65CF" w:rsidRPr="003B65CF">
        <w:t xml:space="preserve"> </w:t>
      </w:r>
      <w:r>
        <w:t>may</w:t>
      </w:r>
      <w:r w:rsidR="003B65CF" w:rsidRPr="003B65CF">
        <w:t xml:space="preserve"> </w:t>
      </w:r>
      <w:r>
        <w:t>seize</w:t>
      </w:r>
      <w:r w:rsidR="003B65CF" w:rsidRPr="003B65CF">
        <w:t xml:space="preserve"> </w:t>
      </w:r>
      <w:r>
        <w:t>as</w:t>
      </w:r>
      <w:r w:rsidR="003B65CF" w:rsidRPr="003B65CF">
        <w:t xml:space="preserve"> </w:t>
      </w:r>
      <w:r>
        <w:t>liable</w:t>
      </w:r>
      <w:r w:rsidR="003B65CF" w:rsidRPr="003B65CF">
        <w:t xml:space="preserve"> </w:t>
      </w:r>
      <w:r>
        <w:t>to</w:t>
      </w:r>
      <w:r w:rsidR="003B65CF" w:rsidRPr="003B65CF">
        <w:t xml:space="preserve"> </w:t>
      </w:r>
      <w:r>
        <w:t>destruction</w:t>
      </w:r>
      <w:r w:rsidR="003B65CF" w:rsidRPr="003B65CF">
        <w:t xml:space="preserve"> </w:t>
      </w:r>
      <w:r>
        <w:t>any</w:t>
      </w:r>
      <w:r w:rsidR="003B65CF" w:rsidRPr="003B65CF">
        <w:t xml:space="preserve"> </w:t>
      </w:r>
      <w:r>
        <w:t>product</w:t>
      </w:r>
      <w:r w:rsidR="003B65CF" w:rsidRPr="003B65CF">
        <w:t xml:space="preserve"> </w:t>
      </w:r>
      <w:r>
        <w:t>of</w:t>
      </w:r>
      <w:r w:rsidR="003B65CF" w:rsidRPr="003B65CF">
        <w:t xml:space="preserve"> </w:t>
      </w:r>
      <w:r>
        <w:t>the</w:t>
      </w:r>
      <w:r w:rsidR="003B65CF" w:rsidRPr="003B65CF">
        <w:t xml:space="preserve"> </w:t>
      </w:r>
      <w:r>
        <w:t>type</w:t>
      </w:r>
      <w:r w:rsidR="003B65CF" w:rsidRPr="003B65CF">
        <w:t xml:space="preserve"> </w:t>
      </w:r>
      <w:r>
        <w:t>mentioned</w:t>
      </w:r>
      <w:r w:rsidR="003B65CF" w:rsidRPr="003B65CF">
        <w:t xml:space="preserve"> </w:t>
      </w:r>
      <w:r w:rsidR="002569F2">
        <w:t>in</w:t>
      </w:r>
      <w:r w:rsidR="003B65CF" w:rsidRPr="003B65CF">
        <w:t xml:space="preserve"> </w:t>
      </w:r>
      <w:r w:rsidR="002569F2">
        <w:t>paragraph</w:t>
      </w:r>
      <w:r w:rsidR="003B65CF" w:rsidRPr="003B65CF">
        <w:t xml:space="preserve"> </w:t>
      </w:r>
      <w:r w:rsidR="002569F2">
        <w:t>(1)(a)(i)</w:t>
      </w:r>
      <w:r w:rsidR="003B65CF" w:rsidRPr="003B65CF">
        <w:t xml:space="preserve"> </w:t>
      </w:r>
      <w:r w:rsidR="002569F2">
        <w:t>or</w:t>
      </w:r>
      <w:r w:rsidR="003B65CF" w:rsidRPr="003B65CF">
        <w:t xml:space="preserve"> </w:t>
      </w:r>
      <w:r w:rsidR="002569F2">
        <w:t>(ii)</w:t>
      </w:r>
      <w:r w:rsidR="003B65CF" w:rsidRPr="003B65CF">
        <w:t xml:space="preserve"> </w:t>
      </w:r>
      <w:r>
        <w:t>that</w:t>
      </w:r>
      <w:r w:rsidR="003B65CF" w:rsidRPr="003B65CF">
        <w:t xml:space="preserve"> </w:t>
      </w:r>
      <w:r>
        <w:t>O</w:t>
      </w:r>
      <w:r w:rsidR="003B65CF" w:rsidRPr="003B65CF">
        <w:t xml:space="preserve"> </w:t>
      </w:r>
      <w:r>
        <w:t>reasonably</w:t>
      </w:r>
      <w:r w:rsidR="003B65CF" w:rsidRPr="003B65CF">
        <w:t xml:space="preserve"> </w:t>
      </w:r>
      <w:r>
        <w:t>believes</w:t>
      </w:r>
      <w:r w:rsidR="003B65CF" w:rsidRPr="003B65CF">
        <w:t xml:space="preserve"> </w:t>
      </w:r>
      <w:r>
        <w:t>contravenes</w:t>
      </w:r>
      <w:r w:rsidR="003B65CF" w:rsidRPr="003B65CF">
        <w:t xml:space="preserve"> </w:t>
      </w:r>
      <w:r>
        <w:t>any</w:t>
      </w:r>
      <w:r w:rsidR="003B65CF" w:rsidRPr="003B65CF">
        <w:t xml:space="preserve"> </w:t>
      </w:r>
      <w:r>
        <w:t>provision</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r w:rsidR="003B65CF" w:rsidRPr="003B65CF">
        <w:t xml:space="preserve"> </w:t>
      </w:r>
      <w:r>
        <w:t>mentioned</w:t>
      </w:r>
      <w:r w:rsidR="003B65CF" w:rsidRPr="003B65CF">
        <w:t xml:space="preserve"> </w:t>
      </w:r>
      <w:r>
        <w:t>in</w:t>
      </w:r>
      <w:r w:rsidR="003B65CF" w:rsidRPr="003B65CF">
        <w:t xml:space="preserve"> </w:t>
      </w:r>
      <w:r w:rsidR="00B07141">
        <w:t>column</w:t>
      </w:r>
      <w:r w:rsidR="003B65CF" w:rsidRPr="003B65CF">
        <w:t xml:space="preserve"> </w:t>
      </w:r>
      <w:r w:rsidR="00B07141">
        <w:t>1</w:t>
      </w:r>
      <w:r w:rsidR="003B65CF" w:rsidRPr="003B65CF">
        <w:t xml:space="preserve"> </w:t>
      </w:r>
      <w:r w:rsidR="00B07141">
        <w:t>of</w:t>
      </w:r>
      <w:r w:rsidR="003B65CF" w:rsidRPr="003B65CF">
        <w:t xml:space="preserve"> </w:t>
      </w:r>
      <w:r w:rsidR="00B07141">
        <w:t>Part</w:t>
      </w:r>
      <w:r w:rsidR="003B65CF" w:rsidRPr="003B65CF">
        <w:t xml:space="preserve"> </w:t>
      </w:r>
      <w:r w:rsidR="00B07141">
        <w:t>2</w:t>
      </w:r>
      <w:r w:rsidR="003B65CF" w:rsidRPr="003B65CF">
        <w:t xml:space="preserve"> </w:t>
      </w:r>
      <w:r w:rsidR="00B07141">
        <w:t>of</w:t>
      </w:r>
      <w:r w:rsidR="003B65CF" w:rsidRPr="003B65CF">
        <w:t xml:space="preserve"> </w:t>
      </w:r>
      <w:r w:rsidR="00B07141">
        <w:t>Schedule</w:t>
      </w:r>
      <w:r w:rsidR="003B65CF" w:rsidRPr="003B65CF">
        <w:t xml:space="preserve"> </w:t>
      </w:r>
      <w:r w:rsidR="00B07141">
        <w:t>1</w:t>
      </w:r>
      <w:r>
        <w:t>,</w:t>
      </w:r>
      <w:r w:rsidR="003B65CF" w:rsidRPr="003B65CF">
        <w:t xml:space="preserve"> </w:t>
      </w:r>
      <w:r>
        <w:t>as</w:t>
      </w:r>
      <w:r w:rsidR="003B65CF" w:rsidRPr="003B65CF">
        <w:t xml:space="preserve"> </w:t>
      </w:r>
      <w:r>
        <w:t>read</w:t>
      </w:r>
      <w:r w:rsidR="003B65CF" w:rsidRPr="003B65CF">
        <w:t xml:space="preserve"> </w:t>
      </w:r>
      <w:r>
        <w:t>with</w:t>
      </w:r>
      <w:r w:rsidR="003B65CF" w:rsidRPr="003B65CF">
        <w:t xml:space="preserve"> </w:t>
      </w:r>
      <w:r>
        <w:t>any</w:t>
      </w:r>
      <w:r w:rsidR="003B65CF" w:rsidRPr="003B65CF">
        <w:t xml:space="preserve"> </w:t>
      </w:r>
      <w:r>
        <w:t>provision</w:t>
      </w:r>
      <w:r w:rsidR="003B65CF" w:rsidRPr="003B65CF">
        <w:t xml:space="preserve"> </w:t>
      </w:r>
      <w:r>
        <w:t>mentioned</w:t>
      </w:r>
      <w:r w:rsidR="003B65CF" w:rsidRPr="003B65CF">
        <w:t xml:space="preserve"> </w:t>
      </w:r>
      <w:r>
        <w:t>in</w:t>
      </w:r>
      <w:r w:rsidR="003B65CF" w:rsidRPr="003B65CF">
        <w:t xml:space="preserve"> </w:t>
      </w:r>
      <w:r>
        <w:t>any</w:t>
      </w:r>
      <w:r w:rsidR="003B65CF" w:rsidRPr="003B65CF">
        <w:t xml:space="preserve"> </w:t>
      </w:r>
      <w:r>
        <w:t>corresponding</w:t>
      </w:r>
      <w:r w:rsidR="003B65CF" w:rsidRPr="003B65CF">
        <w:t xml:space="preserve"> </w:t>
      </w:r>
      <w:r>
        <w:t>entry</w:t>
      </w:r>
      <w:r w:rsidR="003B65CF" w:rsidRPr="003B65CF">
        <w:t xml:space="preserve"> </w:t>
      </w:r>
      <w:r>
        <w:t>in</w:t>
      </w:r>
      <w:r w:rsidR="003B65CF" w:rsidRPr="003B65CF">
        <w:t xml:space="preserve"> </w:t>
      </w:r>
      <w:r>
        <w:t>column</w:t>
      </w:r>
      <w:r w:rsidR="003B65CF" w:rsidRPr="003B65CF">
        <w:t xml:space="preserve"> </w:t>
      </w:r>
      <w:r>
        <w:t>2</w:t>
      </w:r>
      <w:r w:rsidR="003B65CF" w:rsidRPr="003B65CF">
        <w:t xml:space="preserve"> </w:t>
      </w:r>
      <w:r w:rsidR="00B07141">
        <w:t>of</w:t>
      </w:r>
      <w:r w:rsidR="003B65CF" w:rsidRPr="003B65CF">
        <w:t xml:space="preserve"> </w:t>
      </w:r>
      <w:r w:rsidR="00B07141">
        <w:t>that</w:t>
      </w:r>
      <w:r w:rsidR="003B65CF" w:rsidRPr="003B65CF">
        <w:t xml:space="preserve"> </w:t>
      </w:r>
      <w:r w:rsidR="00B07141">
        <w:t>Part</w:t>
      </w:r>
      <w:r w:rsidR="003B65CF" w:rsidRPr="003B65CF">
        <w:t xml:space="preserve"> </w:t>
      </w:r>
      <w:r w:rsidR="00B07141">
        <w:t>of</w:t>
      </w:r>
      <w:r w:rsidR="003B65CF" w:rsidRPr="003B65CF">
        <w:t xml:space="preserve"> </w:t>
      </w:r>
      <w:r w:rsidR="00B07141">
        <w:t>that</w:t>
      </w:r>
      <w:r w:rsidR="003B65CF" w:rsidRPr="003B65CF">
        <w:t xml:space="preserve"> </w:t>
      </w:r>
      <w:r w:rsidR="00B07141">
        <w:t>Schedule</w:t>
      </w:r>
      <w:r w:rsidR="0032097F">
        <w:t>.</w:t>
      </w:r>
    </w:p>
    <w:p w:rsidR="003B65CF" w:rsidRDefault="004E4230" w:rsidP="004E4230">
      <w:pPr>
        <w:pStyle w:val="N2"/>
      </w:pPr>
      <w:r>
        <w:t>O</w:t>
      </w:r>
      <w:r w:rsidR="003B65CF" w:rsidRPr="003B65CF">
        <w:t xml:space="preserve"> </w:t>
      </w:r>
      <w:r>
        <w:t>may</w:t>
      </w:r>
      <w:r w:rsidR="003B65CF" w:rsidRPr="003B65CF">
        <w:t xml:space="preserve"> </w:t>
      </w:r>
      <w:r>
        <w:t>seize</w:t>
      </w:r>
      <w:r w:rsidR="003B65CF" w:rsidRPr="003B65CF">
        <w:t xml:space="preserve"> </w:t>
      </w:r>
      <w:r>
        <w:t>any</w:t>
      </w:r>
      <w:r w:rsidR="003B65CF" w:rsidRPr="003B65CF">
        <w:t xml:space="preserve"> </w:t>
      </w:r>
      <w:r>
        <w:t>computer</w:t>
      </w:r>
      <w:r w:rsidR="003B65CF" w:rsidRPr="003B65CF">
        <w:t xml:space="preserve"> </w:t>
      </w:r>
      <w:r>
        <w:t>equipment</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copying</w:t>
      </w:r>
      <w:r w:rsidR="003B65CF" w:rsidRPr="003B65CF">
        <w:t xml:space="preserve"> </w:t>
      </w:r>
      <w:r>
        <w:t>documents</w:t>
      </w:r>
      <w:r w:rsidR="003B65CF" w:rsidRPr="003B65CF">
        <w:t xml:space="preserve"> </w:t>
      </w:r>
      <w:r>
        <w:t>or</w:t>
      </w:r>
      <w:r w:rsidR="003B65CF" w:rsidRPr="003B65CF">
        <w:t xml:space="preserve"> </w:t>
      </w:r>
      <w:r>
        <w:t>records</w:t>
      </w:r>
      <w:r w:rsidR="003B65CF" w:rsidRPr="003B65CF">
        <w:t xml:space="preserve"> </w:t>
      </w:r>
      <w:r>
        <w:t>of</w:t>
      </w:r>
      <w:r w:rsidR="003B65CF" w:rsidRPr="003B65CF">
        <w:t xml:space="preserve"> </w:t>
      </w:r>
      <w:r>
        <w:t>the</w:t>
      </w:r>
      <w:r w:rsidR="003B65CF" w:rsidRPr="003B65CF">
        <w:t xml:space="preserve"> </w:t>
      </w:r>
      <w:r>
        <w:t>type</w:t>
      </w:r>
      <w:r w:rsidR="003B65CF" w:rsidRPr="003B65CF">
        <w:t xml:space="preserve"> </w:t>
      </w:r>
      <w:r>
        <w:t>mentioned</w:t>
      </w:r>
      <w:r w:rsidR="003B65CF" w:rsidRPr="003B65CF">
        <w:t xml:space="preserve"> </w:t>
      </w:r>
      <w:r>
        <w:t>in</w:t>
      </w:r>
      <w:r w:rsidR="003B65CF" w:rsidRPr="003B65CF">
        <w:t xml:space="preserve"> </w:t>
      </w:r>
      <w:r>
        <w:t>paragraph</w:t>
      </w:r>
      <w:r w:rsidR="003B65CF" w:rsidRPr="003B65CF">
        <w:t xml:space="preserve"> </w:t>
      </w:r>
      <w:r>
        <w:t>(1)(e),</w:t>
      </w:r>
      <w:r w:rsidR="003B65CF" w:rsidRPr="003B65CF">
        <w:t xml:space="preserve"> </w:t>
      </w:r>
      <w:r>
        <w:t>and</w:t>
      </w:r>
      <w:r w:rsidR="003B65CF" w:rsidRPr="003B65CF">
        <w:t xml:space="preserve"> </w:t>
      </w:r>
      <w:r>
        <w:t>for</w:t>
      </w:r>
      <w:r w:rsidR="003B65CF" w:rsidRPr="003B65CF">
        <w:t xml:space="preserve"> </w:t>
      </w:r>
      <w:r>
        <w:t>checking</w:t>
      </w:r>
      <w:r w:rsidR="003B65CF" w:rsidRPr="003B65CF">
        <w:t xml:space="preserve"> </w:t>
      </w:r>
      <w:r>
        <w:t>the</w:t>
      </w:r>
      <w:r w:rsidR="003B65CF" w:rsidRPr="003B65CF">
        <w:t xml:space="preserve"> </w:t>
      </w:r>
      <w:r>
        <w:t>data</w:t>
      </w:r>
      <w:r w:rsidR="003B65CF" w:rsidRPr="003B65CF">
        <w:t xml:space="preserve"> </w:t>
      </w:r>
      <w:r>
        <w:t>on,</w:t>
      </w:r>
      <w:r w:rsidR="003B65CF" w:rsidRPr="003B65CF">
        <w:t xml:space="preserve"> </w:t>
      </w:r>
      <w:r>
        <w:t>and</w:t>
      </w:r>
      <w:r w:rsidR="003B65CF" w:rsidRPr="003B65CF">
        <w:t xml:space="preserve"> </w:t>
      </w:r>
      <w:r>
        <w:t>operation</w:t>
      </w:r>
      <w:r w:rsidR="003B65CF" w:rsidRPr="003B65CF">
        <w:t xml:space="preserve"> </w:t>
      </w:r>
      <w:r>
        <w:t>of,</w:t>
      </w:r>
      <w:r w:rsidR="003B65CF" w:rsidRPr="003B65CF">
        <w:t xml:space="preserve"> </w:t>
      </w:r>
      <w:r>
        <w:t>any</w:t>
      </w:r>
      <w:r w:rsidR="003B65CF" w:rsidRPr="003B65CF">
        <w:t xml:space="preserve"> </w:t>
      </w:r>
      <w:r>
        <w:t>computer</w:t>
      </w:r>
      <w:r w:rsidR="003B65CF" w:rsidRPr="003B65CF">
        <w:t xml:space="preserve"> </w:t>
      </w:r>
      <w:r>
        <w:t>equipment</w:t>
      </w:r>
      <w:r w:rsidR="003B65CF" w:rsidRPr="003B65CF">
        <w:t xml:space="preserve"> </w:t>
      </w:r>
      <w:r>
        <w:t>that</w:t>
      </w:r>
      <w:r w:rsidR="003B65CF" w:rsidRPr="003B65CF">
        <w:t xml:space="preserve"> </w:t>
      </w:r>
      <w:r>
        <w:t>is,</w:t>
      </w:r>
      <w:r w:rsidR="003B65CF" w:rsidRPr="003B65CF">
        <w:t xml:space="preserve"> </w:t>
      </w:r>
      <w:r>
        <w:t>or</w:t>
      </w:r>
      <w:r w:rsidR="003B65CF" w:rsidRPr="003B65CF">
        <w:t xml:space="preserve"> </w:t>
      </w:r>
      <w:r>
        <w:t>has</w:t>
      </w:r>
      <w:r w:rsidR="003B65CF" w:rsidRPr="003B65CF">
        <w:t xml:space="preserve"> </w:t>
      </w:r>
      <w:r>
        <w:t>been,</w:t>
      </w:r>
      <w:r w:rsidR="003B65CF" w:rsidRPr="003B65CF">
        <w:t xml:space="preserve"> </w:t>
      </w:r>
      <w:r>
        <w:t>in</w:t>
      </w:r>
      <w:r w:rsidR="003B65CF" w:rsidRPr="003B65CF">
        <w:t xml:space="preserve"> </w:t>
      </w:r>
      <w:r>
        <w:t>use</w:t>
      </w:r>
      <w:r w:rsidR="003B65CF" w:rsidRPr="003B65CF">
        <w:t xml:space="preserve"> </w:t>
      </w:r>
      <w:r>
        <w:t>in</w:t>
      </w:r>
      <w:r w:rsidR="003B65CF" w:rsidRPr="003B65CF">
        <w:t xml:space="preserve"> </w:t>
      </w:r>
      <w:r>
        <w:t>connection</w:t>
      </w:r>
      <w:r w:rsidR="003B65CF" w:rsidRPr="003B65CF">
        <w:t xml:space="preserve"> </w:t>
      </w:r>
      <w:r>
        <w:t>with,</w:t>
      </w:r>
      <w:r w:rsidR="003B65CF" w:rsidRPr="003B65CF">
        <w:t xml:space="preserve"> </w:t>
      </w:r>
      <w:r>
        <w:t>those</w:t>
      </w:r>
      <w:r w:rsidR="003B65CF" w:rsidRPr="003B65CF">
        <w:t xml:space="preserve"> </w:t>
      </w:r>
      <w:r>
        <w:t>documents</w:t>
      </w:r>
      <w:r w:rsidR="003B65CF" w:rsidRPr="003B65CF">
        <w:t xml:space="preserve"> </w:t>
      </w:r>
      <w:r>
        <w:t>or</w:t>
      </w:r>
      <w:r w:rsidR="003B65CF" w:rsidRPr="003B65CF">
        <w:t xml:space="preserve"> </w:t>
      </w:r>
      <w:r>
        <w:t>records</w:t>
      </w:r>
      <w:r w:rsidR="003B65CF" w:rsidRPr="003B65CF">
        <w:t xml:space="preserve"> </w:t>
      </w:r>
      <w:r>
        <w:t>(and</w:t>
      </w:r>
      <w:r w:rsidR="003B65CF" w:rsidRPr="003B65CF">
        <w:t xml:space="preserve"> </w:t>
      </w:r>
      <w:r>
        <w:t>in</w:t>
      </w:r>
      <w:r w:rsidR="003B65CF" w:rsidRPr="003B65CF">
        <w:t xml:space="preserve"> </w:t>
      </w:r>
      <w:r>
        <w:t>doing</w:t>
      </w:r>
      <w:r w:rsidR="003B65CF" w:rsidRPr="003B65CF">
        <w:t xml:space="preserve"> </w:t>
      </w:r>
      <w:r>
        <w:t>so</w:t>
      </w:r>
      <w:r w:rsidR="003B65CF" w:rsidRPr="003B65CF">
        <w:t xml:space="preserve"> </w:t>
      </w:r>
      <w:r>
        <w:t>may</w:t>
      </w:r>
      <w:r w:rsidR="003B65CF" w:rsidRPr="003B65CF">
        <w:t xml:space="preserve"> </w:t>
      </w:r>
      <w:r>
        <w:t>recover</w:t>
      </w:r>
      <w:r w:rsidR="003B65CF" w:rsidRPr="003B65CF">
        <w:t xml:space="preserve"> </w:t>
      </w:r>
      <w:r>
        <w:t>data),</w:t>
      </w:r>
      <w:r w:rsidR="003B65CF" w:rsidRPr="003B65CF">
        <w:t xml:space="preserve"> </w:t>
      </w:r>
      <w:r>
        <w:t>provided</w:t>
      </w:r>
      <w:r w:rsidR="003B65CF" w:rsidRPr="003B65CF">
        <w:t xml:space="preserve"> </w:t>
      </w:r>
      <w:r>
        <w:t>it</w:t>
      </w:r>
      <w:r w:rsidR="003B65CF" w:rsidRPr="003B65CF">
        <w:t xml:space="preserve"> </w:t>
      </w:r>
      <w:r>
        <w:t>is</w:t>
      </w:r>
      <w:r w:rsidR="003B65CF" w:rsidRPr="003B65CF">
        <w:t xml:space="preserve"> </w:t>
      </w:r>
      <w:r>
        <w:t>returned</w:t>
      </w:r>
      <w:r w:rsidR="003B65CF" w:rsidRPr="003B65CF">
        <w:t xml:space="preserve"> </w:t>
      </w:r>
      <w:r>
        <w:t>as</w:t>
      </w:r>
      <w:r w:rsidR="003B65CF" w:rsidRPr="003B65CF">
        <w:t xml:space="preserve"> </w:t>
      </w:r>
      <w:r>
        <w:t>soon</w:t>
      </w:r>
      <w:r w:rsidR="003B65CF" w:rsidRPr="003B65CF">
        <w:t xml:space="preserve"> </w:t>
      </w:r>
      <w:r>
        <w:t>as</w:t>
      </w:r>
      <w:r w:rsidR="003B65CF" w:rsidRPr="003B65CF">
        <w:t xml:space="preserve"> </w:t>
      </w:r>
      <w:r>
        <w:t>practicable</w:t>
      </w:r>
      <w:r w:rsidR="003B65CF" w:rsidRPr="003B65CF">
        <w:t xml:space="preserve"> </w:t>
      </w:r>
      <w:r>
        <w:t>and,</w:t>
      </w:r>
      <w:r w:rsidR="003B65CF" w:rsidRPr="003B65CF">
        <w:t xml:space="preserve"> </w:t>
      </w:r>
      <w:r>
        <w:t>in</w:t>
      </w:r>
      <w:r w:rsidR="003B65CF" w:rsidRPr="003B65CF">
        <w:t xml:space="preserve"> </w:t>
      </w:r>
      <w:r>
        <w:t>any</w:t>
      </w:r>
      <w:r w:rsidR="003B65CF" w:rsidRPr="003B65CF">
        <w:t xml:space="preserve"> </w:t>
      </w:r>
      <w:r>
        <w:t>event,</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equipment</w:t>
      </w:r>
      <w:r w:rsidR="003B65CF" w:rsidRPr="003B65CF">
        <w:t xml:space="preserve"> </w:t>
      </w:r>
      <w:r>
        <w:t>is</w:t>
      </w:r>
      <w:r w:rsidR="003B65CF" w:rsidRPr="003B65CF">
        <w:t xml:space="preserve"> </w:t>
      </w:r>
      <w:r>
        <w:t>seized.</w:t>
      </w:r>
    </w:p>
    <w:p w:rsidR="003B65CF" w:rsidRDefault="004E4230" w:rsidP="004E4230">
      <w:pPr>
        <w:pStyle w:val="N2"/>
      </w:pPr>
      <w:r>
        <w:t>If</w:t>
      </w:r>
      <w:r w:rsidR="003B65CF" w:rsidRPr="003B65CF">
        <w:t xml:space="preserve"> </w:t>
      </w:r>
      <w:r>
        <w:t>O</w:t>
      </w:r>
      <w:r w:rsidR="003B65CF" w:rsidRPr="003B65CF">
        <w:t xml:space="preserve"> </w:t>
      </w:r>
      <w:r>
        <w:t>is</w:t>
      </w:r>
      <w:r w:rsidR="003B65CF" w:rsidRPr="003B65CF">
        <w:t xml:space="preserve"> </w:t>
      </w:r>
      <w:r>
        <w:t>not</w:t>
      </w:r>
      <w:r w:rsidR="003B65CF" w:rsidRPr="003B65CF">
        <w:t xml:space="preserve"> </w:t>
      </w:r>
      <w:r>
        <w:t>able</w:t>
      </w:r>
      <w:r w:rsidR="003B65CF" w:rsidRPr="003B65CF">
        <w:t xml:space="preserve"> </w:t>
      </w:r>
      <w:r>
        <w:t>to</w:t>
      </w:r>
      <w:r w:rsidR="003B65CF" w:rsidRPr="003B65CF">
        <w:t xml:space="preserve"> </w:t>
      </w:r>
      <w:r>
        <w:t>remove</w:t>
      </w:r>
      <w:r w:rsidR="003B65CF" w:rsidRPr="003B65CF">
        <w:t xml:space="preserve"> </w:t>
      </w:r>
      <w:r>
        <w:t>an</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seized</w:t>
      </w:r>
      <w:r w:rsidR="003B65CF" w:rsidRPr="003B65CF">
        <w:t xml:space="preserve"> </w:t>
      </w:r>
      <w:r>
        <w:t>under</w:t>
      </w:r>
      <w:r w:rsidR="003B65CF" w:rsidRPr="003B65CF">
        <w:t xml:space="preserve"> </w:t>
      </w:r>
      <w:r>
        <w:t>paragraph</w:t>
      </w:r>
      <w:r w:rsidR="003B65CF" w:rsidRPr="003B65CF">
        <w:t xml:space="preserve"> </w:t>
      </w:r>
      <w:r>
        <w:t>(4),</w:t>
      </w:r>
      <w:r w:rsidR="003B65CF" w:rsidRPr="003B65CF">
        <w:t xml:space="preserve"> </w:t>
      </w:r>
      <w:r>
        <w:t>(5)</w:t>
      </w:r>
      <w:r w:rsidR="003B65CF" w:rsidRPr="003B65CF">
        <w:t xml:space="preserve"> </w:t>
      </w:r>
      <w:r>
        <w:t>or</w:t>
      </w:r>
      <w:r w:rsidR="003B65CF" w:rsidRPr="003B65CF">
        <w:t xml:space="preserve"> </w:t>
      </w:r>
      <w:r>
        <w:t>(6)</w:t>
      </w:r>
      <w:r w:rsidR="003B65CF" w:rsidRPr="003B65CF">
        <w:t xml:space="preserve"> </w:t>
      </w:r>
      <w:r>
        <w:t>immediately,</w:t>
      </w:r>
      <w:r w:rsidR="003B65CF" w:rsidRPr="003B65CF">
        <w:t xml:space="preserve"> </w:t>
      </w:r>
      <w:r>
        <w:t>they</w:t>
      </w:r>
      <w:r w:rsidR="003B65CF" w:rsidRPr="003B65CF">
        <w:t xml:space="preserve"> </w:t>
      </w:r>
      <w:r>
        <w:t>may—</w:t>
      </w:r>
    </w:p>
    <w:p w:rsidR="004E4230" w:rsidRDefault="004E4230" w:rsidP="00B07141">
      <w:pPr>
        <w:pStyle w:val="N3"/>
      </w:pPr>
      <w:r>
        <w:t>mark</w:t>
      </w:r>
      <w:r w:rsidR="003B65CF" w:rsidRPr="003B65CF">
        <w:t xml:space="preserve"> </w:t>
      </w:r>
      <w:r w:rsidR="001B7E66">
        <w:t>it</w:t>
      </w:r>
      <w:r w:rsidR="003B65CF" w:rsidRPr="003B65CF">
        <w:t xml:space="preserve"> </w:t>
      </w:r>
      <w:r w:rsidR="001B7E66">
        <w:t>in</w:t>
      </w:r>
      <w:r w:rsidR="003B65CF" w:rsidRPr="003B65CF">
        <w:t xml:space="preserve"> </w:t>
      </w:r>
      <w:r w:rsidR="001B7E66">
        <w:t>any</w:t>
      </w:r>
      <w:r w:rsidR="003B65CF" w:rsidRPr="003B65CF">
        <w:t xml:space="preserve"> </w:t>
      </w:r>
      <w:r w:rsidR="001B7E66">
        <w:t>way</w:t>
      </w:r>
      <w:r w:rsidR="003B65CF" w:rsidRPr="003B65CF">
        <w:t xml:space="preserve"> </w:t>
      </w:r>
      <w:r w:rsidR="001B7E66">
        <w:t>that</w:t>
      </w:r>
      <w:r w:rsidR="003B65CF" w:rsidRPr="003B65CF">
        <w:t xml:space="preserve"> </w:t>
      </w:r>
      <w:r w:rsidR="001B7E66">
        <w:t>they</w:t>
      </w:r>
      <w:r w:rsidR="003B65CF" w:rsidRPr="003B65CF">
        <w:t xml:space="preserve"> </w:t>
      </w:r>
      <w:r w:rsidR="001B7E66">
        <w:t>see</w:t>
      </w:r>
      <w:r w:rsidR="003B65CF" w:rsidRPr="003B65CF">
        <w:t xml:space="preserve"> </w:t>
      </w:r>
      <w:r w:rsidR="001B7E66">
        <w:t>fit,</w:t>
      </w:r>
      <w:r w:rsidR="003B65CF" w:rsidRPr="003B65CF">
        <w:t xml:space="preserve"> </w:t>
      </w:r>
      <w:r>
        <w:t>and</w:t>
      </w:r>
    </w:p>
    <w:p w:rsidR="004E4230" w:rsidRDefault="004E4230" w:rsidP="00B07141">
      <w:pPr>
        <w:pStyle w:val="N3"/>
      </w:pPr>
      <w:r>
        <w:t>give</w:t>
      </w:r>
      <w:r w:rsidR="003B65CF" w:rsidRPr="003B65CF">
        <w:t xml:space="preserve"> </w:t>
      </w:r>
      <w:r>
        <w:t>the</w:t>
      </w:r>
      <w:r w:rsidR="003B65CF" w:rsidRPr="003B65CF">
        <w:t xml:space="preserve"> </w:t>
      </w:r>
      <w:r>
        <w:t>person</w:t>
      </w:r>
      <w:r w:rsidR="003B65CF" w:rsidRPr="003B65CF">
        <w:t xml:space="preserve"> </w:t>
      </w:r>
      <w:r>
        <w:t>appearing</w:t>
      </w:r>
      <w:r w:rsidR="003B65CF" w:rsidRPr="003B65CF">
        <w:t xml:space="preserve"> </w:t>
      </w:r>
      <w:r>
        <w:t>to</w:t>
      </w:r>
      <w:r w:rsidR="003B65CF" w:rsidRPr="003B65CF">
        <w:t xml:space="preserve"> </w:t>
      </w:r>
      <w:r>
        <w:t>them</w:t>
      </w:r>
      <w:r w:rsidR="003B65CF" w:rsidRPr="003B65CF">
        <w:t xml:space="preserve"> </w:t>
      </w:r>
      <w:r>
        <w:t>to</w:t>
      </w:r>
      <w:r w:rsidR="003B65CF" w:rsidRPr="003B65CF">
        <w:t xml:space="preserve"> </w:t>
      </w:r>
      <w:r>
        <w:t>be</w:t>
      </w:r>
      <w:r w:rsidR="003B65CF" w:rsidRPr="003B65CF">
        <w:t xml:space="preserve"> </w:t>
      </w:r>
      <w:r>
        <w:t>in</w:t>
      </w:r>
      <w:r w:rsidR="003B65CF" w:rsidRPr="003B65CF">
        <w:t xml:space="preserve"> </w:t>
      </w:r>
      <w:r>
        <w:t>charge</w:t>
      </w:r>
      <w:r w:rsidR="003B65CF" w:rsidRPr="003B65CF">
        <w:t xml:space="preserve"> </w:t>
      </w:r>
      <w:r>
        <w:t>of</w:t>
      </w:r>
      <w:r w:rsidR="003B65CF" w:rsidRPr="003B65CF">
        <w:t xml:space="preserve"> </w:t>
      </w:r>
      <w:r>
        <w:t>the</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a</w:t>
      </w:r>
      <w:r w:rsidR="003B65CF" w:rsidRPr="003B65CF">
        <w:t xml:space="preserve"> </w:t>
      </w:r>
      <w:r>
        <w:t>notice—</w:t>
      </w:r>
    </w:p>
    <w:p w:rsidR="004E4230" w:rsidRDefault="001B7E66" w:rsidP="00B07141">
      <w:pPr>
        <w:pStyle w:val="N4"/>
      </w:pPr>
      <w:r>
        <w:t>identifying</w:t>
      </w:r>
      <w:r w:rsidR="003B65CF" w:rsidRPr="003B65CF">
        <w:t xml:space="preserve"> </w:t>
      </w:r>
      <w:r>
        <w:t>it,</w:t>
      </w:r>
      <w:r w:rsidR="003B65CF" w:rsidRPr="003B65CF">
        <w:t xml:space="preserve"> </w:t>
      </w:r>
      <w:r w:rsidR="004E4230">
        <w:t>and</w:t>
      </w:r>
    </w:p>
    <w:p w:rsidR="004E4230" w:rsidRDefault="004E4230" w:rsidP="00B07141">
      <w:pPr>
        <w:pStyle w:val="N4"/>
      </w:pPr>
      <w:r>
        <w:t>prohibiting</w:t>
      </w:r>
      <w:r w:rsidR="003B65CF" w:rsidRPr="003B65CF">
        <w:t xml:space="preserve"> </w:t>
      </w:r>
      <w:r>
        <w:t>the</w:t>
      </w:r>
      <w:r w:rsidR="003B65CF" w:rsidRPr="003B65CF">
        <w:t xml:space="preserve"> </w:t>
      </w:r>
      <w:r>
        <w:t>removal</w:t>
      </w:r>
      <w:r w:rsidR="003B65CF" w:rsidRPr="003B65CF">
        <w:t xml:space="preserve"> </w:t>
      </w:r>
      <w:r>
        <w:t>of</w:t>
      </w:r>
      <w:r w:rsidR="003B65CF" w:rsidRPr="003B65CF">
        <w:t xml:space="preserve"> </w:t>
      </w:r>
      <w:r>
        <w:t>the</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from</w:t>
      </w:r>
      <w:r w:rsidR="003B65CF" w:rsidRPr="003B65CF">
        <w:t xml:space="preserve"> </w:t>
      </w:r>
      <w:r>
        <w:t>the</w:t>
      </w:r>
      <w:r w:rsidR="003B65CF" w:rsidRPr="003B65CF">
        <w:t xml:space="preserve"> </w:t>
      </w:r>
      <w:r>
        <w:t>premises</w:t>
      </w:r>
      <w:r w:rsidR="003B65CF" w:rsidRPr="003B65CF">
        <w:t xml:space="preserve"> </w:t>
      </w:r>
      <w:r>
        <w:t>on</w:t>
      </w:r>
      <w:r w:rsidR="003B65CF" w:rsidRPr="003B65CF">
        <w:t xml:space="preserve"> </w:t>
      </w:r>
      <w:r>
        <w:t>which</w:t>
      </w:r>
      <w:r w:rsidR="003B65CF" w:rsidRPr="003B65CF">
        <w:t xml:space="preserve"> </w:t>
      </w:r>
      <w:r>
        <w:t>it</w:t>
      </w:r>
      <w:r w:rsidR="003B65CF" w:rsidRPr="003B65CF">
        <w:t xml:space="preserve"> </w:t>
      </w:r>
      <w:r>
        <w:t>was</w:t>
      </w:r>
      <w:r w:rsidR="003B65CF" w:rsidRPr="003B65CF">
        <w:t xml:space="preserve"> </w:t>
      </w:r>
      <w:r>
        <w:t>found</w:t>
      </w:r>
      <w:r w:rsidR="003B65CF" w:rsidRPr="003B65CF">
        <w:t xml:space="preserve"> </w:t>
      </w:r>
      <w:r>
        <w:t>until</w:t>
      </w:r>
      <w:r w:rsidR="003B65CF" w:rsidRPr="003B65CF">
        <w:t xml:space="preserve"> </w:t>
      </w:r>
      <w:r>
        <w:t>it</w:t>
      </w:r>
      <w:r w:rsidR="003B65CF" w:rsidRPr="003B65CF">
        <w:t xml:space="preserve"> </w:t>
      </w:r>
      <w:r>
        <w:t>is</w:t>
      </w:r>
      <w:r w:rsidR="003B65CF" w:rsidRPr="003B65CF">
        <w:t xml:space="preserve"> </w:t>
      </w:r>
      <w:r>
        <w:t>collected</w:t>
      </w:r>
      <w:r w:rsidR="003B65CF" w:rsidRPr="003B65CF">
        <w:t xml:space="preserve"> </w:t>
      </w:r>
      <w:r>
        <w:t>by</w:t>
      </w:r>
      <w:r w:rsidR="003B65CF" w:rsidRPr="003B65CF">
        <w:t xml:space="preserve"> </w:t>
      </w:r>
      <w:r>
        <w:t>an</w:t>
      </w:r>
      <w:r w:rsidR="003B65CF" w:rsidRPr="003B65CF">
        <w:t xml:space="preserve"> </w:t>
      </w:r>
      <w:r>
        <w:t>authorised</w:t>
      </w:r>
      <w:r w:rsidR="003B65CF" w:rsidRPr="003B65CF">
        <w:t xml:space="preserve"> </w:t>
      </w:r>
      <w:r>
        <w:t>officer.</w:t>
      </w:r>
    </w:p>
    <w:p w:rsidR="003B65CF" w:rsidRDefault="004E4230" w:rsidP="004E4230">
      <w:pPr>
        <w:pStyle w:val="N2"/>
      </w:pPr>
      <w:r>
        <w:t>Any</w:t>
      </w:r>
      <w:r w:rsidR="003B65CF" w:rsidRPr="003B65CF">
        <w:t xml:space="preserve"> </w:t>
      </w:r>
      <w:r>
        <w:t>person,</w:t>
      </w:r>
      <w:r w:rsidR="003B65CF" w:rsidRPr="003B65CF">
        <w:t xml:space="preserve"> </w:t>
      </w:r>
      <w:r>
        <w:t>other</w:t>
      </w:r>
      <w:r w:rsidR="003B65CF" w:rsidRPr="003B65CF">
        <w:t xml:space="preserve"> </w:t>
      </w:r>
      <w:r>
        <w:t>than</w:t>
      </w:r>
      <w:r w:rsidR="003B65CF" w:rsidRPr="003B65CF">
        <w:t xml:space="preserve"> </w:t>
      </w:r>
      <w:r>
        <w:t>an</w:t>
      </w:r>
      <w:r w:rsidR="003B65CF" w:rsidRPr="003B65CF">
        <w:t xml:space="preserve"> </w:t>
      </w:r>
      <w:r>
        <w:t>authorised</w:t>
      </w:r>
      <w:r w:rsidR="003B65CF" w:rsidRPr="003B65CF">
        <w:t xml:space="preserve"> </w:t>
      </w:r>
      <w:r>
        <w:t>officer,</w:t>
      </w:r>
      <w:r w:rsidR="003B65CF" w:rsidRPr="003B65CF">
        <w:t xml:space="preserve"> </w:t>
      </w:r>
      <w:r>
        <w:t>who</w:t>
      </w:r>
      <w:r w:rsidR="003B65CF" w:rsidRPr="003B65CF">
        <w:t xml:space="preserve"> </w:t>
      </w:r>
      <w:r>
        <w:t>removes</w:t>
      </w:r>
      <w:r w:rsidR="003B65CF" w:rsidRPr="003B65CF">
        <w:t xml:space="preserve"> </w:t>
      </w:r>
      <w:r>
        <w:t>any</w:t>
      </w:r>
      <w:r w:rsidR="003B65CF" w:rsidRPr="003B65CF">
        <w:t xml:space="preserve"> </w:t>
      </w:r>
      <w:r>
        <w:t>item</w:t>
      </w:r>
      <w:r w:rsidR="003B65CF" w:rsidRPr="003B65CF">
        <w:t xml:space="preserve"> </w:t>
      </w:r>
      <w:r>
        <w:t>or</w:t>
      </w:r>
      <w:r w:rsidR="003B65CF" w:rsidRPr="003B65CF">
        <w:t xml:space="preserve"> </w:t>
      </w:r>
      <w:r>
        <w:t>product</w:t>
      </w:r>
      <w:r w:rsidR="003B65CF" w:rsidRPr="003B65CF">
        <w:t xml:space="preserve"> </w:t>
      </w:r>
      <w:r>
        <w:t>identified</w:t>
      </w:r>
      <w:r w:rsidR="003B65CF" w:rsidRPr="003B65CF">
        <w:t xml:space="preserve"> </w:t>
      </w:r>
      <w:r>
        <w:t>under</w:t>
      </w:r>
      <w:r w:rsidR="003B65CF" w:rsidRPr="003B65CF">
        <w:t xml:space="preserve"> </w:t>
      </w:r>
      <w:r>
        <w:t>paragraph</w:t>
      </w:r>
      <w:r w:rsidR="003B65CF" w:rsidRPr="003B65CF">
        <w:t xml:space="preserve"> </w:t>
      </w:r>
      <w:r>
        <w:t>(7)</w:t>
      </w:r>
      <w:r w:rsidR="003B65CF" w:rsidRPr="003B65CF">
        <w:t xml:space="preserve"> </w:t>
      </w:r>
      <w:r>
        <w:t>from</w:t>
      </w:r>
      <w:r w:rsidR="003B65CF" w:rsidRPr="003B65CF">
        <w:t xml:space="preserve"> </w:t>
      </w:r>
      <w:r>
        <w:t>the</w:t>
      </w:r>
      <w:r w:rsidR="003B65CF" w:rsidRPr="003B65CF">
        <w:t xml:space="preserve"> </w:t>
      </w:r>
      <w:r>
        <w:t>premises</w:t>
      </w:r>
      <w:r w:rsidR="003B65CF" w:rsidRPr="003B65CF">
        <w:t xml:space="preserve"> </w:t>
      </w:r>
      <w:r>
        <w:t>on</w:t>
      </w:r>
      <w:r w:rsidR="003B65CF" w:rsidRPr="003B65CF">
        <w:t xml:space="preserve"> </w:t>
      </w:r>
      <w:r>
        <w:t>which</w:t>
      </w:r>
      <w:r w:rsidR="003B65CF" w:rsidRPr="003B65CF">
        <w:t xml:space="preserve"> </w:t>
      </w:r>
      <w:r>
        <w:t>it</w:t>
      </w:r>
      <w:r w:rsidR="003B65CF" w:rsidRPr="003B65CF">
        <w:t xml:space="preserve"> </w:t>
      </w:r>
      <w:r>
        <w:t>was</w:t>
      </w:r>
      <w:r w:rsidR="003B65CF" w:rsidRPr="003B65CF">
        <w:t xml:space="preserve"> </w:t>
      </w:r>
      <w:r>
        <w:t>found</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an</w:t>
      </w:r>
      <w:r w:rsidR="003B65CF" w:rsidRPr="003B65CF">
        <w:t xml:space="preserve"> </w:t>
      </w:r>
      <w:r>
        <w:t>offence.</w:t>
      </w:r>
    </w:p>
    <w:p w:rsidR="003B65CF" w:rsidRDefault="004E4230" w:rsidP="004E4230">
      <w:pPr>
        <w:pStyle w:val="N2"/>
      </w:pPr>
      <w:r>
        <w:t>O</w:t>
      </w:r>
      <w:r w:rsidR="003B65CF" w:rsidRPr="003B65CF">
        <w:t xml:space="preserve"> </w:t>
      </w:r>
      <w:r>
        <w:t>must</w:t>
      </w:r>
      <w:r w:rsidR="003B65CF" w:rsidRPr="003B65CF">
        <w:t xml:space="preserve"> </w:t>
      </w:r>
      <w:r>
        <w:t>not</w:t>
      </w:r>
      <w:r w:rsidR="003B65CF" w:rsidRPr="003B65CF">
        <w:t xml:space="preserve"> </w:t>
      </w:r>
      <w:r>
        <w:t>exercise</w:t>
      </w:r>
      <w:r w:rsidR="003B65CF" w:rsidRPr="003B65CF">
        <w:t xml:space="preserve"> </w:t>
      </w:r>
      <w:r>
        <w:t>the</w:t>
      </w:r>
      <w:r w:rsidR="003B65CF" w:rsidRPr="003B65CF">
        <w:t xml:space="preserve"> </w:t>
      </w:r>
      <w:r>
        <w:t>powers</w:t>
      </w:r>
      <w:r w:rsidR="003B65CF" w:rsidRPr="003B65CF">
        <w:t xml:space="preserve"> </w:t>
      </w:r>
      <w:r>
        <w:t>under</w:t>
      </w:r>
      <w:r w:rsidR="003B65CF" w:rsidRPr="003B65CF">
        <w:t xml:space="preserve"> </w:t>
      </w:r>
      <w:r>
        <w:t>this</w:t>
      </w:r>
      <w:r w:rsidR="003B65CF" w:rsidRPr="003B65CF">
        <w:t xml:space="preserve"> </w:t>
      </w:r>
      <w:r>
        <w:t>regulation</w:t>
      </w:r>
      <w:r w:rsidR="003B65CF" w:rsidRPr="003B65CF">
        <w:t xml:space="preserve"> </w:t>
      </w:r>
      <w:r>
        <w:t>except</w:t>
      </w:r>
      <w:r w:rsidR="003B65CF" w:rsidRPr="003B65CF">
        <w:t xml:space="preserve"> </w:t>
      </w:r>
      <w:r>
        <w:t>on</w:t>
      </w:r>
      <w:r w:rsidR="003B65CF" w:rsidRPr="003B65CF">
        <w:t xml:space="preserve"> </w:t>
      </w:r>
      <w:r>
        <w:t>the</w:t>
      </w:r>
      <w:r w:rsidR="003B65CF" w:rsidRPr="003B65CF">
        <w:t xml:space="preserve"> </w:t>
      </w:r>
      <w:r>
        <w:t>production,</w:t>
      </w:r>
      <w:r w:rsidR="003B65CF" w:rsidRPr="003B65CF">
        <w:t xml:space="preserve"> </w:t>
      </w:r>
      <w:r>
        <w:t>if</w:t>
      </w:r>
      <w:r w:rsidR="003B65CF" w:rsidRPr="003B65CF">
        <w:t xml:space="preserve"> </w:t>
      </w:r>
      <w:r>
        <w:t>so</w:t>
      </w:r>
      <w:r w:rsidR="003B65CF" w:rsidRPr="003B65CF">
        <w:t xml:space="preserve"> </w:t>
      </w:r>
      <w:r>
        <w:t>required,</w:t>
      </w:r>
      <w:r w:rsidR="003B65CF" w:rsidRPr="003B65CF">
        <w:t xml:space="preserve"> </w:t>
      </w:r>
      <w:r>
        <w:t>of</w:t>
      </w:r>
      <w:r w:rsidR="003B65CF" w:rsidRPr="003B65CF">
        <w:t xml:space="preserve"> </w:t>
      </w:r>
      <w:r>
        <w:t>a</w:t>
      </w:r>
      <w:r w:rsidR="003B65CF" w:rsidRPr="003B65CF">
        <w:t xml:space="preserve"> </w:t>
      </w:r>
      <w:r>
        <w:t>duly</w:t>
      </w:r>
      <w:r w:rsidR="003B65CF" w:rsidRPr="003B65CF">
        <w:t xml:space="preserve"> </w:t>
      </w:r>
      <w:r>
        <w:t>authenticated</w:t>
      </w:r>
      <w:r w:rsidR="003B65CF" w:rsidRPr="003B65CF">
        <w:t xml:space="preserve"> </w:t>
      </w:r>
      <w:r>
        <w:t>document</w:t>
      </w:r>
      <w:r w:rsidR="003B65CF" w:rsidRPr="003B65CF">
        <w:t xml:space="preserve"> </w:t>
      </w:r>
      <w:r>
        <w:t>showing</w:t>
      </w:r>
      <w:r w:rsidR="003B65CF" w:rsidRPr="003B65CF">
        <w:t xml:space="preserve"> </w:t>
      </w:r>
      <w:r>
        <w:t>their</w:t>
      </w:r>
      <w:r w:rsidR="003B65CF" w:rsidRPr="003B65CF">
        <w:t xml:space="preserve"> </w:t>
      </w:r>
      <w:r>
        <w:t>authority.</w:t>
      </w:r>
    </w:p>
    <w:p w:rsidR="004E4230" w:rsidRDefault="00E87F33" w:rsidP="00E87F33">
      <w:pPr>
        <w:pStyle w:val="H1"/>
      </w:pPr>
      <w:r w:rsidRPr="00E87F33">
        <w:t>Procedure</w:t>
      </w:r>
      <w:r w:rsidR="003B65CF" w:rsidRPr="003B65CF">
        <w:t xml:space="preserve"> </w:t>
      </w:r>
      <w:r w:rsidRPr="00E87F33">
        <w:t>on</w:t>
      </w:r>
      <w:r w:rsidR="003B65CF" w:rsidRPr="003B65CF">
        <w:t xml:space="preserve"> </w:t>
      </w:r>
      <w:r w:rsidRPr="00E87F33">
        <w:t>seizure</w:t>
      </w:r>
    </w:p>
    <w:p w:rsidR="00E87F33" w:rsidRDefault="00E87F33" w:rsidP="00E87F33">
      <w:pPr>
        <w:pStyle w:val="N1"/>
      </w:pPr>
      <w:r>
        <w:t>—</w:t>
      </w:r>
      <w:r>
        <w:fldChar w:fldCharType="begin"/>
      </w:r>
      <w:r>
        <w:instrText xml:space="preserve"> LISTNUM "SEQ1" \l 2 </w:instrText>
      </w:r>
      <w:r>
        <w:fldChar w:fldCharType="end">
          <w:numberingChange w:id="9" w:author="Boyd, Steve" w:date="2021-06-21T19:46:00Z" w:original="(1)"/>
        </w:fldChar>
      </w:r>
      <w:r w:rsidR="003B65CF" w:rsidRPr="003B65CF">
        <w:t> </w:t>
      </w:r>
      <w:r w:rsidRPr="00E87F33">
        <w:t>An</w:t>
      </w:r>
      <w:r w:rsidR="003B65CF" w:rsidRPr="003B65CF">
        <w:t xml:space="preserve"> </w:t>
      </w:r>
      <w:r w:rsidRPr="00E87F33">
        <w:t>authorised</w:t>
      </w:r>
      <w:r w:rsidR="003B65CF" w:rsidRPr="003B65CF">
        <w:t xml:space="preserve"> </w:t>
      </w:r>
      <w:r w:rsidRPr="00E87F33">
        <w:t>officer</w:t>
      </w:r>
      <w:r w:rsidR="003B65CF" w:rsidRPr="003B65CF">
        <w:t xml:space="preserve"> </w:t>
      </w:r>
      <w:r w:rsidRPr="00E87F33">
        <w:t>(“O”)</w:t>
      </w:r>
      <w:r w:rsidR="003B65CF" w:rsidRPr="003B65CF">
        <w:t xml:space="preserve"> </w:t>
      </w:r>
      <w:r w:rsidRPr="00E87F33">
        <w:t>must</w:t>
      </w:r>
      <w:r w:rsidR="003B65CF" w:rsidRPr="003B65CF">
        <w:t xml:space="preserve"> </w:t>
      </w:r>
      <w:r w:rsidRPr="00E87F33">
        <w:t>follow</w:t>
      </w:r>
      <w:r w:rsidR="003B65CF" w:rsidRPr="003B65CF">
        <w:t xml:space="preserve"> </w:t>
      </w:r>
      <w:r w:rsidRPr="00E87F33">
        <w:t>the</w:t>
      </w:r>
      <w:r w:rsidR="003B65CF" w:rsidRPr="003B65CF">
        <w:t xml:space="preserve"> </w:t>
      </w:r>
      <w:r w:rsidRPr="00E87F33">
        <w:t>procedures</w:t>
      </w:r>
      <w:r w:rsidR="003B65CF" w:rsidRPr="003B65CF">
        <w:t xml:space="preserve"> </w:t>
      </w:r>
      <w:r w:rsidRPr="00E87F33">
        <w:t>set</w:t>
      </w:r>
      <w:r w:rsidR="003B65CF" w:rsidRPr="003B65CF">
        <w:t xml:space="preserve"> </w:t>
      </w:r>
      <w:r w:rsidRPr="00E87F33">
        <w:t>out</w:t>
      </w:r>
      <w:r w:rsidR="003B65CF" w:rsidRPr="003B65CF">
        <w:t xml:space="preserve"> </w:t>
      </w:r>
      <w:r w:rsidRPr="00E87F33">
        <w:t>in</w:t>
      </w:r>
      <w:r w:rsidR="003B65CF" w:rsidRPr="003B65CF">
        <w:t xml:space="preserve"> </w:t>
      </w:r>
      <w:r w:rsidRPr="00E87F33">
        <w:t>this</w:t>
      </w:r>
      <w:r w:rsidR="003B65CF" w:rsidRPr="003B65CF">
        <w:t xml:space="preserve"> </w:t>
      </w:r>
      <w:r w:rsidRPr="00E87F33">
        <w:t>regulation</w:t>
      </w:r>
      <w:r w:rsidR="003B65CF" w:rsidRPr="003B65CF">
        <w:t xml:space="preserve"> </w:t>
      </w:r>
      <w:r w:rsidRPr="00E87F33">
        <w:t>if</w:t>
      </w:r>
      <w:r w:rsidR="003B65CF" w:rsidRPr="003B65CF">
        <w:t xml:space="preserve"> </w:t>
      </w:r>
      <w:r w:rsidRPr="00E87F33">
        <w:t>they</w:t>
      </w:r>
      <w:r w:rsidR="003B65CF" w:rsidRPr="003B65CF">
        <w:t xml:space="preserve"> </w:t>
      </w:r>
      <w:r w:rsidRPr="00E87F33">
        <w:t>se</w:t>
      </w:r>
      <w:r>
        <w:t>ize</w:t>
      </w:r>
      <w:r w:rsidR="003B65CF" w:rsidRPr="003B65CF">
        <w:t xml:space="preserve"> </w:t>
      </w:r>
      <w:r>
        <w:t>anything</w:t>
      </w:r>
      <w:r w:rsidR="003B65CF" w:rsidRPr="003B65CF">
        <w:t xml:space="preserve"> </w:t>
      </w:r>
      <w:r>
        <w:t>under</w:t>
      </w:r>
      <w:r w:rsidR="003B65CF" w:rsidRPr="003B65CF">
        <w:t xml:space="preserve"> </w:t>
      </w:r>
      <w:r>
        <w:t>regulation</w:t>
      </w:r>
      <w:r w:rsidR="003B65CF" w:rsidRPr="003B65CF">
        <w:t xml:space="preserve"> </w:t>
      </w:r>
      <w:r>
        <w:t>9</w:t>
      </w:r>
      <w:r w:rsidRPr="00E87F33">
        <w:t>(4),</w:t>
      </w:r>
      <w:r w:rsidR="003B65CF" w:rsidRPr="003B65CF">
        <w:t xml:space="preserve"> </w:t>
      </w:r>
      <w:r w:rsidRPr="00E87F33">
        <w:t>(5)</w:t>
      </w:r>
      <w:r w:rsidR="003B65CF" w:rsidRPr="003B65CF">
        <w:t xml:space="preserve"> </w:t>
      </w:r>
      <w:r w:rsidRPr="00E87F33">
        <w:t>or</w:t>
      </w:r>
      <w:r w:rsidR="003B65CF" w:rsidRPr="003B65CF">
        <w:t xml:space="preserve"> </w:t>
      </w:r>
      <w:r w:rsidRPr="00E87F33">
        <w:t>(6)</w:t>
      </w:r>
      <w:r>
        <w:t>.</w:t>
      </w:r>
    </w:p>
    <w:p w:rsidR="003B65CF" w:rsidRDefault="00E87F33" w:rsidP="00E87F33">
      <w:pPr>
        <w:pStyle w:val="N2"/>
      </w:pPr>
      <w:r>
        <w:t>O</w:t>
      </w:r>
      <w:r w:rsidR="003B65CF" w:rsidRPr="003B65CF">
        <w:t xml:space="preserve"> </w:t>
      </w:r>
      <w:r>
        <w:t>must</w:t>
      </w:r>
      <w:r w:rsidR="003B65CF" w:rsidRPr="003B65CF">
        <w:t xml:space="preserve"> </w:t>
      </w:r>
      <w:r>
        <w:t>give</w:t>
      </w:r>
      <w:r w:rsidR="003B65CF" w:rsidRPr="003B65CF">
        <w:t xml:space="preserve"> </w:t>
      </w:r>
      <w:r>
        <w:t>to</w:t>
      </w:r>
      <w:r w:rsidR="003B65CF" w:rsidRPr="003B65CF">
        <w:t xml:space="preserve"> </w:t>
      </w:r>
      <w:r>
        <w:t>the</w:t>
      </w:r>
      <w:r w:rsidR="003B65CF" w:rsidRPr="003B65CF">
        <w:t xml:space="preserve"> </w:t>
      </w:r>
      <w:r>
        <w:t>person</w:t>
      </w:r>
      <w:r w:rsidR="003B65CF" w:rsidRPr="003B65CF">
        <w:t xml:space="preserve"> </w:t>
      </w:r>
      <w:r>
        <w:t>appearing</w:t>
      </w:r>
      <w:r w:rsidR="003B65CF" w:rsidRPr="003B65CF">
        <w:t xml:space="preserve"> </w:t>
      </w:r>
      <w:r>
        <w:t>to</w:t>
      </w:r>
      <w:r w:rsidR="003B65CF" w:rsidRPr="003B65CF">
        <w:t xml:space="preserve"> </w:t>
      </w:r>
      <w:r>
        <w:t>O</w:t>
      </w:r>
      <w:r w:rsidR="003B65CF" w:rsidRPr="003B65CF">
        <w:t xml:space="preserve"> </w:t>
      </w:r>
      <w:r>
        <w:t>to</w:t>
      </w:r>
      <w:r w:rsidR="003B65CF" w:rsidRPr="003B65CF">
        <w:t xml:space="preserve"> </w:t>
      </w:r>
      <w:r>
        <w:t>be</w:t>
      </w:r>
      <w:r w:rsidR="003B65CF" w:rsidRPr="003B65CF">
        <w:t xml:space="preserve"> </w:t>
      </w:r>
      <w:r>
        <w:t>in</w:t>
      </w:r>
      <w:r w:rsidR="003B65CF" w:rsidRPr="003B65CF">
        <w:t xml:space="preserve"> </w:t>
      </w:r>
      <w:r>
        <w:t>charge</w:t>
      </w:r>
      <w:r w:rsidR="003B65CF" w:rsidRPr="003B65CF">
        <w:t xml:space="preserve"> </w:t>
      </w:r>
      <w:r>
        <w:t>of</w:t>
      </w:r>
      <w:r w:rsidR="003B65CF" w:rsidRPr="003B65CF">
        <w:t xml:space="preserve"> </w:t>
      </w:r>
      <w:r>
        <w:t>the</w:t>
      </w:r>
      <w:r w:rsidR="003B65CF" w:rsidRPr="003B65CF">
        <w:t xml:space="preserve"> </w:t>
      </w:r>
      <w:r>
        <w:t>premises</w:t>
      </w:r>
      <w:r w:rsidR="003B65CF" w:rsidRPr="003B65CF">
        <w:t xml:space="preserve"> </w:t>
      </w:r>
      <w:r>
        <w:t>from</w:t>
      </w:r>
      <w:r w:rsidR="003B65CF" w:rsidRPr="003B65CF">
        <w:t xml:space="preserve"> </w:t>
      </w:r>
      <w:r>
        <w:t>which</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is</w:t>
      </w:r>
      <w:r w:rsidR="003B65CF" w:rsidRPr="003B65CF">
        <w:t xml:space="preserve"> </w:t>
      </w:r>
      <w:r>
        <w:t>seized</w:t>
      </w:r>
      <w:r w:rsidR="003B65CF" w:rsidRPr="003B65CF">
        <w:t xml:space="preserve"> </w:t>
      </w:r>
      <w:r>
        <w:t>(“the</w:t>
      </w:r>
      <w:r w:rsidR="003B65CF" w:rsidRPr="003B65CF">
        <w:t xml:space="preserve"> </w:t>
      </w:r>
      <w:r>
        <w:t>premises”)</w:t>
      </w:r>
      <w:r w:rsidR="003B65CF" w:rsidRPr="003B65CF">
        <w:t xml:space="preserve"> </w:t>
      </w:r>
      <w:r>
        <w:t>a</w:t>
      </w:r>
      <w:r w:rsidR="003B65CF" w:rsidRPr="003B65CF">
        <w:t xml:space="preserve"> </w:t>
      </w:r>
      <w:r>
        <w:t>notice</w:t>
      </w:r>
      <w:r w:rsidR="003B65CF" w:rsidRPr="003B65CF">
        <w:t xml:space="preserve"> </w:t>
      </w:r>
      <w:r>
        <w:t>that</w:t>
      </w:r>
      <w:r w:rsidR="003B65CF" w:rsidRPr="003B65CF">
        <w:t xml:space="preserve"> </w:t>
      </w:r>
      <w:r>
        <w:t>must</w:t>
      </w:r>
      <w:r w:rsidR="003B65CF" w:rsidRPr="003B65CF">
        <w:t xml:space="preserve"> </w:t>
      </w:r>
      <w:r>
        <w:t>state—</w:t>
      </w:r>
    </w:p>
    <w:p w:rsidR="00E87F33" w:rsidRDefault="00E87F33" w:rsidP="00E87F33">
      <w:pPr>
        <w:pStyle w:val="N3"/>
      </w:pPr>
      <w:r>
        <w:t>what</w:t>
      </w:r>
      <w:r w:rsidR="003B65CF" w:rsidRPr="003B65CF">
        <w:t xml:space="preserve"> </w:t>
      </w:r>
      <w:r>
        <w:t>O</w:t>
      </w:r>
      <w:r w:rsidR="003B65CF" w:rsidRPr="003B65CF">
        <w:t xml:space="preserve"> </w:t>
      </w:r>
      <w:r>
        <w:t>has</w:t>
      </w:r>
      <w:r w:rsidR="003B65CF" w:rsidRPr="003B65CF">
        <w:t xml:space="preserve"> </w:t>
      </w:r>
      <w:r>
        <w:t>seized</w:t>
      </w:r>
      <w:r w:rsidR="001B7E66">
        <w:t>,</w:t>
      </w:r>
    </w:p>
    <w:p w:rsidR="00E87F33" w:rsidRDefault="00E87F33" w:rsidP="00E87F33">
      <w:pPr>
        <w:pStyle w:val="N3"/>
      </w:pPr>
      <w:r>
        <w:t>when</w:t>
      </w:r>
      <w:r w:rsidR="003B65CF" w:rsidRPr="003B65CF">
        <w:t xml:space="preserve"> </w:t>
      </w:r>
      <w:r>
        <w:t>O</w:t>
      </w:r>
      <w:r w:rsidR="003B65CF" w:rsidRPr="003B65CF">
        <w:t xml:space="preserve"> </w:t>
      </w:r>
      <w:r>
        <w:t>seized</w:t>
      </w:r>
      <w:r w:rsidR="003B65CF" w:rsidRPr="003B65CF">
        <w:t xml:space="preserve"> </w:t>
      </w:r>
      <w:r>
        <w:t>it</w:t>
      </w:r>
      <w:r w:rsidR="001B7E66">
        <w:t>,</w:t>
      </w:r>
    </w:p>
    <w:p w:rsidR="00E87F33" w:rsidRDefault="00E87F33" w:rsidP="00E87F33">
      <w:pPr>
        <w:pStyle w:val="N3"/>
      </w:pPr>
      <w:r>
        <w:lastRenderedPageBreak/>
        <w:t>the</w:t>
      </w:r>
      <w:r w:rsidR="003B65CF" w:rsidRPr="003B65CF">
        <w:t xml:space="preserve"> </w:t>
      </w:r>
      <w:r>
        <w:t>grounds</w:t>
      </w:r>
      <w:r w:rsidR="003B65CF" w:rsidRPr="003B65CF">
        <w:t xml:space="preserve"> </w:t>
      </w:r>
      <w:r>
        <w:t>for</w:t>
      </w:r>
      <w:r w:rsidR="003B65CF" w:rsidRPr="003B65CF">
        <w:t xml:space="preserve"> </w:t>
      </w:r>
      <w:r>
        <w:t>the</w:t>
      </w:r>
      <w:r w:rsidR="003B65CF" w:rsidRPr="003B65CF">
        <w:t xml:space="preserve"> </w:t>
      </w:r>
      <w:r>
        <w:t>seizure</w:t>
      </w:r>
      <w:r w:rsidR="003B65CF" w:rsidRPr="003B65CF">
        <w:t xml:space="preserve"> </w:t>
      </w:r>
      <w:r>
        <w:t>of</w:t>
      </w:r>
      <w:r w:rsidR="003B65CF" w:rsidRPr="003B65CF">
        <w:t xml:space="preserve"> </w:t>
      </w:r>
      <w:r>
        <w:t>the</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equipment</w:t>
      </w:r>
      <w:r w:rsidR="001B7E66">
        <w:t>,</w:t>
      </w:r>
      <w:r w:rsidR="003B65CF" w:rsidRPr="003B65CF">
        <w:t xml:space="preserve"> </w:t>
      </w:r>
      <w:r>
        <w:t>and</w:t>
      </w:r>
    </w:p>
    <w:p w:rsidR="00E87F33" w:rsidRDefault="00E87F33" w:rsidP="00E87F33">
      <w:pPr>
        <w:pStyle w:val="N3"/>
      </w:pPr>
      <w:r>
        <w:t>the</w:t>
      </w:r>
      <w:r w:rsidR="003B65CF" w:rsidRPr="003B65CF">
        <w:t xml:space="preserve"> </w:t>
      </w:r>
      <w:r>
        <w:t>address</w:t>
      </w:r>
      <w:r w:rsidR="003B65CF" w:rsidRPr="003B65CF">
        <w:t xml:space="preserve"> </w:t>
      </w:r>
      <w:r>
        <w:t>to</w:t>
      </w:r>
      <w:r w:rsidR="003B65CF" w:rsidRPr="003B65CF">
        <w:t xml:space="preserve"> </w:t>
      </w:r>
      <w:r>
        <w:t>which,</w:t>
      </w:r>
      <w:r w:rsidR="003B65CF" w:rsidRPr="003B65CF">
        <w:t xml:space="preserve"> </w:t>
      </w:r>
      <w:r>
        <w:t>and</w:t>
      </w:r>
      <w:r w:rsidR="003B65CF" w:rsidRPr="003B65CF">
        <w:t xml:space="preserve"> </w:t>
      </w:r>
      <w:r>
        <w:t>the</w:t>
      </w:r>
      <w:r w:rsidR="003B65CF" w:rsidRPr="003B65CF">
        <w:t xml:space="preserve"> </w:t>
      </w:r>
      <w:r>
        <w:t>period</w:t>
      </w:r>
      <w:r w:rsidR="003B65CF" w:rsidRPr="003B65CF">
        <w:t xml:space="preserve"> </w:t>
      </w:r>
      <w:r>
        <w:t>during</w:t>
      </w:r>
      <w:r w:rsidR="003B65CF" w:rsidRPr="003B65CF">
        <w:t xml:space="preserve"> </w:t>
      </w:r>
      <w:r>
        <w:t>which,</w:t>
      </w:r>
      <w:r w:rsidR="003B65CF" w:rsidRPr="003B65CF">
        <w:t xml:space="preserve"> </w:t>
      </w:r>
      <w:r>
        <w:t>a</w:t>
      </w:r>
      <w:r w:rsidR="003B65CF" w:rsidRPr="003B65CF">
        <w:t xml:space="preserve"> </w:t>
      </w:r>
      <w:r>
        <w:t>claim</w:t>
      </w:r>
      <w:r w:rsidR="003B65CF" w:rsidRPr="003B65CF">
        <w:t xml:space="preserve"> </w:t>
      </w:r>
      <w:r>
        <w:t>may</w:t>
      </w:r>
      <w:r w:rsidR="003B65CF" w:rsidRPr="003B65CF">
        <w:t xml:space="preserve"> </w:t>
      </w:r>
      <w:r>
        <w:t>be</w:t>
      </w:r>
      <w:r w:rsidR="003B65CF" w:rsidRPr="003B65CF">
        <w:t xml:space="preserve"> </w:t>
      </w:r>
      <w:r>
        <w:t>made</w:t>
      </w:r>
      <w:r w:rsidR="003B65CF" w:rsidRPr="003B65CF">
        <w:t xml:space="preserve"> </w:t>
      </w:r>
      <w:r>
        <w:t>for</w:t>
      </w:r>
      <w:r w:rsidR="003B65CF" w:rsidRPr="003B65CF">
        <w:t xml:space="preserve"> </w:t>
      </w:r>
      <w:r>
        <w:t>the</w:t>
      </w:r>
      <w:r w:rsidR="003B65CF" w:rsidRPr="003B65CF">
        <w:t xml:space="preserve"> </w:t>
      </w:r>
      <w:r>
        <w:t>return</w:t>
      </w:r>
      <w:r w:rsidR="003B65CF" w:rsidRPr="003B65CF">
        <w:t xml:space="preserve"> </w:t>
      </w:r>
      <w:r>
        <w:t>of</w:t>
      </w:r>
      <w:r w:rsidR="003B65CF" w:rsidRPr="003B65CF">
        <w:t xml:space="preserve"> </w:t>
      </w:r>
      <w:r>
        <w:t>the</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equipment.</w:t>
      </w:r>
    </w:p>
    <w:p w:rsidR="003B65CF" w:rsidRDefault="00E87F33" w:rsidP="00E87F33">
      <w:pPr>
        <w:pStyle w:val="N2"/>
      </w:pPr>
      <w:r>
        <w:t>But</w:t>
      </w:r>
      <w:r w:rsidR="003B65CF" w:rsidRPr="003B65CF">
        <w:t xml:space="preserve"> </w:t>
      </w:r>
      <w:r>
        <w:t>where</w:t>
      </w:r>
      <w:r w:rsidR="003B65CF" w:rsidRPr="003B65CF">
        <w:t xml:space="preserve"> </w:t>
      </w:r>
      <w:r>
        <w:t>the</w:t>
      </w:r>
      <w:r w:rsidR="003B65CF" w:rsidRPr="003B65CF">
        <w:t xml:space="preserve"> </w:t>
      </w:r>
      <w:r>
        <w:t>premises</w:t>
      </w:r>
      <w:r w:rsidR="003B65CF" w:rsidRPr="003B65CF">
        <w:t xml:space="preserve"> </w:t>
      </w:r>
      <w:r>
        <w:t>are</w:t>
      </w:r>
      <w:r w:rsidR="003B65CF" w:rsidRPr="003B65CF">
        <w:t xml:space="preserve"> </w:t>
      </w:r>
      <w:r>
        <w:t>unoccupied,</w:t>
      </w:r>
      <w:r w:rsidR="003B65CF" w:rsidRPr="003B65CF">
        <w:t xml:space="preserve"> </w:t>
      </w:r>
      <w:r>
        <w:t>or</w:t>
      </w:r>
      <w:r w:rsidR="003B65CF" w:rsidRPr="003B65CF">
        <w:t xml:space="preserve"> </w:t>
      </w:r>
      <w:r>
        <w:t>no-one</w:t>
      </w:r>
      <w:r w:rsidR="003B65CF" w:rsidRPr="003B65CF">
        <w:t xml:space="preserve"> </w:t>
      </w:r>
      <w:r>
        <w:t>appears</w:t>
      </w:r>
      <w:r w:rsidR="003B65CF" w:rsidRPr="003B65CF">
        <w:t xml:space="preserve"> </w:t>
      </w:r>
      <w:r>
        <w:t>to</w:t>
      </w:r>
      <w:r w:rsidR="003B65CF" w:rsidRPr="003B65CF">
        <w:t xml:space="preserve"> </w:t>
      </w:r>
      <w:r>
        <w:t>O</w:t>
      </w:r>
      <w:r w:rsidR="003B65CF" w:rsidRPr="003B65CF">
        <w:t xml:space="preserve"> </w:t>
      </w:r>
      <w:r>
        <w:t>to</w:t>
      </w:r>
      <w:r w:rsidR="003B65CF" w:rsidRPr="003B65CF">
        <w:t xml:space="preserve"> </w:t>
      </w:r>
      <w:r>
        <w:t>be</w:t>
      </w:r>
      <w:r w:rsidR="003B65CF" w:rsidRPr="003B65CF">
        <w:t xml:space="preserve"> </w:t>
      </w:r>
      <w:r>
        <w:t>in</w:t>
      </w:r>
      <w:r w:rsidR="003B65CF" w:rsidRPr="003B65CF">
        <w:t xml:space="preserve"> </w:t>
      </w:r>
      <w:r>
        <w:t>charge</w:t>
      </w:r>
      <w:r w:rsidR="003B65CF" w:rsidRPr="003B65CF">
        <w:t xml:space="preserve"> </w:t>
      </w:r>
      <w:r>
        <w:t>of</w:t>
      </w:r>
      <w:r w:rsidR="003B65CF" w:rsidRPr="003B65CF">
        <w:t xml:space="preserve"> </w:t>
      </w:r>
      <w:r>
        <w:t>the</w:t>
      </w:r>
      <w:r w:rsidR="003B65CF" w:rsidRPr="003B65CF">
        <w:t xml:space="preserve"> </w:t>
      </w:r>
      <w:r>
        <w:t>premises,</w:t>
      </w:r>
      <w:r w:rsidR="003B65CF" w:rsidRPr="003B65CF">
        <w:t xml:space="preserve"> </w:t>
      </w:r>
      <w:r>
        <w:t>O</w:t>
      </w:r>
      <w:r w:rsidR="003B65CF" w:rsidRPr="003B65CF">
        <w:t xml:space="preserve"> </w:t>
      </w:r>
      <w:r>
        <w:t>must</w:t>
      </w:r>
      <w:r w:rsidR="003B65CF" w:rsidRPr="003B65CF">
        <w:t xml:space="preserve"> </w:t>
      </w:r>
      <w:r>
        <w:t>attach</w:t>
      </w:r>
      <w:r w:rsidR="003B65CF" w:rsidRPr="003B65CF">
        <w:t xml:space="preserve"> </w:t>
      </w:r>
      <w:r>
        <w:t>a</w:t>
      </w:r>
      <w:r w:rsidR="003B65CF" w:rsidRPr="003B65CF">
        <w:t xml:space="preserve"> </w:t>
      </w:r>
      <w:r>
        <w:t>notice</w:t>
      </w:r>
      <w:r w:rsidR="003B65CF" w:rsidRPr="003B65CF">
        <w:t xml:space="preserve"> </w:t>
      </w:r>
      <w:r>
        <w:t>to</w:t>
      </w:r>
      <w:r w:rsidR="003B65CF" w:rsidRPr="003B65CF">
        <w:t xml:space="preserve"> </w:t>
      </w:r>
      <w:r>
        <w:t>a</w:t>
      </w:r>
      <w:r w:rsidR="003B65CF" w:rsidRPr="003B65CF">
        <w:t xml:space="preserve"> </w:t>
      </w:r>
      <w:r>
        <w:t>conspicuous</w:t>
      </w:r>
      <w:r w:rsidR="003B65CF" w:rsidRPr="003B65CF">
        <w:t xml:space="preserve"> </w:t>
      </w:r>
      <w:r>
        <w:t>part</w:t>
      </w:r>
      <w:r w:rsidR="003B65CF" w:rsidRPr="003B65CF">
        <w:t xml:space="preserve"> </w:t>
      </w:r>
      <w:r>
        <w:t>of</w:t>
      </w:r>
      <w:r w:rsidR="003B65CF" w:rsidRPr="003B65CF">
        <w:t xml:space="preserve"> </w:t>
      </w:r>
      <w:r>
        <w:t>the</w:t>
      </w:r>
      <w:r w:rsidR="003B65CF" w:rsidRPr="003B65CF">
        <w:t xml:space="preserve"> </w:t>
      </w:r>
      <w:r>
        <w:t>premises,</w:t>
      </w:r>
      <w:r w:rsidR="003B65CF" w:rsidRPr="003B65CF">
        <w:t xml:space="preserve"> </w:t>
      </w:r>
      <w:r>
        <w:t>or</w:t>
      </w:r>
      <w:r w:rsidR="003B65CF" w:rsidRPr="003B65CF">
        <w:t xml:space="preserve"> </w:t>
      </w:r>
      <w:r>
        <w:t>to</w:t>
      </w:r>
      <w:r w:rsidR="003B65CF" w:rsidRPr="003B65CF">
        <w:t xml:space="preserve"> </w:t>
      </w:r>
      <w:r>
        <w:t>some</w:t>
      </w:r>
      <w:r w:rsidR="003B65CF" w:rsidRPr="003B65CF">
        <w:t xml:space="preserve"> </w:t>
      </w:r>
      <w:r>
        <w:t>conspicuous</w:t>
      </w:r>
      <w:r w:rsidR="003B65CF" w:rsidRPr="003B65CF">
        <w:t xml:space="preserve"> </w:t>
      </w:r>
      <w:r>
        <w:t>object</w:t>
      </w:r>
      <w:r w:rsidR="003B65CF" w:rsidRPr="003B65CF">
        <w:t xml:space="preserve"> </w:t>
      </w:r>
      <w:r>
        <w:t>on</w:t>
      </w:r>
      <w:r w:rsidR="003B65CF" w:rsidRPr="003B65CF">
        <w:t xml:space="preserve"> </w:t>
      </w:r>
      <w:r>
        <w:t>the</w:t>
      </w:r>
      <w:r w:rsidR="003B65CF" w:rsidRPr="003B65CF">
        <w:t xml:space="preserve"> </w:t>
      </w:r>
      <w:r>
        <w:t>premises,</w:t>
      </w:r>
      <w:r w:rsidR="003B65CF" w:rsidRPr="003B65CF">
        <w:t xml:space="preserve"> </w:t>
      </w:r>
      <w:r>
        <w:t>containing</w:t>
      </w:r>
      <w:r w:rsidR="003B65CF" w:rsidRPr="003B65CF">
        <w:t xml:space="preserve"> </w:t>
      </w:r>
      <w:r>
        <w:t>the</w:t>
      </w:r>
      <w:r w:rsidR="003B65CF" w:rsidRPr="003B65CF">
        <w:t xml:space="preserve"> </w:t>
      </w:r>
      <w:r>
        <w:t>information</w:t>
      </w:r>
      <w:r w:rsidR="003B65CF" w:rsidRPr="003B65CF">
        <w:t xml:space="preserve"> </w:t>
      </w:r>
      <w:r>
        <w:t>mentioned</w:t>
      </w:r>
      <w:r w:rsidR="003B65CF" w:rsidRPr="003B65CF">
        <w:t xml:space="preserve"> </w:t>
      </w:r>
      <w:r>
        <w:t>in</w:t>
      </w:r>
      <w:r w:rsidR="003B65CF" w:rsidRPr="003B65CF">
        <w:t xml:space="preserve"> </w:t>
      </w:r>
      <w:r>
        <w:t>sub-paragraphs</w:t>
      </w:r>
      <w:r w:rsidR="003B65CF" w:rsidRPr="003B65CF">
        <w:t xml:space="preserve"> </w:t>
      </w:r>
      <w:r>
        <w:t>(a)</w:t>
      </w:r>
      <w:r w:rsidR="003B65CF" w:rsidRPr="003B65CF">
        <w:t xml:space="preserve"> </w:t>
      </w:r>
      <w:r>
        <w:t>to</w:t>
      </w:r>
      <w:r w:rsidR="003B65CF" w:rsidRPr="003B65CF">
        <w:t xml:space="preserve"> </w:t>
      </w:r>
      <w:r>
        <w:t>(d)</w:t>
      </w:r>
      <w:r w:rsidR="003B65CF" w:rsidRPr="003B65CF">
        <w:t xml:space="preserve"> </w:t>
      </w:r>
      <w:r>
        <w:t>of</w:t>
      </w:r>
      <w:r w:rsidR="003B65CF" w:rsidRPr="003B65CF">
        <w:t xml:space="preserve"> </w:t>
      </w:r>
      <w:r>
        <w:t>paragraph</w:t>
      </w:r>
      <w:r w:rsidR="003B65CF" w:rsidRPr="003B65CF">
        <w:t xml:space="preserve"> </w:t>
      </w:r>
      <w:r>
        <w:t>(2).</w:t>
      </w:r>
    </w:p>
    <w:p w:rsidR="003B65CF" w:rsidRDefault="00E87F33" w:rsidP="00E87F33">
      <w:pPr>
        <w:pStyle w:val="N2"/>
      </w:pPr>
      <w:r>
        <w:t>A</w:t>
      </w:r>
      <w:r w:rsidR="003B65CF" w:rsidRPr="003B65CF">
        <w:t xml:space="preserve"> </w:t>
      </w:r>
      <w:r>
        <w:t>person</w:t>
      </w:r>
      <w:r w:rsidR="003B65CF" w:rsidRPr="003B65CF">
        <w:t xml:space="preserve"> </w:t>
      </w:r>
      <w:r>
        <w:t>having</w:t>
      </w:r>
      <w:r w:rsidR="003B65CF" w:rsidRPr="003B65CF">
        <w:t xml:space="preserve"> </w:t>
      </w:r>
      <w:r>
        <w:t>a</w:t>
      </w:r>
      <w:r w:rsidR="003B65CF" w:rsidRPr="003B65CF">
        <w:t xml:space="preserve"> </w:t>
      </w:r>
      <w:r>
        <w:t>proprietary</w:t>
      </w:r>
      <w:r w:rsidR="003B65CF" w:rsidRPr="003B65CF">
        <w:t xml:space="preserve"> </w:t>
      </w:r>
      <w:r>
        <w:t>interest</w:t>
      </w:r>
      <w:r w:rsidR="003B65CF" w:rsidRPr="003B65CF">
        <w:t xml:space="preserve"> </w:t>
      </w:r>
      <w:r>
        <w:t>in</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(including</w:t>
      </w:r>
      <w:r w:rsidR="003B65CF" w:rsidRPr="003B65CF">
        <w:t xml:space="preserve"> </w:t>
      </w:r>
      <w:r>
        <w:t>a</w:t>
      </w:r>
      <w:r w:rsidR="003B65CF" w:rsidRPr="003B65CF">
        <w:t xml:space="preserve"> </w:t>
      </w:r>
      <w:r>
        <w:t>creditor</w:t>
      </w:r>
      <w:r w:rsidR="003B65CF" w:rsidRPr="003B65CF">
        <w:t xml:space="preserve"> </w:t>
      </w:r>
      <w:r>
        <w:t>who</w:t>
      </w:r>
      <w:r w:rsidR="003B65CF" w:rsidRPr="003B65CF">
        <w:t xml:space="preserve"> </w:t>
      </w:r>
      <w:r>
        <w:t>has</w:t>
      </w:r>
      <w:r w:rsidR="003B65CF" w:rsidRPr="003B65CF">
        <w:t xml:space="preserve"> </w:t>
      </w:r>
      <w:r>
        <w:t>a</w:t>
      </w:r>
      <w:r w:rsidR="003B65CF" w:rsidRPr="003B65CF">
        <w:t xml:space="preserve"> </w:t>
      </w:r>
      <w:r>
        <w:t>debt</w:t>
      </w:r>
      <w:r w:rsidR="003B65CF" w:rsidRPr="003B65CF">
        <w:t xml:space="preserve"> </w:t>
      </w:r>
      <w:r>
        <w:t>secured</w:t>
      </w:r>
      <w:r w:rsidR="003B65CF" w:rsidRPr="003B65CF">
        <w:t xml:space="preserve"> </w:t>
      </w:r>
      <w:r>
        <w:t>on</w:t>
      </w:r>
      <w:r w:rsidR="003B65CF" w:rsidRPr="003B65CF">
        <w:t xml:space="preserve"> </w:t>
      </w:r>
      <w:r>
        <w:t>the</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may</w:t>
      </w:r>
      <w:r w:rsidR="003B65CF" w:rsidRPr="003B65CF">
        <w:t xml:space="preserve"> </w:t>
      </w:r>
      <w:r>
        <w:t>notify</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of</w:t>
      </w:r>
      <w:r w:rsidR="003B65CF" w:rsidRPr="003B65CF">
        <w:t xml:space="preserve"> </w:t>
      </w:r>
      <w:r>
        <w:t>any</w:t>
      </w:r>
      <w:r w:rsidR="003B65CF" w:rsidRPr="003B65CF">
        <w:t xml:space="preserve"> </w:t>
      </w:r>
      <w:r>
        <w:t>claim</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equipment</w:t>
      </w:r>
      <w:r w:rsidR="003B65CF" w:rsidRPr="003B65CF">
        <w:t xml:space="preserve"> </w:t>
      </w:r>
      <w:r>
        <w:t>was</w:t>
      </w:r>
      <w:r w:rsidR="003B65CF" w:rsidRPr="003B65CF">
        <w:t xml:space="preserve"> </w:t>
      </w:r>
      <w:r>
        <w:t>not</w:t>
      </w:r>
      <w:r w:rsidR="003B65CF" w:rsidRPr="003B65CF">
        <w:t xml:space="preserve"> </w:t>
      </w:r>
      <w:r>
        <w:t>liable</w:t>
      </w:r>
      <w:r w:rsidR="003B65CF" w:rsidRPr="003B65CF">
        <w:t xml:space="preserve"> </w:t>
      </w:r>
      <w:r>
        <w:t>to</w:t>
      </w:r>
      <w:r w:rsidR="003B65CF" w:rsidRPr="003B65CF">
        <w:t xml:space="preserve"> </w:t>
      </w:r>
      <w:r>
        <w:t>seizure,</w:t>
      </w:r>
      <w:r w:rsidR="003B65CF" w:rsidRPr="003B65CF">
        <w:t xml:space="preserve"> </w:t>
      </w:r>
      <w:r>
        <w:t>setting</w:t>
      </w:r>
      <w:r w:rsidR="003B65CF" w:rsidRPr="003B65CF">
        <w:t xml:space="preserve"> </w:t>
      </w:r>
      <w:r>
        <w:t>out</w:t>
      </w:r>
      <w:r w:rsidR="003B65CF" w:rsidRPr="003B65CF">
        <w:t xml:space="preserve"> </w:t>
      </w:r>
      <w:r>
        <w:t>the</w:t>
      </w:r>
      <w:r w:rsidR="003B65CF" w:rsidRPr="003B65CF">
        <w:t xml:space="preserve"> </w:t>
      </w:r>
      <w:r>
        <w:t>grounds</w:t>
      </w:r>
      <w:r w:rsidR="003B65CF" w:rsidRPr="003B65CF">
        <w:t xml:space="preserve"> </w:t>
      </w:r>
      <w:r>
        <w:t>for</w:t>
      </w:r>
      <w:r w:rsidR="003B65CF" w:rsidRPr="003B65CF">
        <w:t xml:space="preserve"> </w:t>
      </w:r>
      <w:r>
        <w:t>the</w:t>
      </w:r>
      <w:r w:rsidR="003B65CF" w:rsidRPr="003B65CF">
        <w:t xml:space="preserve"> </w:t>
      </w:r>
      <w:r>
        <w:t>claim</w:t>
      </w:r>
      <w:r w:rsidR="003B65CF" w:rsidRPr="003B65CF">
        <w:t xml:space="preserve"> </w:t>
      </w:r>
      <w:r>
        <w:t>in</w:t>
      </w:r>
      <w:r w:rsidR="003B65CF" w:rsidRPr="003B65CF">
        <w:t xml:space="preserve"> </w:t>
      </w:r>
      <w:r>
        <w:t>full.</w:t>
      </w:r>
    </w:p>
    <w:p w:rsidR="003B65CF" w:rsidRDefault="00E87F33" w:rsidP="00E87F33">
      <w:pPr>
        <w:pStyle w:val="N2"/>
      </w:pPr>
      <w:r>
        <w:t>The</w:t>
      </w:r>
      <w:r w:rsidR="003B65CF" w:rsidRPr="003B65CF">
        <w:t xml:space="preserve"> </w:t>
      </w:r>
      <w:r>
        <w:t>claim</w:t>
      </w:r>
      <w:r w:rsidR="003B65CF" w:rsidRPr="003B65CF">
        <w:t xml:space="preserve"> </w:t>
      </w:r>
      <w:r>
        <w:t>must</w:t>
      </w:r>
      <w:r w:rsidR="003B65CF" w:rsidRPr="003B65CF">
        <w:t xml:space="preserve"> </w:t>
      </w:r>
      <w:r>
        <w:t>be</w:t>
      </w:r>
      <w:r w:rsidR="003B65CF" w:rsidRPr="003B65CF">
        <w:t xml:space="preserve"> </w:t>
      </w:r>
      <w:r>
        <w:t>made</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seizure,</w:t>
      </w:r>
      <w:r w:rsidR="003B65CF" w:rsidRPr="003B65CF">
        <w:t xml:space="preserve"> </w:t>
      </w:r>
      <w:r>
        <w:t>beginning</w:t>
      </w:r>
      <w:r w:rsidR="003B65CF" w:rsidRPr="003B65CF">
        <w:t xml:space="preserve"> </w:t>
      </w:r>
      <w:r>
        <w:t>on</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product</w:t>
      </w:r>
      <w:r w:rsidR="003B65CF" w:rsidRPr="003B65CF">
        <w:t xml:space="preserve"> </w:t>
      </w:r>
      <w:r>
        <w:t>or</w:t>
      </w:r>
      <w:r w:rsidR="003B65CF" w:rsidRPr="003B65CF">
        <w:t xml:space="preserve"> </w:t>
      </w:r>
      <w:r>
        <w:t>computer</w:t>
      </w:r>
      <w:r w:rsidR="003B65CF" w:rsidRPr="003B65CF">
        <w:t xml:space="preserve"> </w:t>
      </w:r>
      <w:r>
        <w:t>equipment</w:t>
      </w:r>
      <w:r w:rsidR="003B65CF" w:rsidRPr="003B65CF">
        <w:t xml:space="preserve"> </w:t>
      </w:r>
      <w:r>
        <w:t>is</w:t>
      </w:r>
      <w:r w:rsidR="003B65CF" w:rsidRPr="003B65CF">
        <w:t xml:space="preserve"> </w:t>
      </w:r>
      <w:r>
        <w:t>seized,</w:t>
      </w:r>
      <w:r w:rsidR="003B65CF" w:rsidRPr="003B65CF">
        <w:t xml:space="preserve"> </w:t>
      </w:r>
      <w:r>
        <w:t>to</w:t>
      </w:r>
      <w:r w:rsidR="003B65CF" w:rsidRPr="003B65CF">
        <w:t xml:space="preserve"> </w:t>
      </w:r>
      <w:r>
        <w:t>the</w:t>
      </w:r>
      <w:r w:rsidR="003B65CF" w:rsidRPr="003B65CF">
        <w:t xml:space="preserve"> </w:t>
      </w:r>
      <w:r>
        <w:t>address</w:t>
      </w:r>
      <w:r w:rsidR="003B65CF" w:rsidRPr="003B65CF">
        <w:t xml:space="preserve"> </w:t>
      </w:r>
      <w:r>
        <w:t>specified</w:t>
      </w:r>
      <w:r w:rsidR="003B65CF" w:rsidRPr="003B65CF">
        <w:t xml:space="preserve"> </w:t>
      </w:r>
      <w:r>
        <w:t>in</w:t>
      </w:r>
      <w:r w:rsidR="003B65CF" w:rsidRPr="003B65CF">
        <w:t xml:space="preserve"> </w:t>
      </w:r>
      <w:r>
        <w:t>the</w:t>
      </w:r>
      <w:r w:rsidR="003B65CF" w:rsidRPr="003B65CF">
        <w:t xml:space="preserve"> </w:t>
      </w:r>
      <w:r>
        <w:t>seizure</w:t>
      </w:r>
      <w:r w:rsidR="003B65CF" w:rsidRPr="003B65CF">
        <w:t xml:space="preserve"> </w:t>
      </w:r>
      <w:r>
        <w:t>notice.</w:t>
      </w:r>
    </w:p>
    <w:p w:rsidR="003B65CF" w:rsidRDefault="00E87F33" w:rsidP="00E87F33">
      <w:pPr>
        <w:pStyle w:val="N2"/>
      </w:pPr>
      <w:r>
        <w:t>If</w:t>
      </w:r>
      <w:r w:rsidR="003B65CF" w:rsidRPr="003B65CF">
        <w:t xml:space="preserve"> </w:t>
      </w:r>
      <w:r>
        <w:t>a</w:t>
      </w:r>
      <w:r w:rsidR="003B65CF" w:rsidRPr="003B65CF">
        <w:t xml:space="preserve"> </w:t>
      </w:r>
      <w:r>
        <w:t>notification</w:t>
      </w:r>
      <w:r w:rsidR="003B65CF" w:rsidRPr="003B65CF">
        <w:t xml:space="preserve"> </w:t>
      </w:r>
      <w:r>
        <w:t>of</w:t>
      </w:r>
      <w:r w:rsidR="003B65CF" w:rsidRPr="003B65CF">
        <w:t xml:space="preserve"> </w:t>
      </w:r>
      <w:r>
        <w:t>a</w:t>
      </w:r>
      <w:r w:rsidR="003B65CF" w:rsidRPr="003B65CF">
        <w:t xml:space="preserve"> </w:t>
      </w:r>
      <w:r>
        <w:t>claim</w:t>
      </w:r>
      <w:r w:rsidR="003B65CF" w:rsidRPr="003B65CF">
        <w:t xml:space="preserve"> </w:t>
      </w:r>
      <w:r>
        <w:t>is</w:t>
      </w:r>
      <w:r w:rsidR="003B65CF" w:rsidRPr="003B65CF">
        <w:t xml:space="preserve"> </w:t>
      </w:r>
      <w:r>
        <w:t>not</w:t>
      </w:r>
      <w:r w:rsidR="003B65CF" w:rsidRPr="003B65CF">
        <w:t xml:space="preserve"> </w:t>
      </w:r>
      <w:r>
        <w:t>received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in</w:t>
      </w:r>
      <w:r w:rsidR="003B65CF" w:rsidRPr="003B65CF">
        <w:t xml:space="preserve"> </w:t>
      </w:r>
      <w:r>
        <w:t>respect</w:t>
      </w:r>
      <w:r w:rsidR="003B65CF" w:rsidRPr="003B65CF">
        <w:t xml:space="preserve"> </w:t>
      </w:r>
      <w:r>
        <w:t>of</w:t>
      </w:r>
      <w:r w:rsidR="003B65CF" w:rsidRPr="003B65CF">
        <w:t xml:space="preserve"> </w:t>
      </w:r>
      <w:r>
        <w:t>an</w:t>
      </w:r>
      <w:r w:rsidR="003B65CF" w:rsidRPr="003B65CF">
        <w:t xml:space="preserve"> </w:t>
      </w:r>
      <w:r>
        <w:t>item</w:t>
      </w:r>
      <w:r w:rsidR="003B65CF" w:rsidRPr="003B65CF">
        <w:t xml:space="preserve"> </w:t>
      </w:r>
      <w:r>
        <w:t>seized</w:t>
      </w:r>
      <w:r w:rsidR="003B65CF" w:rsidRPr="003B65CF">
        <w:t xml:space="preserve"> </w:t>
      </w:r>
      <w:r>
        <w:t>under</w:t>
      </w:r>
      <w:r w:rsidR="003B65CF" w:rsidRPr="003B65CF">
        <w:t xml:space="preserve"> </w:t>
      </w:r>
      <w:r>
        <w:t>regulation</w:t>
      </w:r>
      <w:r w:rsidR="003B65CF" w:rsidRPr="003B65CF">
        <w:t xml:space="preserve"> </w:t>
      </w:r>
      <w:r w:rsidR="0058710E">
        <w:t>9</w:t>
      </w:r>
      <w:r>
        <w:t>(4),</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may</w:t>
      </w:r>
      <w:r w:rsidR="003B65CF" w:rsidRPr="003B65CF">
        <w:t xml:space="preserve"> </w:t>
      </w:r>
      <w:r>
        <w:t>retain</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necessary</w:t>
      </w:r>
      <w:r w:rsidR="003B65CF" w:rsidRPr="003B65CF">
        <w:t xml:space="preserve"> </w:t>
      </w:r>
      <w:r>
        <w:t>while</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held</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criminal</w:t>
      </w:r>
      <w:r w:rsidR="003B65CF" w:rsidRPr="003B65CF">
        <w:t xml:space="preserve"> </w:t>
      </w:r>
      <w:r>
        <w:t>investigation</w:t>
      </w:r>
      <w:r w:rsidR="003B65CF" w:rsidRPr="003B65CF">
        <w:t xml:space="preserve"> </w:t>
      </w:r>
      <w:r>
        <w:t>or</w:t>
      </w:r>
      <w:r w:rsidR="003B65CF" w:rsidRPr="003B65CF">
        <w:t xml:space="preserve"> </w:t>
      </w:r>
      <w:r>
        <w:t>proceedings</w:t>
      </w:r>
      <w:r w:rsidR="003B65CF" w:rsidRPr="003B65CF">
        <w:t xml:space="preserve"> </w:t>
      </w:r>
      <w:r>
        <w:t>or</w:t>
      </w:r>
      <w:r w:rsidR="003B65CF" w:rsidRPr="003B65CF">
        <w:t xml:space="preserve"> </w:t>
      </w:r>
      <w:r>
        <w:t>for</w:t>
      </w:r>
      <w:r w:rsidR="003B65CF" w:rsidRPr="003B65CF">
        <w:t xml:space="preserve"> </w:t>
      </w:r>
      <w:r>
        <w:t>use</w:t>
      </w:r>
      <w:r w:rsidR="003B65CF" w:rsidRPr="003B65CF">
        <w:t xml:space="preserve"> </w:t>
      </w:r>
      <w:r>
        <w:t>as</w:t>
      </w:r>
      <w:r w:rsidR="003B65CF" w:rsidRPr="003B65CF">
        <w:t xml:space="preserve"> </w:t>
      </w:r>
      <w:r>
        <w:t>evidence</w:t>
      </w:r>
      <w:r w:rsidR="003B65CF" w:rsidRPr="003B65CF">
        <w:t xml:space="preserve"> </w:t>
      </w:r>
      <w:r>
        <w:t>at</w:t>
      </w:r>
      <w:r w:rsidR="003B65CF" w:rsidRPr="003B65CF">
        <w:t xml:space="preserve"> </w:t>
      </w:r>
      <w:r>
        <w:t>a</w:t>
      </w:r>
      <w:r w:rsidR="003B65CF" w:rsidRPr="003B65CF">
        <w:t xml:space="preserve"> </w:t>
      </w:r>
      <w:r>
        <w:t>trial.</w:t>
      </w:r>
    </w:p>
    <w:p w:rsidR="003B65CF" w:rsidRDefault="00E87F33" w:rsidP="00E87F33">
      <w:pPr>
        <w:pStyle w:val="N2"/>
      </w:pPr>
      <w:r>
        <w:t>If</w:t>
      </w:r>
      <w:r w:rsidR="003B65CF" w:rsidRPr="003B65CF">
        <w:t xml:space="preserve"> </w:t>
      </w:r>
      <w:r>
        <w:t>a</w:t>
      </w:r>
      <w:r w:rsidR="003B65CF" w:rsidRPr="003B65CF">
        <w:t xml:space="preserve"> </w:t>
      </w:r>
      <w:r>
        <w:t>notification</w:t>
      </w:r>
      <w:r w:rsidR="003B65CF" w:rsidRPr="003B65CF">
        <w:t xml:space="preserve"> </w:t>
      </w:r>
      <w:r>
        <w:t>of</w:t>
      </w:r>
      <w:r w:rsidR="003B65CF" w:rsidRPr="003B65CF">
        <w:t xml:space="preserve"> </w:t>
      </w:r>
      <w:r>
        <w:t>a</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in</w:t>
      </w:r>
      <w:r w:rsidR="003B65CF" w:rsidRPr="003B65CF">
        <w:t xml:space="preserve"> </w:t>
      </w:r>
      <w:r>
        <w:t>respect</w:t>
      </w:r>
      <w:r w:rsidR="003B65CF" w:rsidRPr="003B65CF">
        <w:t xml:space="preserve"> </w:t>
      </w:r>
      <w:r>
        <w:t>of</w:t>
      </w:r>
      <w:r w:rsidR="003B65CF" w:rsidRPr="003B65CF">
        <w:t xml:space="preserve"> </w:t>
      </w:r>
      <w:r>
        <w:t>an</w:t>
      </w:r>
      <w:r w:rsidR="003B65CF" w:rsidRPr="003B65CF">
        <w:t xml:space="preserve"> </w:t>
      </w:r>
      <w:r>
        <w:t>item</w:t>
      </w:r>
      <w:r w:rsidR="003B65CF" w:rsidRPr="003B65CF">
        <w:t xml:space="preserve"> </w:t>
      </w:r>
      <w:r>
        <w:t>seized</w:t>
      </w:r>
      <w:r w:rsidR="003B65CF" w:rsidRPr="003B65CF">
        <w:t xml:space="preserve"> </w:t>
      </w:r>
      <w:r>
        <w:t>under</w:t>
      </w:r>
      <w:r w:rsidR="003B65CF" w:rsidRPr="003B65CF">
        <w:t xml:space="preserve"> </w:t>
      </w:r>
      <w:r>
        <w:t>regulation</w:t>
      </w:r>
      <w:r w:rsidR="003B65CF" w:rsidRPr="003B65CF">
        <w:t xml:space="preserve"> </w:t>
      </w:r>
      <w:r w:rsidR="0058710E">
        <w:t>9</w:t>
      </w:r>
      <w:r>
        <w:t>(4),</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must—</w:t>
      </w:r>
    </w:p>
    <w:p w:rsidR="00E87F33" w:rsidRDefault="00E87F33" w:rsidP="00E87F33">
      <w:pPr>
        <w:pStyle w:val="N3"/>
      </w:pPr>
      <w:r>
        <w:t>return</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claim</w:t>
      </w:r>
      <w:r w:rsidR="003B65CF" w:rsidRPr="003B65CF">
        <w:t xml:space="preserve"> </w:t>
      </w:r>
      <w:r>
        <w:t>is</w:t>
      </w:r>
      <w:r w:rsidR="003B65CF" w:rsidRPr="003B65CF">
        <w:t xml:space="preserve"> </w:t>
      </w:r>
      <w:r>
        <w:t>received</w:t>
      </w:r>
      <w:r w:rsidR="009D270F">
        <w:t>,</w:t>
      </w:r>
      <w:r w:rsidR="003B65CF" w:rsidRPr="003B65CF">
        <w:t xml:space="preserve"> </w:t>
      </w:r>
      <w:r>
        <w:t>or</w:t>
      </w:r>
    </w:p>
    <w:p w:rsidR="00E87F33" w:rsidRDefault="00E87F33" w:rsidP="00E87F33">
      <w:pPr>
        <w:pStyle w:val="N3"/>
      </w:pPr>
      <w:r>
        <w:t>retain</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or</w:t>
      </w:r>
      <w:r w:rsidR="003B65CF" w:rsidRPr="003B65CF">
        <w:t xml:space="preserve"> </w:t>
      </w:r>
      <w:r>
        <w:t>product</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necessary</w:t>
      </w:r>
      <w:r w:rsidR="003B65CF" w:rsidRPr="003B65CF">
        <w:t xml:space="preserve"> </w:t>
      </w:r>
      <w:r>
        <w:t>while</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held</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criminal</w:t>
      </w:r>
      <w:r w:rsidR="003B65CF" w:rsidRPr="003B65CF">
        <w:t xml:space="preserve"> </w:t>
      </w:r>
      <w:r>
        <w:t>investigation</w:t>
      </w:r>
      <w:r w:rsidR="003B65CF" w:rsidRPr="003B65CF">
        <w:t xml:space="preserve"> </w:t>
      </w:r>
      <w:r>
        <w:t>or</w:t>
      </w:r>
      <w:r w:rsidR="003B65CF" w:rsidRPr="003B65CF">
        <w:t xml:space="preserve"> </w:t>
      </w:r>
      <w:r>
        <w:t>proceedings,</w:t>
      </w:r>
      <w:r w:rsidR="003B65CF" w:rsidRPr="003B65CF">
        <w:t xml:space="preserve"> </w:t>
      </w:r>
      <w:r>
        <w:t>or</w:t>
      </w:r>
      <w:r w:rsidR="003B65CF" w:rsidRPr="003B65CF">
        <w:t xml:space="preserve"> </w:t>
      </w:r>
      <w:r>
        <w:t>for</w:t>
      </w:r>
      <w:r w:rsidR="003B65CF" w:rsidRPr="003B65CF">
        <w:t xml:space="preserve"> </w:t>
      </w:r>
      <w:r>
        <w:t>use</w:t>
      </w:r>
      <w:r w:rsidR="003B65CF" w:rsidRPr="003B65CF">
        <w:t xml:space="preserve"> </w:t>
      </w:r>
      <w:r>
        <w:t>as</w:t>
      </w:r>
      <w:r w:rsidR="003B65CF" w:rsidRPr="003B65CF">
        <w:t xml:space="preserve"> </w:t>
      </w:r>
      <w:r>
        <w:t>evidence</w:t>
      </w:r>
      <w:r w:rsidR="003B65CF" w:rsidRPr="003B65CF">
        <w:t xml:space="preserve"> </w:t>
      </w:r>
      <w:r>
        <w:t>at</w:t>
      </w:r>
      <w:r w:rsidR="003B65CF" w:rsidRPr="003B65CF">
        <w:t xml:space="preserve"> </w:t>
      </w:r>
      <w:r>
        <w:t>a</w:t>
      </w:r>
      <w:r w:rsidR="003B65CF" w:rsidRPr="003B65CF">
        <w:t xml:space="preserve"> </w:t>
      </w:r>
      <w:r>
        <w:t>trial,</w:t>
      </w:r>
      <w:r w:rsidR="003B65CF" w:rsidRPr="003B65CF">
        <w:t xml:space="preserve"> </w:t>
      </w:r>
      <w:r>
        <w:t>but</w:t>
      </w:r>
      <w:r w:rsidR="003B65CF" w:rsidRPr="003B65CF">
        <w:t xml:space="preserve"> </w:t>
      </w:r>
      <w:r>
        <w:t>it</w:t>
      </w:r>
      <w:r w:rsidR="003B65CF" w:rsidRPr="003B65CF">
        <w:t xml:space="preserve"> </w:t>
      </w:r>
      <w:r>
        <w:t>must</w:t>
      </w:r>
      <w:r w:rsidR="003B65CF" w:rsidRPr="003B65CF">
        <w:t xml:space="preserve"> </w:t>
      </w:r>
      <w:r>
        <w:t>notify</w:t>
      </w:r>
      <w:r w:rsidR="003B65CF" w:rsidRPr="003B65CF">
        <w:t xml:space="preserve"> </w:t>
      </w:r>
      <w:r>
        <w:t>the</w:t>
      </w:r>
      <w:r w:rsidR="003B65CF" w:rsidRPr="003B65CF">
        <w:t xml:space="preserve"> </w:t>
      </w:r>
      <w:r>
        <w:t>claimant</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item</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and</w:t>
      </w:r>
      <w:r w:rsidR="003B65CF" w:rsidRPr="003B65CF">
        <w:t xml:space="preserve"> </w:t>
      </w:r>
      <w:r>
        <w:t>of</w:t>
      </w:r>
      <w:r w:rsidR="003B65CF" w:rsidRPr="003B65CF">
        <w:t xml:space="preserve"> </w:t>
      </w:r>
      <w:r>
        <w:t>the</w:t>
      </w:r>
      <w:r w:rsidR="003B65CF" w:rsidRPr="003B65CF">
        <w:t xml:space="preserve"> </w:t>
      </w:r>
      <w:r>
        <w:t>reason</w:t>
      </w:r>
      <w:r w:rsidR="003B65CF" w:rsidRPr="003B65CF">
        <w:t xml:space="preserve"> </w:t>
      </w:r>
      <w:r>
        <w:t>why</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claim</w:t>
      </w:r>
      <w:r w:rsidR="003B65CF" w:rsidRPr="003B65CF">
        <w:t xml:space="preserve"> </w:t>
      </w:r>
      <w:r>
        <w:t>is</w:t>
      </w:r>
      <w:r w:rsidR="003B65CF" w:rsidRPr="003B65CF">
        <w:t xml:space="preserve"> </w:t>
      </w:r>
      <w:r>
        <w:t>received.</w:t>
      </w:r>
    </w:p>
    <w:p w:rsidR="003B65CF" w:rsidRDefault="00E87F33" w:rsidP="00E87F33">
      <w:pPr>
        <w:pStyle w:val="N2"/>
      </w:pPr>
      <w:r>
        <w:t>If</w:t>
      </w:r>
      <w:r w:rsidR="003B65CF" w:rsidRPr="003B65CF">
        <w:t xml:space="preserve"> </w:t>
      </w:r>
      <w:r>
        <w:t>a</w:t>
      </w:r>
      <w:r w:rsidR="003B65CF" w:rsidRPr="003B65CF">
        <w:t xml:space="preserve"> </w:t>
      </w:r>
      <w:r>
        <w:t>notification</w:t>
      </w:r>
      <w:r w:rsidR="003B65CF" w:rsidRPr="003B65CF">
        <w:t xml:space="preserve"> </w:t>
      </w:r>
      <w:r>
        <w:t>of</w:t>
      </w:r>
      <w:r w:rsidR="003B65CF" w:rsidRPr="003B65CF">
        <w:t xml:space="preserve"> </w:t>
      </w:r>
      <w:r>
        <w:t>a</w:t>
      </w:r>
      <w:r w:rsidR="003B65CF" w:rsidRPr="003B65CF">
        <w:t xml:space="preserve"> </w:t>
      </w:r>
      <w:r>
        <w:t>claim</w:t>
      </w:r>
      <w:r w:rsidR="003B65CF" w:rsidRPr="003B65CF">
        <w:t xml:space="preserve"> </w:t>
      </w:r>
      <w:r>
        <w:t>is</w:t>
      </w:r>
      <w:r w:rsidR="003B65CF" w:rsidRPr="003B65CF">
        <w:t xml:space="preserve"> </w:t>
      </w:r>
      <w:r>
        <w:t>not</w:t>
      </w:r>
      <w:r w:rsidR="003B65CF" w:rsidRPr="003B65CF">
        <w:t xml:space="preserve"> </w:t>
      </w:r>
      <w:r>
        <w:t>received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in</w:t>
      </w:r>
      <w:r w:rsidR="003B65CF" w:rsidRPr="003B65CF">
        <w:t xml:space="preserve"> </w:t>
      </w:r>
      <w:r>
        <w:t>respect</w:t>
      </w:r>
      <w:r w:rsidR="003B65CF" w:rsidRPr="003B65CF">
        <w:t xml:space="preserve"> </w:t>
      </w:r>
      <w:r>
        <w:t>of</w:t>
      </w:r>
      <w:r w:rsidR="003B65CF" w:rsidRPr="003B65CF">
        <w:t xml:space="preserve"> </w:t>
      </w:r>
      <w:r>
        <w:t>a</w:t>
      </w:r>
      <w:r w:rsidR="003B65CF" w:rsidRPr="003B65CF">
        <w:t xml:space="preserve"> </w:t>
      </w:r>
      <w:r>
        <w:t>product</w:t>
      </w:r>
      <w:r w:rsidR="003B65CF" w:rsidRPr="003B65CF">
        <w:t xml:space="preserve"> </w:t>
      </w:r>
      <w:r>
        <w:t>seized</w:t>
      </w:r>
      <w:r w:rsidR="003B65CF" w:rsidRPr="003B65CF">
        <w:t xml:space="preserve"> </w:t>
      </w:r>
      <w:r>
        <w:t>under</w:t>
      </w:r>
      <w:r w:rsidR="003B65CF" w:rsidRPr="003B65CF">
        <w:t xml:space="preserve"> </w:t>
      </w:r>
      <w:r>
        <w:t>regulation</w:t>
      </w:r>
      <w:r w:rsidR="003B65CF" w:rsidRPr="003B65CF">
        <w:t xml:space="preserve"> </w:t>
      </w:r>
      <w:r>
        <w:t>9(5),</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may—</w:t>
      </w:r>
    </w:p>
    <w:p w:rsidR="00E87F33" w:rsidRDefault="00E87F33" w:rsidP="00E87F33">
      <w:pPr>
        <w:pStyle w:val="N3"/>
      </w:pPr>
      <w:r>
        <w:t>if</w:t>
      </w:r>
      <w:r w:rsidR="003B65CF" w:rsidRPr="003B65CF">
        <w:t xml:space="preserve"> </w:t>
      </w:r>
      <w:r>
        <w:t>a</w:t>
      </w:r>
      <w:r w:rsidR="003B65CF" w:rsidRPr="003B65CF">
        <w:t xml:space="preserve"> </w:t>
      </w:r>
      <w:r>
        <w:t>decision</w:t>
      </w:r>
      <w:r w:rsidR="003B65CF" w:rsidRPr="003B65CF">
        <w:t xml:space="preserve"> </w:t>
      </w:r>
      <w:r>
        <w:t>is</w:t>
      </w:r>
      <w:r w:rsidR="003B65CF" w:rsidRPr="003B65CF">
        <w:t xml:space="preserve"> </w:t>
      </w:r>
      <w:r>
        <w:t>taken</w:t>
      </w:r>
      <w:r w:rsidR="003B65CF" w:rsidRPr="003B65CF">
        <w:t xml:space="preserve"> </w:t>
      </w:r>
      <w:r>
        <w:t>by</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not</w:t>
      </w:r>
      <w:r w:rsidR="003B65CF" w:rsidRPr="003B65CF">
        <w:t xml:space="preserve"> </w:t>
      </w:r>
      <w:r>
        <w:t>to</w:t>
      </w:r>
      <w:r w:rsidR="003B65CF" w:rsidRPr="003B65CF">
        <w:t xml:space="preserve"> </w:t>
      </w:r>
      <w:r>
        <w:t>destroy</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but</w:t>
      </w:r>
      <w:r w:rsidR="003B65CF" w:rsidRPr="003B65CF">
        <w:t xml:space="preserve"> </w:t>
      </w:r>
      <w:r>
        <w:t>to</w:t>
      </w:r>
      <w:r w:rsidR="003B65CF" w:rsidRPr="003B65CF">
        <w:t xml:space="preserve"> </w:t>
      </w:r>
      <w:r>
        <w:t>retain</w:t>
      </w:r>
      <w:r w:rsidR="003B65CF" w:rsidRPr="003B65CF">
        <w:t xml:space="preserve"> </w:t>
      </w:r>
      <w:r>
        <w:t>it</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criminal</w:t>
      </w:r>
      <w:r w:rsidR="003B65CF" w:rsidRPr="003B65CF">
        <w:t xml:space="preserve"> </w:t>
      </w:r>
      <w:r>
        <w:t>investigation</w:t>
      </w:r>
      <w:r w:rsidR="003B65CF" w:rsidRPr="003B65CF">
        <w:t xml:space="preserve"> </w:t>
      </w:r>
      <w:r>
        <w:t>or</w:t>
      </w:r>
      <w:r w:rsidR="003B65CF" w:rsidRPr="003B65CF">
        <w:t xml:space="preserve"> </w:t>
      </w:r>
      <w:r>
        <w:t>proceedings,</w:t>
      </w:r>
      <w:r w:rsidR="003B65CF" w:rsidRPr="003B65CF">
        <w:t xml:space="preserve"> </w:t>
      </w:r>
      <w:r>
        <w:t>or</w:t>
      </w:r>
      <w:r w:rsidR="003B65CF" w:rsidRPr="003B65CF">
        <w:t xml:space="preserve"> </w:t>
      </w:r>
      <w:r>
        <w:t>for</w:t>
      </w:r>
      <w:r w:rsidR="003B65CF" w:rsidRPr="003B65CF">
        <w:t xml:space="preserve"> </w:t>
      </w:r>
      <w:r>
        <w:t>use</w:t>
      </w:r>
      <w:r w:rsidR="003B65CF" w:rsidRPr="003B65CF">
        <w:t xml:space="preserve"> </w:t>
      </w:r>
      <w:r>
        <w:t>as</w:t>
      </w:r>
      <w:r w:rsidR="003B65CF" w:rsidRPr="003B65CF">
        <w:t xml:space="preserve"> </w:t>
      </w:r>
      <w:r>
        <w:t>evidence</w:t>
      </w:r>
      <w:r w:rsidR="003B65CF" w:rsidRPr="003B65CF">
        <w:t xml:space="preserve"> </w:t>
      </w:r>
      <w:r>
        <w:t>at</w:t>
      </w:r>
      <w:r w:rsidR="003B65CF" w:rsidRPr="003B65CF">
        <w:t xml:space="preserve"> </w:t>
      </w:r>
      <w:r>
        <w:t>a</w:t>
      </w:r>
      <w:r w:rsidR="003B65CF" w:rsidRPr="003B65CF">
        <w:t xml:space="preserve"> </w:t>
      </w:r>
      <w:r>
        <w:t>trial,</w:t>
      </w:r>
      <w:r w:rsidR="003B65CF" w:rsidRPr="003B65CF">
        <w:t xml:space="preserve"> </w:t>
      </w:r>
      <w:r>
        <w:t>retain</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necessary</w:t>
      </w:r>
      <w:r w:rsidR="003B65CF" w:rsidRPr="003B65CF">
        <w:t xml:space="preserve"> </w:t>
      </w:r>
      <w:r>
        <w:t>for</w:t>
      </w:r>
      <w:r w:rsidR="003B65CF" w:rsidRPr="003B65CF">
        <w:t xml:space="preserve"> </w:t>
      </w:r>
      <w:r>
        <w:t>one</w:t>
      </w:r>
      <w:r w:rsidR="003B65CF" w:rsidRPr="003B65CF">
        <w:t xml:space="preserve"> </w:t>
      </w:r>
      <w:r>
        <w:t>of</w:t>
      </w:r>
      <w:r w:rsidR="003B65CF" w:rsidRPr="003B65CF">
        <w:t xml:space="preserve"> </w:t>
      </w:r>
      <w:r>
        <w:t>those</w:t>
      </w:r>
      <w:r w:rsidR="003B65CF" w:rsidRPr="003B65CF">
        <w:t xml:space="preserve"> </w:t>
      </w:r>
      <w:r>
        <w:t>purposes,</w:t>
      </w:r>
      <w:r w:rsidR="003B65CF" w:rsidRPr="003B65CF">
        <w:t xml:space="preserve"> </w:t>
      </w:r>
      <w:r>
        <w:t>but</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must—</w:t>
      </w:r>
    </w:p>
    <w:p w:rsidR="00E87F33" w:rsidRDefault="00E87F33" w:rsidP="00E87F33">
      <w:pPr>
        <w:pStyle w:val="N4"/>
      </w:pPr>
      <w:r>
        <w:t>notify</w:t>
      </w:r>
      <w:r w:rsidR="003B65CF" w:rsidRPr="003B65CF">
        <w:t xml:space="preserve"> </w:t>
      </w:r>
      <w:r>
        <w:t>the</w:t>
      </w:r>
      <w:r w:rsidR="003B65CF" w:rsidRPr="003B65CF">
        <w:t xml:space="preserve"> </w:t>
      </w:r>
      <w:r>
        <w:t>relevant</w:t>
      </w:r>
      <w:r w:rsidR="003B65CF" w:rsidRPr="003B65CF">
        <w:t xml:space="preserve"> </w:t>
      </w:r>
      <w:r>
        <w:t>person</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and</w:t>
      </w:r>
      <w:r w:rsidR="003B65CF" w:rsidRPr="003B65CF">
        <w:t xml:space="preserve"> </w:t>
      </w:r>
      <w:r>
        <w:t>of</w:t>
      </w:r>
      <w:r w:rsidR="003B65CF" w:rsidRPr="003B65CF">
        <w:t xml:space="preserve"> </w:t>
      </w:r>
      <w:r>
        <w:t>the</w:t>
      </w:r>
      <w:r w:rsidR="003B65CF" w:rsidRPr="003B65CF">
        <w:t xml:space="preserve"> </w:t>
      </w:r>
      <w:r>
        <w:t>reason</w:t>
      </w:r>
      <w:r w:rsidR="003B65CF" w:rsidRPr="003B65CF">
        <w:t xml:space="preserve"> </w:t>
      </w:r>
      <w:r>
        <w:t>why</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expiry</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period,</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after</w:t>
      </w:r>
      <w:r w:rsidR="003B65CF" w:rsidRPr="003B65CF">
        <w:t xml:space="preserve"> </w:t>
      </w:r>
      <w:r>
        <w:t>the</w:t>
      </w:r>
      <w:r w:rsidR="003B65CF" w:rsidRPr="003B65CF">
        <w:t xml:space="preserve"> </w:t>
      </w:r>
      <w:r>
        <w:t>claim</w:t>
      </w:r>
      <w:r w:rsidR="003B65CF" w:rsidRPr="003B65CF">
        <w:t xml:space="preserve"> </w:t>
      </w:r>
      <w:r>
        <w:t>period</w:t>
      </w:r>
      <w:r w:rsidR="003B65CF" w:rsidRPr="003B65CF">
        <w:t xml:space="preserve"> </w:t>
      </w:r>
      <w:r>
        <w:t>expires</w:t>
      </w:r>
      <w:r w:rsidR="009D270F">
        <w:t>,</w:t>
      </w:r>
      <w:r w:rsidR="003B65CF" w:rsidRPr="003B65CF">
        <w:t xml:space="preserve"> </w:t>
      </w:r>
      <w:r>
        <w:t>or</w:t>
      </w:r>
    </w:p>
    <w:p w:rsidR="00E87F33" w:rsidRDefault="00E87F33" w:rsidP="00E87F33">
      <w:pPr>
        <w:pStyle w:val="N4"/>
      </w:pPr>
      <w:r>
        <w:t>where</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does</w:t>
      </w:r>
      <w:r w:rsidR="003B65CF" w:rsidRPr="003B65CF">
        <w:t xml:space="preserve"> </w:t>
      </w:r>
      <w:r>
        <w:t>not</w:t>
      </w:r>
      <w:r w:rsidR="003B65CF" w:rsidRPr="003B65CF">
        <w:t xml:space="preserve"> </w:t>
      </w:r>
      <w:r>
        <w:t>know</w:t>
      </w:r>
      <w:r w:rsidR="003B65CF" w:rsidRPr="003B65CF">
        <w:t xml:space="preserve"> </w:t>
      </w:r>
      <w:r>
        <w:t>who</w:t>
      </w:r>
      <w:r w:rsidR="003B65CF" w:rsidRPr="003B65CF">
        <w:t xml:space="preserve"> </w:t>
      </w:r>
      <w:r>
        <w:t>the</w:t>
      </w:r>
      <w:r w:rsidR="003B65CF" w:rsidRPr="003B65CF">
        <w:t xml:space="preserve"> </w:t>
      </w:r>
      <w:r>
        <w:t>relevant</w:t>
      </w:r>
      <w:r w:rsidR="003B65CF" w:rsidRPr="003B65CF">
        <w:t xml:space="preserve"> </w:t>
      </w:r>
      <w:r>
        <w:t>person</w:t>
      </w:r>
      <w:r w:rsidR="003B65CF" w:rsidRPr="003B65CF">
        <w:t xml:space="preserve"> </w:t>
      </w:r>
      <w:r>
        <w:t>is,</w:t>
      </w:r>
      <w:r w:rsidR="003B65CF" w:rsidRPr="003B65CF">
        <w:t xml:space="preserve"> </w:t>
      </w:r>
      <w:r>
        <w:t>and</w:t>
      </w:r>
      <w:r w:rsidR="003B65CF" w:rsidRPr="003B65CF">
        <w:t xml:space="preserve"> </w:t>
      </w:r>
      <w:r>
        <w:t>this</w:t>
      </w:r>
      <w:r w:rsidR="003B65CF" w:rsidRPr="003B65CF">
        <w:t xml:space="preserve"> </w:t>
      </w:r>
      <w:r>
        <w:t>cannot</w:t>
      </w:r>
      <w:r w:rsidR="003B65CF" w:rsidRPr="003B65CF">
        <w:t xml:space="preserve"> </w:t>
      </w:r>
      <w:r>
        <w:t>be</w:t>
      </w:r>
      <w:r w:rsidR="003B65CF" w:rsidRPr="003B65CF">
        <w:t xml:space="preserve"> </w:t>
      </w:r>
      <w:r>
        <w:t>ascertained</w:t>
      </w:r>
      <w:r w:rsidR="003B65CF" w:rsidRPr="003B65CF">
        <w:t xml:space="preserve"> </w:t>
      </w:r>
      <w:r>
        <w:t>after</w:t>
      </w:r>
      <w:r w:rsidR="003B65CF" w:rsidRPr="003B65CF">
        <w:t xml:space="preserve"> </w:t>
      </w:r>
      <w:r>
        <w:t>reasonable</w:t>
      </w:r>
      <w:r w:rsidR="003B65CF" w:rsidRPr="003B65CF">
        <w:t xml:space="preserve"> </w:t>
      </w:r>
      <w:r>
        <w:t>enquiries</w:t>
      </w:r>
      <w:r w:rsidR="003B65CF" w:rsidRPr="003B65CF">
        <w:t xml:space="preserve"> </w:t>
      </w:r>
      <w:r>
        <w:t>have</w:t>
      </w:r>
      <w:r w:rsidR="003B65CF" w:rsidRPr="003B65CF">
        <w:t xml:space="preserve"> </w:t>
      </w:r>
      <w:r>
        <w:t>been</w:t>
      </w:r>
      <w:r w:rsidR="003B65CF" w:rsidRPr="003B65CF">
        <w:t xml:space="preserve"> </w:t>
      </w:r>
      <w:r>
        <w:t>made</w:t>
      </w:r>
      <w:r w:rsidR="003B65CF" w:rsidRPr="003B65CF">
        <w:t xml:space="preserve"> </w:t>
      </w:r>
      <w:r>
        <w:t>by</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attach</w:t>
      </w:r>
      <w:r w:rsidR="003B65CF" w:rsidRPr="003B65CF">
        <w:t xml:space="preserve"> </w:t>
      </w:r>
      <w:r>
        <w:t>a</w:t>
      </w:r>
      <w:r w:rsidR="003B65CF" w:rsidRPr="003B65CF">
        <w:t xml:space="preserve"> </w:t>
      </w:r>
      <w:r>
        <w:t>notice</w:t>
      </w:r>
      <w:r w:rsidR="003B65CF" w:rsidRPr="003B65CF">
        <w:t xml:space="preserve"> </w:t>
      </w:r>
      <w:r>
        <w:t>to</w:t>
      </w:r>
      <w:r w:rsidR="003B65CF" w:rsidRPr="003B65CF">
        <w:t xml:space="preserve"> </w:t>
      </w:r>
      <w:r>
        <w:t>a</w:t>
      </w:r>
      <w:r w:rsidR="003B65CF" w:rsidRPr="003B65CF">
        <w:t xml:space="preserve"> </w:t>
      </w:r>
      <w:r>
        <w:t>conspicuous</w:t>
      </w:r>
      <w:r w:rsidR="003B65CF" w:rsidRPr="003B65CF">
        <w:t xml:space="preserve"> </w:t>
      </w:r>
      <w:r>
        <w:t>part</w:t>
      </w:r>
      <w:r w:rsidR="003B65CF" w:rsidRPr="003B65CF">
        <w:t xml:space="preserve"> </w:t>
      </w:r>
      <w:r>
        <w:t>of</w:t>
      </w:r>
      <w:r w:rsidR="003B65CF" w:rsidRPr="003B65CF">
        <w:t xml:space="preserve"> </w:t>
      </w:r>
      <w:r>
        <w:t>the</w:t>
      </w:r>
      <w:r w:rsidR="003B65CF" w:rsidRPr="003B65CF">
        <w:t xml:space="preserve"> </w:t>
      </w:r>
      <w:r>
        <w:t>premises,</w:t>
      </w:r>
      <w:r w:rsidR="003B65CF" w:rsidRPr="003B65CF">
        <w:t xml:space="preserve"> </w:t>
      </w:r>
      <w:r>
        <w:t>or</w:t>
      </w:r>
      <w:r w:rsidR="003B65CF" w:rsidRPr="003B65CF">
        <w:t xml:space="preserve"> </w:t>
      </w:r>
      <w:r>
        <w:t>a</w:t>
      </w:r>
      <w:r w:rsidR="003B65CF" w:rsidRPr="003B65CF">
        <w:t xml:space="preserve"> </w:t>
      </w:r>
      <w:r>
        <w:t>conspicuous</w:t>
      </w:r>
      <w:r w:rsidR="003B65CF" w:rsidRPr="003B65CF">
        <w:t xml:space="preserve"> </w:t>
      </w:r>
      <w:r>
        <w:t>object</w:t>
      </w:r>
      <w:r w:rsidR="003B65CF" w:rsidRPr="003B65CF">
        <w:t xml:space="preserve"> </w:t>
      </w:r>
      <w:r>
        <w:t>on</w:t>
      </w:r>
      <w:r w:rsidR="003B65CF" w:rsidRPr="003B65CF">
        <w:t xml:space="preserve"> </w:t>
      </w:r>
      <w:r>
        <w:t>those</w:t>
      </w:r>
      <w:r w:rsidR="003B65CF" w:rsidRPr="003B65CF">
        <w:t xml:space="preserve"> </w:t>
      </w:r>
      <w:r>
        <w:t>premises,</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expiry</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period,</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after</w:t>
      </w:r>
      <w:r w:rsidR="003B65CF" w:rsidRPr="003B65CF">
        <w:t xml:space="preserve"> </w:t>
      </w:r>
      <w:r>
        <w:t>the</w:t>
      </w:r>
      <w:r w:rsidR="003B65CF" w:rsidRPr="003B65CF">
        <w:t xml:space="preserve"> </w:t>
      </w:r>
      <w:r>
        <w:t>claim</w:t>
      </w:r>
      <w:r w:rsidR="003B65CF" w:rsidRPr="003B65CF">
        <w:t xml:space="preserve"> </w:t>
      </w:r>
      <w:r>
        <w:t>period</w:t>
      </w:r>
      <w:r w:rsidR="003B65CF" w:rsidRPr="003B65CF">
        <w:t xml:space="preserve"> </w:t>
      </w:r>
      <w:r>
        <w:t>expires,</w:t>
      </w:r>
      <w:r w:rsidR="003B65CF" w:rsidRPr="003B65CF">
        <w:t xml:space="preserve"> </w:t>
      </w:r>
      <w:r>
        <w:t>stating</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and</w:t>
      </w:r>
      <w:r w:rsidR="003B65CF" w:rsidRPr="003B65CF">
        <w:t xml:space="preserve"> </w:t>
      </w:r>
      <w:r>
        <w:t>the</w:t>
      </w:r>
      <w:r w:rsidR="003B65CF" w:rsidRPr="003B65CF">
        <w:t xml:space="preserve"> </w:t>
      </w:r>
      <w:r>
        <w:t>reason</w:t>
      </w:r>
      <w:r w:rsidR="003B65CF" w:rsidRPr="003B65CF">
        <w:t xml:space="preserve"> </w:t>
      </w:r>
      <w:r>
        <w:t>why</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retained</w:t>
      </w:r>
      <w:r w:rsidR="009D270F">
        <w:t>,</w:t>
      </w:r>
      <w:r w:rsidR="003B65CF" w:rsidRPr="003B65CF">
        <w:t xml:space="preserve"> </w:t>
      </w:r>
      <w:r>
        <w:t>or</w:t>
      </w:r>
    </w:p>
    <w:p w:rsidR="00E87F33" w:rsidRDefault="00E87F33" w:rsidP="00E87F33">
      <w:pPr>
        <w:pStyle w:val="N3"/>
      </w:pPr>
      <w:r>
        <w:t>destroy</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after</w:t>
      </w:r>
      <w:r w:rsidR="003B65CF" w:rsidRPr="003B65CF">
        <w:t xml:space="preserve"> </w:t>
      </w:r>
      <w:r>
        <w:t>the</w:t>
      </w:r>
      <w:r w:rsidR="003B65CF" w:rsidRPr="003B65CF">
        <w:t xml:space="preserve"> </w:t>
      </w:r>
      <w:r>
        <w:t>28</w:t>
      </w:r>
      <w:r w:rsidR="003B65CF" w:rsidRPr="003B65CF">
        <w:t xml:space="preserve"> </w:t>
      </w:r>
      <w:r>
        <w:t>day</w:t>
      </w:r>
      <w:r w:rsidR="003B65CF" w:rsidRPr="003B65CF">
        <w:t xml:space="preserve"> </w:t>
      </w:r>
      <w:r>
        <w:t>claim</w:t>
      </w:r>
      <w:r w:rsidR="003B65CF" w:rsidRPr="003B65CF">
        <w:t xml:space="preserve"> </w:t>
      </w:r>
      <w:r>
        <w:t>period</w:t>
      </w:r>
      <w:r w:rsidR="003B65CF" w:rsidRPr="003B65CF">
        <w:t xml:space="preserve"> </w:t>
      </w:r>
      <w:r>
        <w:t>expires,</w:t>
      </w:r>
      <w:r w:rsidR="003B65CF" w:rsidRPr="003B65CF">
        <w:t xml:space="preserve"> </w:t>
      </w:r>
      <w:r>
        <w:t>if</w:t>
      </w:r>
      <w:r w:rsidR="003B65CF" w:rsidRPr="003B65CF">
        <w:t xml:space="preserve"> </w:t>
      </w:r>
      <w:r>
        <w:t>it</w:t>
      </w:r>
      <w:r w:rsidR="003B65CF" w:rsidRPr="003B65CF">
        <w:t xml:space="preserve"> </w:t>
      </w:r>
      <w:r>
        <w:t>reasonably</w:t>
      </w:r>
      <w:r w:rsidR="003B65CF" w:rsidRPr="003B65CF">
        <w:t xml:space="preserve"> </w:t>
      </w:r>
      <w:r>
        <w:t>believes</w:t>
      </w:r>
      <w:r w:rsidR="003B65CF" w:rsidRPr="003B65CF">
        <w:t xml:space="preserve"> </w:t>
      </w:r>
      <w:r>
        <w:t>that</w:t>
      </w:r>
      <w:r w:rsidR="003B65CF" w:rsidRPr="003B65CF">
        <w:t xml:space="preserve"> </w:t>
      </w:r>
      <w:r>
        <w:t>the</w:t>
      </w:r>
      <w:r w:rsidR="003B65CF" w:rsidRPr="003B65CF">
        <w:t xml:space="preserve"> </w:t>
      </w:r>
      <w:r>
        <w:t>product</w:t>
      </w:r>
      <w:r w:rsidR="003B65CF" w:rsidRPr="003B65CF">
        <w:t xml:space="preserve"> </w:t>
      </w:r>
      <w:r>
        <w:t>contravenes</w:t>
      </w:r>
      <w:r w:rsidR="003B65CF" w:rsidRPr="003B65CF">
        <w:t xml:space="preserve"> </w:t>
      </w:r>
      <w:r>
        <w:t>these</w:t>
      </w:r>
      <w:r w:rsidR="003B65CF" w:rsidRPr="003B65CF">
        <w:t xml:space="preserve"> </w:t>
      </w:r>
      <w:r>
        <w:t>Regulations,</w:t>
      </w:r>
      <w:r w:rsidR="003B65CF" w:rsidRPr="003B65CF">
        <w:t xml:space="preserve"> </w:t>
      </w:r>
      <w:r>
        <w:t>and</w:t>
      </w:r>
      <w:r w:rsidR="003B65CF" w:rsidRPr="003B65CF">
        <w:t xml:space="preserve"> </w:t>
      </w:r>
      <w:r>
        <w:t>—</w:t>
      </w:r>
    </w:p>
    <w:p w:rsidR="00E87F33" w:rsidRDefault="00E87F33" w:rsidP="00E87F33">
      <w:pPr>
        <w:pStyle w:val="N4"/>
      </w:pPr>
      <w:r>
        <w:t>notify</w:t>
      </w:r>
      <w:r w:rsidR="003B65CF" w:rsidRPr="003B65CF">
        <w:t xml:space="preserve"> </w:t>
      </w:r>
      <w:r>
        <w:t>the</w:t>
      </w:r>
      <w:r w:rsidR="003B65CF" w:rsidRPr="003B65CF">
        <w:t xml:space="preserve"> </w:t>
      </w:r>
      <w:r>
        <w:t>relevant</w:t>
      </w:r>
      <w:r w:rsidR="003B65CF" w:rsidRPr="003B65CF">
        <w:t xml:space="preserve"> </w:t>
      </w:r>
      <w:r>
        <w:t>person</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has</w:t>
      </w:r>
      <w:r w:rsidR="003B65CF" w:rsidRPr="003B65CF">
        <w:t xml:space="preserve"> </w:t>
      </w:r>
      <w:r>
        <w:t>been</w:t>
      </w:r>
      <w:r w:rsidR="003B65CF" w:rsidRPr="003B65CF">
        <w:t xml:space="preserve"> </w:t>
      </w:r>
      <w:r>
        <w:t>destroyed</w:t>
      </w:r>
      <w:r w:rsidR="003B65CF" w:rsidRPr="003B65CF">
        <w:t xml:space="preserve"> </w:t>
      </w:r>
      <w:r>
        <w:t>within</w:t>
      </w:r>
      <w:r w:rsidR="003B65CF" w:rsidRPr="003B65CF">
        <w:t xml:space="preserve"> </w:t>
      </w:r>
      <w:r>
        <w:t>10</w:t>
      </w:r>
      <w:r w:rsidR="003B65CF" w:rsidRPr="003B65CF">
        <w:t xml:space="preserve"> </w:t>
      </w:r>
      <w:r>
        <w:t>days</w:t>
      </w:r>
      <w:r w:rsidR="003B65CF" w:rsidRPr="003B65CF">
        <w:t xml:space="preserve"> </w:t>
      </w:r>
      <w:r>
        <w:t>of</w:t>
      </w:r>
      <w:r w:rsidR="003B65CF" w:rsidRPr="003B65CF">
        <w:t xml:space="preserve"> </w:t>
      </w:r>
      <w:r>
        <w:t>its</w:t>
      </w:r>
      <w:r w:rsidR="003B65CF" w:rsidRPr="003B65CF">
        <w:t xml:space="preserve"> </w:t>
      </w:r>
      <w:r>
        <w:t>destruction,</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product</w:t>
      </w:r>
      <w:r w:rsidR="003B65CF" w:rsidRPr="003B65CF">
        <w:t xml:space="preserve"> </w:t>
      </w:r>
      <w:r>
        <w:t>is</w:t>
      </w:r>
      <w:r w:rsidR="003B65CF" w:rsidRPr="003B65CF">
        <w:t xml:space="preserve"> </w:t>
      </w:r>
      <w:r>
        <w:t>destroyed</w:t>
      </w:r>
      <w:r w:rsidR="003B65CF" w:rsidRPr="003B65CF">
        <w:t xml:space="preserve"> </w:t>
      </w:r>
      <w:r>
        <w:t>(or</w:t>
      </w:r>
      <w:r w:rsidR="003B65CF" w:rsidRPr="003B65CF">
        <w:t xml:space="preserve"> </w:t>
      </w:r>
      <w:r>
        <w:t>the</w:t>
      </w:r>
      <w:r w:rsidR="003B65CF" w:rsidRPr="003B65CF">
        <w:t xml:space="preserve"> </w:t>
      </w:r>
      <w:r>
        <w:t>last</w:t>
      </w:r>
      <w:r w:rsidR="003B65CF" w:rsidRPr="003B65CF">
        <w:t xml:space="preserve"> </w:t>
      </w:r>
      <w:r>
        <w:t>day</w:t>
      </w:r>
      <w:r w:rsidR="003B65CF" w:rsidRPr="003B65CF">
        <w:t xml:space="preserve"> </w:t>
      </w:r>
      <w:r>
        <w:t>of</w:t>
      </w:r>
      <w:r w:rsidR="003B65CF" w:rsidRPr="003B65CF">
        <w:t xml:space="preserve"> </w:t>
      </w:r>
      <w:r>
        <w:t>destruction</w:t>
      </w:r>
      <w:r w:rsidR="003B65CF" w:rsidRPr="003B65CF">
        <w:t xml:space="preserve"> </w:t>
      </w:r>
      <w:r>
        <w:t>where</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takes</w:t>
      </w:r>
      <w:r w:rsidR="003B65CF" w:rsidRPr="003B65CF">
        <w:t xml:space="preserve"> </w:t>
      </w:r>
      <w:r>
        <w:t>place</w:t>
      </w:r>
      <w:r w:rsidR="003B65CF" w:rsidRPr="003B65CF">
        <w:t xml:space="preserve"> </w:t>
      </w:r>
      <w:r>
        <w:t>on</w:t>
      </w:r>
      <w:r w:rsidR="003B65CF" w:rsidRPr="003B65CF">
        <w:t xml:space="preserve"> </w:t>
      </w:r>
      <w:r>
        <w:t>more</w:t>
      </w:r>
      <w:r w:rsidR="003B65CF" w:rsidRPr="003B65CF">
        <w:t xml:space="preserve"> </w:t>
      </w:r>
      <w:r>
        <w:t>than</w:t>
      </w:r>
      <w:r w:rsidR="003B65CF" w:rsidRPr="003B65CF">
        <w:t xml:space="preserve"> </w:t>
      </w:r>
      <w:r>
        <w:t>one</w:t>
      </w:r>
      <w:r w:rsidR="003B65CF" w:rsidRPr="003B65CF">
        <w:t xml:space="preserve"> </w:t>
      </w:r>
      <w:r>
        <w:t>day)</w:t>
      </w:r>
      <w:r w:rsidR="009D270F">
        <w:t>,</w:t>
      </w:r>
      <w:r w:rsidR="003B65CF" w:rsidRPr="003B65CF">
        <w:t xml:space="preserve"> </w:t>
      </w:r>
      <w:r>
        <w:t>or</w:t>
      </w:r>
    </w:p>
    <w:p w:rsidR="00E87F33" w:rsidRDefault="00E87F33" w:rsidP="00E87F33">
      <w:pPr>
        <w:pStyle w:val="N4"/>
      </w:pPr>
      <w:r>
        <w:t>where</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does</w:t>
      </w:r>
      <w:r w:rsidR="003B65CF" w:rsidRPr="003B65CF">
        <w:t xml:space="preserve"> </w:t>
      </w:r>
      <w:r>
        <w:t>not</w:t>
      </w:r>
      <w:r w:rsidR="003B65CF" w:rsidRPr="003B65CF">
        <w:t xml:space="preserve"> </w:t>
      </w:r>
      <w:r>
        <w:t>know</w:t>
      </w:r>
      <w:r w:rsidR="003B65CF" w:rsidRPr="003B65CF">
        <w:t xml:space="preserve"> </w:t>
      </w:r>
      <w:r>
        <w:t>who</w:t>
      </w:r>
      <w:r w:rsidR="003B65CF" w:rsidRPr="003B65CF">
        <w:t xml:space="preserve"> </w:t>
      </w:r>
      <w:r>
        <w:t>the</w:t>
      </w:r>
      <w:r w:rsidR="003B65CF" w:rsidRPr="003B65CF">
        <w:t xml:space="preserve"> </w:t>
      </w:r>
      <w:r>
        <w:t>relevant</w:t>
      </w:r>
      <w:r w:rsidR="003B65CF" w:rsidRPr="003B65CF">
        <w:t xml:space="preserve"> </w:t>
      </w:r>
      <w:r>
        <w:t>person</w:t>
      </w:r>
      <w:r w:rsidR="003B65CF" w:rsidRPr="003B65CF">
        <w:t xml:space="preserve"> </w:t>
      </w:r>
      <w:r>
        <w:t>is,</w:t>
      </w:r>
      <w:r w:rsidR="003B65CF" w:rsidRPr="003B65CF">
        <w:t xml:space="preserve"> </w:t>
      </w:r>
      <w:r>
        <w:t>and</w:t>
      </w:r>
      <w:r w:rsidR="003B65CF" w:rsidRPr="003B65CF">
        <w:t xml:space="preserve"> </w:t>
      </w:r>
      <w:r>
        <w:t>this</w:t>
      </w:r>
      <w:r w:rsidR="003B65CF" w:rsidRPr="003B65CF">
        <w:t xml:space="preserve"> </w:t>
      </w:r>
      <w:r>
        <w:t>cannot</w:t>
      </w:r>
      <w:r w:rsidR="003B65CF" w:rsidRPr="003B65CF">
        <w:t xml:space="preserve"> </w:t>
      </w:r>
      <w:r>
        <w:t>be</w:t>
      </w:r>
      <w:r w:rsidR="003B65CF" w:rsidRPr="003B65CF">
        <w:t xml:space="preserve"> </w:t>
      </w:r>
      <w:r>
        <w:t>ascertained</w:t>
      </w:r>
      <w:r w:rsidR="003B65CF" w:rsidRPr="003B65CF">
        <w:t xml:space="preserve"> </w:t>
      </w:r>
      <w:r>
        <w:t>after</w:t>
      </w:r>
      <w:r w:rsidR="003B65CF" w:rsidRPr="003B65CF">
        <w:t xml:space="preserve"> </w:t>
      </w:r>
      <w:r>
        <w:t>reasonable</w:t>
      </w:r>
      <w:r w:rsidR="003B65CF" w:rsidRPr="003B65CF">
        <w:t xml:space="preserve"> </w:t>
      </w:r>
      <w:r>
        <w:t>enquiries</w:t>
      </w:r>
      <w:r w:rsidR="003B65CF" w:rsidRPr="003B65CF">
        <w:t xml:space="preserve"> </w:t>
      </w:r>
      <w:r>
        <w:t>have</w:t>
      </w:r>
      <w:r w:rsidR="003B65CF" w:rsidRPr="003B65CF">
        <w:t xml:space="preserve"> </w:t>
      </w:r>
      <w:r>
        <w:t>been</w:t>
      </w:r>
      <w:r w:rsidR="003B65CF" w:rsidRPr="003B65CF">
        <w:t xml:space="preserve"> </w:t>
      </w:r>
      <w:r>
        <w:t>made</w:t>
      </w:r>
      <w:r w:rsidR="003B65CF" w:rsidRPr="003B65CF">
        <w:t xml:space="preserve"> </w:t>
      </w:r>
      <w:r>
        <w:t>by</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attach</w:t>
      </w:r>
      <w:r w:rsidR="003B65CF" w:rsidRPr="003B65CF">
        <w:t xml:space="preserve"> </w:t>
      </w:r>
      <w:r>
        <w:t>a</w:t>
      </w:r>
      <w:r w:rsidR="003B65CF" w:rsidRPr="003B65CF">
        <w:t xml:space="preserve"> </w:t>
      </w:r>
      <w:r>
        <w:t>notice</w:t>
      </w:r>
      <w:r w:rsidR="003B65CF" w:rsidRPr="003B65CF">
        <w:t xml:space="preserve"> </w:t>
      </w:r>
      <w:r>
        <w:t>to</w:t>
      </w:r>
      <w:r w:rsidR="003B65CF" w:rsidRPr="003B65CF">
        <w:t xml:space="preserve"> </w:t>
      </w:r>
      <w:r>
        <w:t>a</w:t>
      </w:r>
      <w:r w:rsidR="003B65CF" w:rsidRPr="003B65CF">
        <w:t xml:space="preserve"> </w:t>
      </w:r>
      <w:r>
        <w:t>conspicuous</w:t>
      </w:r>
      <w:r w:rsidR="003B65CF" w:rsidRPr="003B65CF">
        <w:t xml:space="preserve"> </w:t>
      </w:r>
      <w:r>
        <w:t>part</w:t>
      </w:r>
      <w:r w:rsidR="003B65CF" w:rsidRPr="003B65CF">
        <w:t xml:space="preserve"> </w:t>
      </w:r>
      <w:r>
        <w:t>of</w:t>
      </w:r>
      <w:r w:rsidR="003B65CF" w:rsidRPr="003B65CF">
        <w:t xml:space="preserve"> </w:t>
      </w:r>
      <w:r>
        <w:t>the</w:t>
      </w:r>
      <w:r w:rsidR="003B65CF" w:rsidRPr="003B65CF">
        <w:t xml:space="preserve"> </w:t>
      </w:r>
      <w:r>
        <w:t>premises,</w:t>
      </w:r>
      <w:r w:rsidR="003B65CF" w:rsidRPr="003B65CF">
        <w:t xml:space="preserve"> </w:t>
      </w:r>
      <w:r>
        <w:t>or</w:t>
      </w:r>
      <w:r w:rsidR="003B65CF" w:rsidRPr="003B65CF">
        <w:t xml:space="preserve"> </w:t>
      </w:r>
      <w:r>
        <w:t>to</w:t>
      </w:r>
      <w:r w:rsidR="003B65CF" w:rsidRPr="003B65CF">
        <w:t xml:space="preserve"> </w:t>
      </w:r>
      <w:r>
        <w:t>a</w:t>
      </w:r>
      <w:r w:rsidR="003B65CF" w:rsidRPr="003B65CF">
        <w:t xml:space="preserve"> </w:t>
      </w:r>
      <w:r>
        <w:t>conspicuous</w:t>
      </w:r>
      <w:r w:rsidR="003B65CF" w:rsidRPr="003B65CF">
        <w:t xml:space="preserve"> </w:t>
      </w:r>
      <w:r>
        <w:t>object</w:t>
      </w:r>
      <w:r w:rsidR="003B65CF" w:rsidRPr="003B65CF">
        <w:t xml:space="preserve"> </w:t>
      </w:r>
      <w:r>
        <w:t>on</w:t>
      </w:r>
      <w:r w:rsidR="003B65CF" w:rsidRPr="003B65CF">
        <w:t xml:space="preserve"> </w:t>
      </w:r>
      <w:r>
        <w:t>those</w:t>
      </w:r>
      <w:r w:rsidR="003B65CF" w:rsidRPr="003B65CF">
        <w:t xml:space="preserve"> </w:t>
      </w:r>
      <w:r>
        <w:t>premises,</w:t>
      </w:r>
      <w:r w:rsidR="003B65CF" w:rsidRPr="003B65CF">
        <w:t xml:space="preserve"> </w:t>
      </w:r>
      <w:r>
        <w:t>within</w:t>
      </w:r>
      <w:r w:rsidR="003B65CF" w:rsidRPr="003B65CF">
        <w:t xml:space="preserve"> </w:t>
      </w:r>
      <w:r>
        <w:t>10</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beginning</w:t>
      </w:r>
      <w:r w:rsidR="003B65CF" w:rsidRPr="003B65CF">
        <w:t xml:space="preserve"> </w:t>
      </w:r>
      <w:r>
        <w:lastRenderedPageBreak/>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product</w:t>
      </w:r>
      <w:r w:rsidR="003B65CF" w:rsidRPr="003B65CF">
        <w:t xml:space="preserve"> </w:t>
      </w:r>
      <w:r>
        <w:t>is</w:t>
      </w:r>
      <w:r w:rsidR="003B65CF" w:rsidRPr="003B65CF">
        <w:t xml:space="preserve"> </w:t>
      </w:r>
      <w:r>
        <w:t>destroyed</w:t>
      </w:r>
      <w:r w:rsidR="003B65CF" w:rsidRPr="003B65CF">
        <w:t xml:space="preserve"> </w:t>
      </w:r>
      <w:r>
        <w:t>(or</w:t>
      </w:r>
      <w:r w:rsidR="003B65CF" w:rsidRPr="003B65CF">
        <w:t xml:space="preserve"> </w:t>
      </w:r>
      <w:r>
        <w:t>the</w:t>
      </w:r>
      <w:r w:rsidR="003B65CF" w:rsidRPr="003B65CF">
        <w:t xml:space="preserve"> </w:t>
      </w:r>
      <w:r>
        <w:t>last</w:t>
      </w:r>
      <w:r w:rsidR="003B65CF" w:rsidRPr="003B65CF">
        <w:t xml:space="preserve"> </w:t>
      </w:r>
      <w:r>
        <w:t>day</w:t>
      </w:r>
      <w:r w:rsidR="003B65CF" w:rsidRPr="003B65CF">
        <w:t xml:space="preserve"> </w:t>
      </w:r>
      <w:r>
        <w:t>of</w:t>
      </w:r>
      <w:r w:rsidR="003B65CF" w:rsidRPr="003B65CF">
        <w:t xml:space="preserve"> </w:t>
      </w:r>
      <w:r>
        <w:t>destruction</w:t>
      </w:r>
      <w:r w:rsidR="003B65CF" w:rsidRPr="003B65CF">
        <w:t xml:space="preserve"> </w:t>
      </w:r>
      <w:r>
        <w:t>where</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takes</w:t>
      </w:r>
      <w:r w:rsidR="003B65CF" w:rsidRPr="003B65CF">
        <w:t xml:space="preserve"> </w:t>
      </w:r>
      <w:r>
        <w:t>place</w:t>
      </w:r>
      <w:r w:rsidR="003B65CF" w:rsidRPr="003B65CF">
        <w:t xml:space="preserve"> </w:t>
      </w:r>
      <w:r>
        <w:t>on</w:t>
      </w:r>
      <w:r w:rsidR="003B65CF" w:rsidRPr="003B65CF">
        <w:t xml:space="preserve"> </w:t>
      </w:r>
      <w:r>
        <w:t>more</w:t>
      </w:r>
      <w:r w:rsidR="003B65CF" w:rsidRPr="003B65CF">
        <w:t xml:space="preserve"> </w:t>
      </w:r>
      <w:r>
        <w:t>than</w:t>
      </w:r>
      <w:r w:rsidR="003B65CF" w:rsidRPr="003B65CF">
        <w:t xml:space="preserve"> </w:t>
      </w:r>
      <w:r>
        <w:t>one</w:t>
      </w:r>
      <w:r w:rsidR="003B65CF" w:rsidRPr="003B65CF">
        <w:t xml:space="preserve"> </w:t>
      </w:r>
      <w:r>
        <w:t>day)</w:t>
      </w:r>
      <w:r w:rsidR="003B65CF" w:rsidRPr="003B65CF">
        <w:t xml:space="preserve"> </w:t>
      </w:r>
      <w:r>
        <w:t>stating</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has</w:t>
      </w:r>
      <w:r w:rsidR="003B65CF" w:rsidRPr="003B65CF">
        <w:t xml:space="preserve"> </w:t>
      </w:r>
      <w:r>
        <w:t>been</w:t>
      </w:r>
      <w:r w:rsidR="003B65CF" w:rsidRPr="003B65CF">
        <w:t xml:space="preserve"> </w:t>
      </w:r>
      <w:r>
        <w:t>destroyed.</w:t>
      </w:r>
    </w:p>
    <w:p w:rsidR="003B65CF" w:rsidRDefault="00E87F33" w:rsidP="00E87F33">
      <w:pPr>
        <w:pStyle w:val="N2"/>
      </w:pPr>
      <w:r>
        <w:t>In</w:t>
      </w:r>
      <w:r w:rsidR="003B65CF" w:rsidRPr="003B65CF">
        <w:t xml:space="preserve"> </w:t>
      </w:r>
      <w:r>
        <w:t>paragraph</w:t>
      </w:r>
      <w:r w:rsidR="003B65CF" w:rsidRPr="003B65CF">
        <w:t xml:space="preserve"> </w:t>
      </w:r>
      <w:r>
        <w:t>(8)</w:t>
      </w:r>
      <w:r w:rsidR="003B65CF" w:rsidRPr="003B65CF">
        <w:t xml:space="preserve"> </w:t>
      </w:r>
      <w:r>
        <w:t>the</w:t>
      </w:r>
      <w:r w:rsidR="003B65CF" w:rsidRPr="003B65CF">
        <w:t xml:space="preserve"> </w:t>
      </w:r>
      <w:r>
        <w:t>“relevant</w:t>
      </w:r>
      <w:r w:rsidR="003B65CF" w:rsidRPr="003B65CF">
        <w:t xml:space="preserve"> </w:t>
      </w:r>
      <w:r>
        <w:t>person”</w:t>
      </w:r>
      <w:r w:rsidR="003B65CF" w:rsidRPr="003B65CF">
        <w:t xml:space="preserve"> </w:t>
      </w:r>
      <w:r>
        <w:t>means—</w:t>
      </w:r>
    </w:p>
    <w:p w:rsidR="00E87F33" w:rsidRDefault="00E87F33" w:rsidP="00E87F33">
      <w:pPr>
        <w:pStyle w:val="N3"/>
      </w:pPr>
      <w:r>
        <w:t>if</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knows</w:t>
      </w:r>
      <w:r w:rsidR="003B65CF" w:rsidRPr="003B65CF">
        <w:t xml:space="preserve"> </w:t>
      </w:r>
      <w:r>
        <w:t>the</w:t>
      </w:r>
      <w:r w:rsidR="003B65CF" w:rsidRPr="003B65CF">
        <w:t xml:space="preserve"> </w:t>
      </w:r>
      <w:r>
        <w:t>identity</w:t>
      </w:r>
      <w:r w:rsidR="003B65CF" w:rsidRPr="003B65CF">
        <w:t xml:space="preserve"> </w:t>
      </w:r>
      <w:r>
        <w:t>of</w:t>
      </w:r>
      <w:r w:rsidR="003B65CF" w:rsidRPr="003B65CF">
        <w:t xml:space="preserve"> </w:t>
      </w:r>
      <w:r>
        <w:t>a</w:t>
      </w:r>
      <w:r w:rsidR="003B65CF" w:rsidRPr="003B65CF">
        <w:t xml:space="preserve"> </w:t>
      </w:r>
      <w:r>
        <w:t>person</w:t>
      </w:r>
      <w:r w:rsidR="003B65CF" w:rsidRPr="003B65CF">
        <w:t xml:space="preserve"> </w:t>
      </w:r>
      <w:r>
        <w:t>with</w:t>
      </w:r>
      <w:r w:rsidR="003B65CF" w:rsidRPr="003B65CF">
        <w:t xml:space="preserve"> </w:t>
      </w:r>
      <w:r>
        <w:t>a</w:t>
      </w:r>
      <w:r w:rsidR="003B65CF" w:rsidRPr="003B65CF">
        <w:t xml:space="preserve"> </w:t>
      </w:r>
      <w:r>
        <w:t>proprietary</w:t>
      </w:r>
      <w:r w:rsidR="003B65CF" w:rsidRPr="003B65CF">
        <w:t xml:space="preserve"> </w:t>
      </w:r>
      <w:r>
        <w:t>interest</w:t>
      </w:r>
      <w:r w:rsidR="003B65CF" w:rsidRPr="003B65CF">
        <w:t xml:space="preserve"> </w:t>
      </w:r>
      <w:r>
        <w:t>in</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that</w:t>
      </w:r>
      <w:r w:rsidR="003B65CF" w:rsidRPr="003B65CF">
        <w:t xml:space="preserve"> </w:t>
      </w:r>
      <w:r>
        <w:t>person</w:t>
      </w:r>
      <w:r w:rsidR="003B65CF" w:rsidRPr="003B65CF">
        <w:t xml:space="preserve"> </w:t>
      </w:r>
      <w:r>
        <w:t>or</w:t>
      </w:r>
      <w:r w:rsidR="003B65CF" w:rsidRPr="003B65CF">
        <w:t xml:space="preserve"> </w:t>
      </w:r>
      <w:r>
        <w:t>(where</w:t>
      </w:r>
      <w:r w:rsidR="003B65CF" w:rsidRPr="003B65CF">
        <w:t xml:space="preserve"> </w:t>
      </w:r>
      <w:r>
        <w:t>more</w:t>
      </w:r>
      <w:r w:rsidR="003B65CF" w:rsidRPr="003B65CF">
        <w:t xml:space="preserve"> </w:t>
      </w:r>
      <w:r>
        <w:t>they</w:t>
      </w:r>
      <w:r w:rsidR="003B65CF" w:rsidRPr="003B65CF">
        <w:t xml:space="preserve"> </w:t>
      </w:r>
      <w:r>
        <w:t>know</w:t>
      </w:r>
      <w:r w:rsidR="003B65CF" w:rsidRPr="003B65CF">
        <w:t xml:space="preserve"> </w:t>
      </w:r>
      <w:r>
        <w:t>the</w:t>
      </w:r>
      <w:r w:rsidR="003B65CF" w:rsidRPr="003B65CF">
        <w:t xml:space="preserve"> </w:t>
      </w:r>
      <w:r>
        <w:t>identity</w:t>
      </w:r>
      <w:r w:rsidR="003B65CF" w:rsidRPr="003B65CF">
        <w:t xml:space="preserve"> </w:t>
      </w:r>
      <w:r>
        <w:t>of</w:t>
      </w:r>
      <w:r w:rsidR="003B65CF" w:rsidRPr="003B65CF">
        <w:t xml:space="preserve"> </w:t>
      </w:r>
      <w:r>
        <w:t>more</w:t>
      </w:r>
      <w:r w:rsidR="003B65CF" w:rsidRPr="003B65CF">
        <w:t xml:space="preserve"> </w:t>
      </w:r>
      <w:r>
        <w:t>than</w:t>
      </w:r>
      <w:r w:rsidR="003B65CF" w:rsidRPr="003B65CF">
        <w:t xml:space="preserve"> </w:t>
      </w:r>
      <w:r>
        <w:t>one</w:t>
      </w:r>
      <w:r w:rsidR="003B65CF" w:rsidRPr="003B65CF">
        <w:t xml:space="preserve"> </w:t>
      </w:r>
      <w:r>
        <w:t>person</w:t>
      </w:r>
      <w:r w:rsidR="003B65CF" w:rsidRPr="003B65CF">
        <w:t xml:space="preserve"> </w:t>
      </w:r>
      <w:r>
        <w:t>with</w:t>
      </w:r>
      <w:r w:rsidR="003B65CF" w:rsidRPr="003B65CF">
        <w:t xml:space="preserve"> </w:t>
      </w:r>
      <w:r>
        <w:t>a</w:t>
      </w:r>
      <w:r w:rsidR="003B65CF" w:rsidRPr="003B65CF">
        <w:t xml:space="preserve"> </w:t>
      </w:r>
      <w:r>
        <w:t>proprietary</w:t>
      </w:r>
      <w:r w:rsidR="003B65CF" w:rsidRPr="003B65CF">
        <w:t xml:space="preserve"> </w:t>
      </w:r>
      <w:r>
        <w:t>interest</w:t>
      </w:r>
      <w:r w:rsidR="003B65CF" w:rsidRPr="003B65CF">
        <w:t xml:space="preserve"> </w:t>
      </w:r>
      <w:r>
        <w:t>in</w:t>
      </w:r>
      <w:r w:rsidR="003B65CF" w:rsidRPr="003B65CF">
        <w:t xml:space="preserve"> </w:t>
      </w:r>
      <w:r>
        <w:t>the</w:t>
      </w:r>
      <w:r w:rsidR="003B65CF" w:rsidRPr="003B65CF">
        <w:t xml:space="preserve"> </w:t>
      </w:r>
      <w:r>
        <w:t>seized</w:t>
      </w:r>
      <w:r w:rsidR="003B65CF" w:rsidRPr="003B65CF">
        <w:t xml:space="preserve"> </w:t>
      </w:r>
      <w:r>
        <w:t>property)</w:t>
      </w:r>
      <w:r w:rsidR="003B65CF" w:rsidRPr="003B65CF">
        <w:t xml:space="preserve"> </w:t>
      </w:r>
      <w:r>
        <w:t>each</w:t>
      </w:r>
      <w:r w:rsidR="003B65CF" w:rsidRPr="003B65CF">
        <w:t xml:space="preserve"> </w:t>
      </w:r>
      <w:r>
        <w:t>of</w:t>
      </w:r>
      <w:r w:rsidR="003B65CF" w:rsidRPr="003B65CF">
        <w:t xml:space="preserve"> </w:t>
      </w:r>
      <w:r>
        <w:t>those</w:t>
      </w:r>
      <w:r w:rsidR="003B65CF" w:rsidRPr="003B65CF">
        <w:t xml:space="preserve"> </w:t>
      </w:r>
      <w:r>
        <w:t>persons</w:t>
      </w:r>
      <w:r w:rsidR="009D270F">
        <w:t>,</w:t>
      </w:r>
      <w:r w:rsidR="003B65CF" w:rsidRPr="003B65CF">
        <w:t xml:space="preserve"> </w:t>
      </w:r>
      <w:r>
        <w:t>or</w:t>
      </w:r>
    </w:p>
    <w:p w:rsidR="00E87F33" w:rsidRDefault="00E87F33" w:rsidP="00E87F33">
      <w:pPr>
        <w:pStyle w:val="N3"/>
      </w:pPr>
      <w:r>
        <w:t>if</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does</w:t>
      </w:r>
      <w:r w:rsidR="003B65CF" w:rsidRPr="003B65CF">
        <w:t xml:space="preserve"> </w:t>
      </w:r>
      <w:r>
        <w:t>not</w:t>
      </w:r>
      <w:r w:rsidR="003B65CF" w:rsidRPr="003B65CF">
        <w:t xml:space="preserve"> </w:t>
      </w:r>
      <w:r>
        <w:t>know</w:t>
      </w:r>
      <w:r w:rsidR="003B65CF" w:rsidRPr="003B65CF">
        <w:t xml:space="preserve"> </w:t>
      </w:r>
      <w:r>
        <w:t>the</w:t>
      </w:r>
      <w:r w:rsidR="003B65CF" w:rsidRPr="003B65CF">
        <w:t xml:space="preserve"> </w:t>
      </w:r>
      <w:r>
        <w:t>identity</w:t>
      </w:r>
      <w:r w:rsidR="003B65CF" w:rsidRPr="003B65CF">
        <w:t xml:space="preserve"> </w:t>
      </w:r>
      <w:r>
        <w:t>of</w:t>
      </w:r>
      <w:r w:rsidR="003B65CF" w:rsidRPr="003B65CF">
        <w:t xml:space="preserve"> </w:t>
      </w:r>
      <w:r>
        <w:t>a</w:t>
      </w:r>
      <w:r w:rsidR="003B65CF" w:rsidRPr="003B65CF">
        <w:t xml:space="preserve"> </w:t>
      </w:r>
      <w:r>
        <w:t>person</w:t>
      </w:r>
      <w:r w:rsidR="003B65CF" w:rsidRPr="003B65CF">
        <w:t xml:space="preserve"> </w:t>
      </w:r>
      <w:r>
        <w:t>with</w:t>
      </w:r>
      <w:r w:rsidR="003B65CF" w:rsidRPr="003B65CF">
        <w:t xml:space="preserve"> </w:t>
      </w:r>
      <w:r>
        <w:t>a</w:t>
      </w:r>
      <w:r w:rsidR="003B65CF" w:rsidRPr="003B65CF">
        <w:t xml:space="preserve"> </w:t>
      </w:r>
      <w:r>
        <w:t>proprietary</w:t>
      </w:r>
      <w:r w:rsidR="003B65CF" w:rsidRPr="003B65CF">
        <w:t xml:space="preserve"> </w:t>
      </w:r>
      <w:r>
        <w:t>interest</w:t>
      </w:r>
      <w:r w:rsidR="003B65CF" w:rsidRPr="003B65CF">
        <w:t xml:space="preserve"> </w:t>
      </w:r>
      <w:r>
        <w:t>in</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the</w:t>
      </w:r>
      <w:r w:rsidR="003B65CF" w:rsidRPr="003B65CF">
        <w:t xml:space="preserve"> </w:t>
      </w:r>
      <w:r>
        <w:t>person</w:t>
      </w:r>
      <w:r w:rsidR="003B65CF" w:rsidRPr="003B65CF">
        <w:t xml:space="preserve"> </w:t>
      </w:r>
      <w:r>
        <w:t>appearing</w:t>
      </w:r>
      <w:r w:rsidR="003B65CF" w:rsidRPr="003B65CF">
        <w:t xml:space="preserve"> </w:t>
      </w:r>
      <w:r>
        <w:t>to</w:t>
      </w:r>
      <w:r w:rsidR="003B65CF" w:rsidRPr="003B65CF">
        <w:t xml:space="preserve"> </w:t>
      </w:r>
      <w:r>
        <w:t>them</w:t>
      </w:r>
      <w:r w:rsidR="003B65CF" w:rsidRPr="003B65CF">
        <w:t xml:space="preserve"> </w:t>
      </w:r>
      <w:r>
        <w:t>to</w:t>
      </w:r>
      <w:r w:rsidR="003B65CF" w:rsidRPr="003B65CF">
        <w:t xml:space="preserve"> </w:t>
      </w:r>
      <w:r>
        <w:t>be</w:t>
      </w:r>
      <w:r w:rsidR="003B65CF" w:rsidRPr="003B65CF">
        <w:t xml:space="preserve"> </w:t>
      </w:r>
      <w:r>
        <w:t>in</w:t>
      </w:r>
      <w:r w:rsidR="003B65CF" w:rsidRPr="003B65CF">
        <w:t xml:space="preserve"> </w:t>
      </w:r>
      <w:r>
        <w:t>charge</w:t>
      </w:r>
      <w:r w:rsidR="003B65CF" w:rsidRPr="003B65CF">
        <w:t xml:space="preserve"> </w:t>
      </w:r>
      <w:r>
        <w:t>of</w:t>
      </w:r>
      <w:r w:rsidR="003B65CF" w:rsidRPr="003B65CF">
        <w:t xml:space="preserve"> </w:t>
      </w:r>
      <w:r>
        <w:t>the</w:t>
      </w:r>
      <w:r w:rsidR="003B65CF" w:rsidRPr="003B65CF">
        <w:t xml:space="preserve"> </w:t>
      </w:r>
      <w:r>
        <w:t>premises.</w:t>
      </w:r>
    </w:p>
    <w:p w:rsidR="003B65CF" w:rsidRDefault="00E87F33" w:rsidP="00E87F33">
      <w:pPr>
        <w:pStyle w:val="N2"/>
      </w:pP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any</w:t>
      </w:r>
      <w:r w:rsidR="003B65CF" w:rsidRPr="003B65CF">
        <w:t xml:space="preserve"> </w:t>
      </w:r>
      <w:r>
        <w:t>product</w:t>
      </w:r>
      <w:r w:rsidR="003B65CF" w:rsidRPr="003B65CF">
        <w:t xml:space="preserve"> </w:t>
      </w:r>
      <w:r>
        <w:t>destroyed</w:t>
      </w:r>
      <w:r w:rsidR="003B65CF" w:rsidRPr="003B65CF">
        <w:t xml:space="preserve"> </w:t>
      </w:r>
      <w:r>
        <w:t>under</w:t>
      </w:r>
      <w:r w:rsidR="003B65CF" w:rsidRPr="003B65CF">
        <w:t xml:space="preserve"> </w:t>
      </w:r>
      <w:r>
        <w:t>paragraph</w:t>
      </w:r>
      <w:r w:rsidR="003B65CF" w:rsidRPr="003B65CF">
        <w:t xml:space="preserve"> </w:t>
      </w:r>
      <w:r>
        <w:t>(8)(b),</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may</w:t>
      </w:r>
      <w:r w:rsidR="003B65CF" w:rsidRPr="003B65CF">
        <w:t xml:space="preserve"> </w:t>
      </w:r>
      <w:r>
        <w:t>recover</w:t>
      </w:r>
      <w:r w:rsidR="003B65CF" w:rsidRPr="003B65CF">
        <w:t xml:space="preserve"> </w:t>
      </w:r>
      <w:r>
        <w:t>the</w:t>
      </w:r>
      <w:r w:rsidR="003B65CF" w:rsidRPr="003B65CF">
        <w:t xml:space="preserve"> </w:t>
      </w:r>
      <w:r>
        <w:t>following</w:t>
      </w:r>
      <w:r w:rsidR="003B65CF" w:rsidRPr="003B65CF">
        <w:t xml:space="preserve"> </w:t>
      </w:r>
      <w:r>
        <w:t>costs</w:t>
      </w:r>
      <w:r w:rsidR="003B65CF" w:rsidRPr="003B65CF">
        <w:t xml:space="preserve"> </w:t>
      </w:r>
      <w:r>
        <w:t>as</w:t>
      </w:r>
      <w:r w:rsidR="003B65CF" w:rsidRPr="003B65CF">
        <w:t xml:space="preserve"> </w:t>
      </w:r>
      <w:r>
        <w:t>a</w:t>
      </w:r>
      <w:r w:rsidR="003B65CF" w:rsidRPr="003B65CF">
        <w:t xml:space="preserve"> </w:t>
      </w:r>
      <w:r>
        <w:t>debt</w:t>
      </w:r>
      <w:r w:rsidR="003B65CF" w:rsidRPr="003B65CF">
        <w:t xml:space="preserve"> </w:t>
      </w:r>
      <w:r>
        <w:t>from</w:t>
      </w:r>
      <w:r w:rsidR="003B65CF" w:rsidRPr="003B65CF">
        <w:t xml:space="preserve"> </w:t>
      </w:r>
      <w:r>
        <w:t>any</w:t>
      </w:r>
      <w:r w:rsidR="003B65CF" w:rsidRPr="003B65CF">
        <w:t xml:space="preserve"> </w:t>
      </w:r>
      <w:r>
        <w:t>person</w:t>
      </w:r>
      <w:r w:rsidR="003B65CF" w:rsidRPr="003B65CF">
        <w:t xml:space="preserve"> </w:t>
      </w:r>
      <w:r>
        <w:t>who</w:t>
      </w:r>
      <w:r w:rsidR="003B65CF" w:rsidRPr="003B65CF">
        <w:t xml:space="preserve"> </w:t>
      </w:r>
      <w:r>
        <w:t>had</w:t>
      </w:r>
      <w:r w:rsidR="003B65CF" w:rsidRPr="003B65CF">
        <w:t xml:space="preserve"> </w:t>
      </w:r>
      <w:r>
        <w:t>a</w:t>
      </w:r>
      <w:r w:rsidR="003B65CF" w:rsidRPr="003B65CF">
        <w:t xml:space="preserve"> </w:t>
      </w:r>
      <w:r>
        <w:t>proprietary</w:t>
      </w:r>
      <w:r w:rsidR="003B65CF" w:rsidRPr="003B65CF">
        <w:t xml:space="preserve"> </w:t>
      </w:r>
      <w:r>
        <w:t>interest</w:t>
      </w:r>
      <w:r w:rsidR="003B65CF" w:rsidRPr="003B65CF">
        <w:t xml:space="preserve"> </w:t>
      </w:r>
      <w:r>
        <w:t>in</w:t>
      </w:r>
      <w:r w:rsidR="003B65CF" w:rsidRPr="003B65CF">
        <w:t xml:space="preserve"> </w:t>
      </w:r>
      <w:r>
        <w:t>the</w:t>
      </w:r>
      <w:r w:rsidR="003B65CF" w:rsidRPr="003B65CF">
        <w:t xml:space="preserve"> </w:t>
      </w:r>
      <w:r>
        <w:t>product</w:t>
      </w:r>
      <w:r w:rsidR="003B65CF" w:rsidRPr="003B65CF">
        <w:t xml:space="preserve"> </w:t>
      </w:r>
      <w:r>
        <w:t>immediately</w:t>
      </w:r>
      <w:r w:rsidR="003B65CF" w:rsidRPr="003B65CF">
        <w:t xml:space="preserve"> </w:t>
      </w:r>
      <w:r>
        <w:t>before</w:t>
      </w:r>
      <w:r w:rsidR="003B65CF" w:rsidRPr="003B65CF">
        <w:t xml:space="preserve"> </w:t>
      </w:r>
      <w:r>
        <w:t>its</w:t>
      </w:r>
      <w:r w:rsidR="003B65CF" w:rsidRPr="003B65CF">
        <w:t xml:space="preserve"> </w:t>
      </w:r>
      <w:r>
        <w:t>destruction</w:t>
      </w:r>
      <w:r w:rsidR="003B65CF" w:rsidRPr="003B65CF">
        <w:t xml:space="preserve"> </w:t>
      </w:r>
      <w:r>
        <w:t>(apart</w:t>
      </w:r>
      <w:r w:rsidR="003B65CF" w:rsidRPr="003B65CF">
        <w:t xml:space="preserve"> </w:t>
      </w:r>
      <w:r>
        <w:t>from</w:t>
      </w:r>
      <w:r w:rsidR="003B65CF" w:rsidRPr="003B65CF">
        <w:t xml:space="preserve"> </w:t>
      </w:r>
      <w:r>
        <w:t>a</w:t>
      </w:r>
      <w:r w:rsidR="003B65CF" w:rsidRPr="003B65CF">
        <w:t xml:space="preserve"> </w:t>
      </w:r>
      <w:r>
        <w:t>creditor</w:t>
      </w:r>
      <w:r w:rsidR="003B65CF" w:rsidRPr="003B65CF">
        <w:t xml:space="preserve"> </w:t>
      </w:r>
      <w:r>
        <w:t>who</w:t>
      </w:r>
      <w:r w:rsidR="003B65CF" w:rsidRPr="003B65CF">
        <w:t xml:space="preserve"> </w:t>
      </w:r>
      <w:r>
        <w:t>has</w:t>
      </w:r>
      <w:r w:rsidR="003B65CF" w:rsidRPr="003B65CF">
        <w:t xml:space="preserve"> </w:t>
      </w:r>
      <w:r>
        <w:t>a</w:t>
      </w:r>
      <w:r w:rsidR="003B65CF" w:rsidRPr="003B65CF">
        <w:t xml:space="preserve"> </w:t>
      </w:r>
      <w:r>
        <w:t>debt</w:t>
      </w:r>
      <w:r w:rsidR="003B65CF" w:rsidRPr="003B65CF">
        <w:t xml:space="preserve"> </w:t>
      </w:r>
      <w:r>
        <w:t>secured</w:t>
      </w:r>
      <w:r w:rsidR="003B65CF" w:rsidRPr="003B65CF">
        <w:t xml:space="preserve"> </w:t>
      </w:r>
      <w:r>
        <w:t>on</w:t>
      </w:r>
      <w:r w:rsidR="003B65CF" w:rsidRPr="003B65CF">
        <w:t xml:space="preserve"> </w:t>
      </w:r>
      <w:r>
        <w:t>the</w:t>
      </w:r>
      <w:r w:rsidR="003B65CF" w:rsidRPr="003B65CF">
        <w:t xml:space="preserve"> </w:t>
      </w:r>
      <w:r>
        <w:t>product)—</w:t>
      </w:r>
    </w:p>
    <w:p w:rsidR="003B65CF" w:rsidRDefault="00E87F33" w:rsidP="00E87F33">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removal</w:t>
      </w:r>
      <w:r w:rsidR="003B65CF" w:rsidRPr="003B65CF">
        <w:t xml:space="preserve"> </w:t>
      </w:r>
      <w:r>
        <w:t>and</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from</w:t>
      </w:r>
      <w:r w:rsidR="003B65CF" w:rsidRPr="003B65CF">
        <w:t xml:space="preserve"> </w:t>
      </w:r>
      <w:r>
        <w:t>the</w:t>
      </w:r>
      <w:r w:rsidR="003B65CF" w:rsidRPr="003B65CF">
        <w:t xml:space="preserve"> </w:t>
      </w:r>
      <w:r>
        <w:t>premises</w:t>
      </w:r>
      <w:r w:rsidR="003B65CF" w:rsidRPr="003B65CF">
        <w:t xml:space="preserve"> </w:t>
      </w:r>
      <w:r>
        <w:t>to</w:t>
      </w:r>
      <w:r w:rsidR="003B65CF" w:rsidRPr="003B65CF">
        <w:t xml:space="preserve"> </w:t>
      </w:r>
      <w:r>
        <w:t>the</w:t>
      </w:r>
      <w:r w:rsidR="003B65CF" w:rsidRPr="003B65CF">
        <w:t xml:space="preserve"> </w:t>
      </w:r>
      <w:r>
        <w:t>place</w:t>
      </w:r>
      <w:r w:rsidR="003B65CF" w:rsidRPr="003B65CF">
        <w:t xml:space="preserve"> </w:t>
      </w:r>
      <w:r>
        <w:t>at</w:t>
      </w:r>
      <w:r w:rsidR="003B65CF" w:rsidRPr="003B65CF">
        <w:t xml:space="preserve"> </w:t>
      </w:r>
      <w:r>
        <w:t>which</w:t>
      </w:r>
      <w:r w:rsidR="003B65CF" w:rsidRPr="003B65CF">
        <w:t xml:space="preserve"> </w:t>
      </w:r>
      <w:r>
        <w:t>it</w:t>
      </w:r>
      <w:r w:rsidR="003B65CF" w:rsidRPr="003B65CF">
        <w:t xml:space="preserve"> </w:t>
      </w:r>
      <w:r>
        <w:t>is</w:t>
      </w:r>
      <w:r w:rsidR="003B65CF" w:rsidRPr="003B65CF">
        <w:t xml:space="preserve"> </w:t>
      </w:r>
      <w:r>
        <w:t>stored</w:t>
      </w:r>
      <w:r w:rsidR="004F2532">
        <w:t>;</w:t>
      </w:r>
    </w:p>
    <w:p w:rsidR="003B65CF" w:rsidRDefault="00E87F33" w:rsidP="00E87F33">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storage</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for</w:t>
      </w:r>
      <w:r w:rsidR="003B65CF" w:rsidRPr="003B65CF">
        <w:t xml:space="preserve"> </w:t>
      </w:r>
      <w:r>
        <w:t>up</w:t>
      </w:r>
      <w:r w:rsidR="003B65CF" w:rsidRPr="003B65CF">
        <w:t xml:space="preserve"> </w:t>
      </w:r>
      <w:r>
        <w:t>to</w:t>
      </w:r>
      <w:r w:rsidR="003B65CF" w:rsidRPr="003B65CF">
        <w:t xml:space="preserve"> </w:t>
      </w:r>
      <w:r>
        <w:t>28</w:t>
      </w:r>
      <w:r w:rsidR="003B65CF" w:rsidRPr="003B65CF">
        <w:t xml:space="preserve"> </w:t>
      </w:r>
      <w:r>
        <w:t>days</w:t>
      </w:r>
      <w:r w:rsidR="004F2532">
        <w:t>;</w:t>
      </w:r>
    </w:p>
    <w:p w:rsidR="003B65CF" w:rsidRDefault="00E87F33" w:rsidP="00E87F33">
      <w:pPr>
        <w:pStyle w:val="N3"/>
      </w:pPr>
      <w:r>
        <w:t>any</w:t>
      </w:r>
      <w:r w:rsidR="003B65CF" w:rsidRPr="003B65CF">
        <w:t xml:space="preserve"> </w:t>
      </w:r>
      <w:r>
        <w:t>costs</w:t>
      </w:r>
      <w:r w:rsidR="003B65CF" w:rsidRPr="003B65CF">
        <w:t xml:space="preserve"> </w:t>
      </w:r>
      <w:r>
        <w:t>for</w:t>
      </w:r>
      <w:r w:rsidR="003B65CF" w:rsidRPr="003B65CF">
        <w:t xml:space="preserve"> </w:t>
      </w:r>
      <w:r>
        <w:t>the</w:t>
      </w:r>
      <w:r w:rsidR="003B65CF" w:rsidRPr="003B65CF">
        <w:t xml:space="preserve"> </w:t>
      </w:r>
      <w:r>
        <w:t>removal</w:t>
      </w:r>
      <w:r w:rsidR="003B65CF" w:rsidRPr="003B65CF">
        <w:t xml:space="preserve"> </w:t>
      </w:r>
      <w:r>
        <w:t>and</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if</w:t>
      </w:r>
      <w:r w:rsidR="003B65CF" w:rsidRPr="003B65CF">
        <w:t xml:space="preserve"> </w:t>
      </w:r>
      <w:r>
        <w:t>it</w:t>
      </w:r>
      <w:r w:rsidR="003B65CF" w:rsidRPr="003B65CF">
        <w:t xml:space="preserve"> </w:t>
      </w:r>
      <w:r>
        <w:t>is</w:t>
      </w:r>
      <w:r w:rsidR="003B65CF" w:rsidRPr="003B65CF">
        <w:t xml:space="preserve"> </w:t>
      </w:r>
      <w:r>
        <w:t>moved</w:t>
      </w:r>
      <w:r w:rsidR="003B65CF" w:rsidRPr="003B65CF">
        <w:t xml:space="preserve"> </w:t>
      </w:r>
      <w:r>
        <w:t>from</w:t>
      </w:r>
      <w:r w:rsidR="003B65CF" w:rsidRPr="003B65CF">
        <w:t xml:space="preserve"> </w:t>
      </w:r>
      <w:r>
        <w:t>one</w:t>
      </w:r>
      <w:r w:rsidR="003B65CF" w:rsidRPr="003B65CF">
        <w:t xml:space="preserve"> </w:t>
      </w:r>
      <w:r>
        <w:t>place</w:t>
      </w:r>
      <w:r w:rsidR="003B65CF" w:rsidRPr="003B65CF">
        <w:t xml:space="preserve"> </w:t>
      </w:r>
      <w:r>
        <w:t>of</w:t>
      </w:r>
      <w:r w:rsidR="003B65CF" w:rsidRPr="003B65CF">
        <w:t xml:space="preserve"> </w:t>
      </w:r>
      <w:r>
        <w:t>storage</w:t>
      </w:r>
      <w:r w:rsidR="003B65CF" w:rsidRPr="003B65CF">
        <w:t xml:space="preserve"> </w:t>
      </w:r>
      <w:r>
        <w:t>to</w:t>
      </w:r>
      <w:r w:rsidR="003B65CF" w:rsidRPr="003B65CF">
        <w:t xml:space="preserve"> </w:t>
      </w:r>
      <w:r>
        <w:t>another</w:t>
      </w:r>
      <w:r w:rsidR="003B65CF" w:rsidRPr="003B65CF">
        <w:t xml:space="preserve"> </w:t>
      </w:r>
      <w:r>
        <w:t>place</w:t>
      </w:r>
      <w:r w:rsidR="003B65CF" w:rsidRPr="003B65CF">
        <w:t xml:space="preserve"> </w:t>
      </w:r>
      <w:r>
        <w:t>of</w:t>
      </w:r>
      <w:r w:rsidR="003B65CF" w:rsidRPr="003B65CF">
        <w:t xml:space="preserve"> </w:t>
      </w:r>
      <w:r>
        <w:t>storage</w:t>
      </w:r>
      <w:r w:rsidR="004F2532">
        <w:t>;</w:t>
      </w:r>
    </w:p>
    <w:p w:rsidR="00E87F33" w:rsidRDefault="00E87F33" w:rsidP="00026368">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from</w:t>
      </w:r>
      <w:r w:rsidR="003B65CF" w:rsidRPr="003B65CF">
        <w:t xml:space="preserve"> </w:t>
      </w:r>
      <w:r>
        <w:t>the</w:t>
      </w:r>
      <w:r w:rsidR="003B65CF" w:rsidRPr="003B65CF">
        <w:t xml:space="preserve"> </w:t>
      </w:r>
      <w:r>
        <w:t>place</w:t>
      </w:r>
      <w:r w:rsidR="003B65CF" w:rsidRPr="003B65CF">
        <w:t xml:space="preserve"> </w:t>
      </w:r>
      <w:r>
        <w:t>of</w:t>
      </w:r>
      <w:r w:rsidR="003B65CF" w:rsidRPr="003B65CF">
        <w:t xml:space="preserve"> </w:t>
      </w:r>
      <w:r>
        <w:t>storage</w:t>
      </w:r>
      <w:r w:rsidR="003B65CF" w:rsidRPr="003B65CF">
        <w:t xml:space="preserve"> </w:t>
      </w:r>
      <w:r>
        <w:t>to</w:t>
      </w:r>
      <w:r w:rsidR="003B65CF" w:rsidRPr="003B65CF">
        <w:t xml:space="preserve"> </w:t>
      </w:r>
      <w:r>
        <w:t>the</w:t>
      </w:r>
      <w:r w:rsidR="003B65CF" w:rsidRPr="003B65CF">
        <w:t xml:space="preserve"> </w:t>
      </w:r>
      <w:r>
        <w:t>place</w:t>
      </w:r>
      <w:r w:rsidR="003B65CF" w:rsidRPr="003B65CF">
        <w:t xml:space="preserve"> </w:t>
      </w:r>
      <w:r>
        <w:t>of</w:t>
      </w:r>
      <w:r w:rsidR="003B65CF" w:rsidRPr="003B65CF">
        <w:t xml:space="preserve"> </w:t>
      </w:r>
      <w:r>
        <w:t>destruction</w:t>
      </w:r>
      <w:r w:rsidR="004F2532">
        <w:t>;</w:t>
      </w:r>
    </w:p>
    <w:p w:rsidR="00E87F33" w:rsidRDefault="00E87F33" w:rsidP="00026368">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the</w:t>
      </w:r>
      <w:r w:rsidR="003B65CF" w:rsidRPr="003B65CF">
        <w:t xml:space="preserve"> </w:t>
      </w:r>
      <w:r>
        <w:t>product.</w:t>
      </w:r>
    </w:p>
    <w:p w:rsidR="003B65CF" w:rsidRDefault="00E87F33" w:rsidP="00E87F33">
      <w:pPr>
        <w:pStyle w:val="N2"/>
      </w:pPr>
      <w:r>
        <w:t>If</w:t>
      </w:r>
      <w:r w:rsidR="003B65CF" w:rsidRPr="003B65CF">
        <w:t xml:space="preserve"> </w:t>
      </w:r>
      <w:r>
        <w:t>a</w:t>
      </w:r>
      <w:r w:rsidR="003B65CF" w:rsidRPr="003B65CF">
        <w:t xml:space="preserve"> </w:t>
      </w:r>
      <w:r>
        <w:t>notification</w:t>
      </w:r>
      <w:r w:rsidR="003B65CF" w:rsidRPr="003B65CF">
        <w:t xml:space="preserve"> </w:t>
      </w:r>
      <w:r>
        <w:t>of</w:t>
      </w:r>
      <w:r w:rsidR="003B65CF" w:rsidRPr="003B65CF">
        <w:t xml:space="preserve"> </w:t>
      </w:r>
      <w:r>
        <w:t>a</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in</w:t>
      </w:r>
      <w:r w:rsidR="003B65CF" w:rsidRPr="003B65CF">
        <w:t xml:space="preserve"> </w:t>
      </w:r>
      <w:r>
        <w:t>respect</w:t>
      </w:r>
      <w:r w:rsidR="003B65CF" w:rsidRPr="003B65CF">
        <w:t xml:space="preserve"> </w:t>
      </w:r>
      <w:r>
        <w:t>of</w:t>
      </w:r>
      <w:r w:rsidR="003B65CF" w:rsidRPr="003B65CF">
        <w:t xml:space="preserve"> </w:t>
      </w:r>
      <w:r>
        <w:t>an</w:t>
      </w:r>
      <w:r w:rsidR="003B65CF" w:rsidRPr="003B65CF">
        <w:t xml:space="preserve"> </w:t>
      </w:r>
      <w:r w:rsidR="00026368">
        <w:t>item</w:t>
      </w:r>
      <w:r w:rsidR="003B65CF" w:rsidRPr="003B65CF">
        <w:t xml:space="preserve"> </w:t>
      </w:r>
      <w:r w:rsidR="00026368">
        <w:t>seized</w:t>
      </w:r>
      <w:r w:rsidR="003B65CF" w:rsidRPr="003B65CF">
        <w:t xml:space="preserve"> </w:t>
      </w:r>
      <w:r w:rsidR="00026368">
        <w:t>under</w:t>
      </w:r>
      <w:r w:rsidR="003B65CF" w:rsidRPr="003B65CF">
        <w:t xml:space="preserve"> </w:t>
      </w:r>
      <w:r w:rsidR="00026368">
        <w:t>regulation</w:t>
      </w:r>
      <w:r w:rsidR="003B65CF" w:rsidRPr="003B65CF">
        <w:t xml:space="preserve"> </w:t>
      </w:r>
      <w:r w:rsidR="00026368">
        <w:t>9</w:t>
      </w:r>
      <w:r>
        <w:t>(5),</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must—</w:t>
      </w:r>
    </w:p>
    <w:p w:rsidR="00E87F33" w:rsidRDefault="00E87F33" w:rsidP="00026368">
      <w:pPr>
        <w:pStyle w:val="N3"/>
      </w:pPr>
      <w:r>
        <w:t>return</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rsidR="009D270F">
        <w:t>on</w:t>
      </w:r>
      <w:r w:rsidR="003B65CF" w:rsidRPr="003B65CF">
        <w:t xml:space="preserve"> </w:t>
      </w:r>
      <w:r w:rsidR="009D270F">
        <w:t>which</w:t>
      </w:r>
      <w:r w:rsidR="003B65CF" w:rsidRPr="003B65CF">
        <w:t xml:space="preserve"> </w:t>
      </w:r>
      <w:r w:rsidR="009D270F">
        <w:t>the</w:t>
      </w:r>
      <w:r w:rsidR="003B65CF" w:rsidRPr="003B65CF">
        <w:t xml:space="preserve"> </w:t>
      </w:r>
      <w:r w:rsidR="009D270F">
        <w:t>claim</w:t>
      </w:r>
      <w:r w:rsidR="003B65CF" w:rsidRPr="003B65CF">
        <w:t xml:space="preserve"> </w:t>
      </w:r>
      <w:r w:rsidR="009D270F">
        <w:t>is</w:t>
      </w:r>
      <w:r w:rsidR="003B65CF" w:rsidRPr="003B65CF">
        <w:t xml:space="preserve"> </w:t>
      </w:r>
      <w:r w:rsidR="009D270F">
        <w:t>received,</w:t>
      </w:r>
    </w:p>
    <w:p w:rsidR="00E87F33" w:rsidRDefault="00E87F33" w:rsidP="00026368">
      <w:pPr>
        <w:pStyle w:val="N3"/>
      </w:pPr>
      <w:r>
        <w:t>if</w:t>
      </w:r>
      <w:r w:rsidR="003B65CF" w:rsidRPr="003B65CF">
        <w:t xml:space="preserve"> </w:t>
      </w:r>
      <w:r>
        <w:t>a</w:t>
      </w:r>
      <w:r w:rsidR="003B65CF" w:rsidRPr="003B65CF">
        <w:t xml:space="preserve"> </w:t>
      </w:r>
      <w:r>
        <w:t>decision</w:t>
      </w:r>
      <w:r w:rsidR="003B65CF" w:rsidRPr="003B65CF">
        <w:t xml:space="preserve"> </w:t>
      </w:r>
      <w:r>
        <w:t>is</w:t>
      </w:r>
      <w:r w:rsidR="003B65CF" w:rsidRPr="003B65CF">
        <w:t xml:space="preserve"> </w:t>
      </w:r>
      <w:r>
        <w:t>taken</w:t>
      </w:r>
      <w:r w:rsidR="003B65CF" w:rsidRPr="003B65CF">
        <w:t xml:space="preserve"> </w:t>
      </w:r>
      <w:r>
        <w:t>by</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not</w:t>
      </w:r>
      <w:r w:rsidR="003B65CF" w:rsidRPr="003B65CF">
        <w:t xml:space="preserve"> </w:t>
      </w:r>
      <w:r>
        <w:t>to</w:t>
      </w:r>
      <w:r w:rsidR="003B65CF" w:rsidRPr="003B65CF">
        <w:t xml:space="preserve"> </w:t>
      </w:r>
      <w:r>
        <w:t>destroy</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but</w:t>
      </w:r>
      <w:r w:rsidR="003B65CF" w:rsidRPr="003B65CF">
        <w:t xml:space="preserve"> </w:t>
      </w:r>
      <w:r>
        <w:t>to</w:t>
      </w:r>
      <w:r w:rsidR="003B65CF" w:rsidRPr="003B65CF">
        <w:t xml:space="preserve"> </w:t>
      </w:r>
      <w:r>
        <w:t>retain</w:t>
      </w:r>
      <w:r w:rsidR="003B65CF" w:rsidRPr="003B65CF">
        <w:t xml:space="preserve"> </w:t>
      </w:r>
      <w:r>
        <w:t>it</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criminal</w:t>
      </w:r>
      <w:r w:rsidR="003B65CF" w:rsidRPr="003B65CF">
        <w:t xml:space="preserve"> </w:t>
      </w:r>
      <w:r>
        <w:t>investigation</w:t>
      </w:r>
      <w:r w:rsidR="003B65CF" w:rsidRPr="003B65CF">
        <w:t xml:space="preserve"> </w:t>
      </w:r>
      <w:r>
        <w:t>or</w:t>
      </w:r>
      <w:r w:rsidR="003B65CF" w:rsidRPr="003B65CF">
        <w:t xml:space="preserve"> </w:t>
      </w:r>
      <w:r>
        <w:t>proceedings</w:t>
      </w:r>
      <w:r w:rsidR="003B65CF" w:rsidRPr="003B65CF">
        <w:t xml:space="preserve"> </w:t>
      </w:r>
      <w:r>
        <w:t>or</w:t>
      </w:r>
      <w:r w:rsidR="003B65CF" w:rsidRPr="003B65CF">
        <w:t xml:space="preserve"> </w:t>
      </w:r>
      <w:r>
        <w:t>for</w:t>
      </w:r>
      <w:r w:rsidR="003B65CF" w:rsidRPr="003B65CF">
        <w:t xml:space="preserve"> </w:t>
      </w:r>
      <w:r>
        <w:t>use</w:t>
      </w:r>
      <w:r w:rsidR="003B65CF" w:rsidRPr="003B65CF">
        <w:t xml:space="preserve"> </w:t>
      </w:r>
      <w:r>
        <w:t>as</w:t>
      </w:r>
      <w:r w:rsidR="003B65CF" w:rsidRPr="003B65CF">
        <w:t xml:space="preserve"> </w:t>
      </w:r>
      <w:r>
        <w:t>evidence</w:t>
      </w:r>
      <w:r w:rsidR="003B65CF" w:rsidRPr="003B65CF">
        <w:t xml:space="preserve"> </w:t>
      </w:r>
      <w:r>
        <w:t>at</w:t>
      </w:r>
      <w:r w:rsidR="003B65CF" w:rsidRPr="003B65CF">
        <w:t xml:space="preserve"> </w:t>
      </w:r>
      <w:r>
        <w:t>a</w:t>
      </w:r>
      <w:r w:rsidR="003B65CF" w:rsidRPr="003B65CF">
        <w:t xml:space="preserve"> </w:t>
      </w:r>
      <w:r>
        <w:t>trial,</w:t>
      </w:r>
      <w:r w:rsidR="003B65CF" w:rsidRPr="003B65CF">
        <w:t xml:space="preserve"> </w:t>
      </w:r>
      <w:r>
        <w:t>retain</w:t>
      </w:r>
      <w:r w:rsidR="003B65CF" w:rsidRPr="003B65CF">
        <w:t xml:space="preserve"> </w:t>
      </w:r>
      <w:r>
        <w:t>the</w:t>
      </w:r>
      <w:r w:rsidR="003B65CF" w:rsidRPr="003B65CF">
        <w:t xml:space="preserve"> </w:t>
      </w:r>
      <w:r>
        <w:t>product</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necessary</w:t>
      </w:r>
      <w:r w:rsidR="003B65CF" w:rsidRPr="003B65CF">
        <w:t xml:space="preserve"> </w:t>
      </w:r>
      <w:r>
        <w:t>for</w:t>
      </w:r>
      <w:r w:rsidR="003B65CF" w:rsidRPr="003B65CF">
        <w:t xml:space="preserve"> </w:t>
      </w:r>
      <w:r>
        <w:t>one</w:t>
      </w:r>
      <w:r w:rsidR="003B65CF" w:rsidRPr="003B65CF">
        <w:t xml:space="preserve"> </w:t>
      </w:r>
      <w:r>
        <w:t>of</w:t>
      </w:r>
      <w:r w:rsidR="003B65CF" w:rsidRPr="003B65CF">
        <w:t xml:space="preserve"> </w:t>
      </w:r>
      <w:r>
        <w:t>those</w:t>
      </w:r>
      <w:r w:rsidR="003B65CF" w:rsidRPr="003B65CF">
        <w:t xml:space="preserve"> </w:t>
      </w:r>
      <w:r>
        <w:t>purposes</w:t>
      </w:r>
      <w:r w:rsidR="003B65CF" w:rsidRPr="003B65CF">
        <w:t xml:space="preserve"> </w:t>
      </w:r>
      <w:r>
        <w:t>but</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must</w:t>
      </w:r>
      <w:r w:rsidR="003B65CF" w:rsidRPr="003B65CF">
        <w:t xml:space="preserve"> </w:t>
      </w:r>
      <w:r>
        <w:t>notify</w:t>
      </w:r>
      <w:r w:rsidR="003B65CF" w:rsidRPr="003B65CF">
        <w:t xml:space="preserve"> </w:t>
      </w:r>
      <w:r>
        <w:t>the</w:t>
      </w:r>
      <w:r w:rsidR="003B65CF" w:rsidRPr="003B65CF">
        <w:t xml:space="preserve"> </w:t>
      </w:r>
      <w:r>
        <w:t>claimant</w:t>
      </w:r>
      <w:r w:rsidR="003B65CF" w:rsidRPr="003B65CF">
        <w:t xml:space="preserve"> </w:t>
      </w:r>
      <w:r>
        <w:t>that</w:t>
      </w:r>
      <w:r w:rsidR="003B65CF" w:rsidRPr="003B65CF">
        <w:t xml:space="preserve"> </w:t>
      </w:r>
      <w:r>
        <w:t>the</w:t>
      </w:r>
      <w:r w:rsidR="003B65CF" w:rsidRPr="003B65CF">
        <w:t xml:space="preserve"> </w:t>
      </w:r>
      <w:r>
        <w:t>seized</w:t>
      </w:r>
      <w:r w:rsidR="003B65CF" w:rsidRPr="003B65CF">
        <w:t xml:space="preserve"> </w:t>
      </w:r>
      <w:r>
        <w:t>product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and</w:t>
      </w:r>
      <w:r w:rsidR="003B65CF" w:rsidRPr="003B65CF">
        <w:t xml:space="preserve"> </w:t>
      </w:r>
      <w:r>
        <w:t>of</w:t>
      </w:r>
      <w:r w:rsidR="003B65CF" w:rsidRPr="003B65CF">
        <w:t xml:space="preserve"> </w:t>
      </w:r>
      <w:r>
        <w:t>the</w:t>
      </w:r>
      <w:r w:rsidR="003B65CF" w:rsidRPr="003B65CF">
        <w:t xml:space="preserve"> </w:t>
      </w:r>
      <w:r>
        <w:t>reason</w:t>
      </w:r>
      <w:r w:rsidR="003B65CF" w:rsidRPr="003B65CF">
        <w:t xml:space="preserve"> </w:t>
      </w:r>
      <w:r>
        <w:t>why</w:t>
      </w:r>
      <w:r w:rsidR="003B65CF" w:rsidRPr="003B65CF">
        <w:t xml:space="preserve"> </w:t>
      </w:r>
      <w:r>
        <w:t>it</w:t>
      </w:r>
      <w:r w:rsidR="003B65CF" w:rsidRPr="003B65CF">
        <w:t xml:space="preserve"> </w:t>
      </w:r>
      <w:r>
        <w:t>is</w:t>
      </w:r>
      <w:r w:rsidR="003B65CF" w:rsidRPr="003B65CF">
        <w:t xml:space="preserve"> </w:t>
      </w:r>
      <w:r>
        <w:t>being</w:t>
      </w:r>
      <w:r w:rsidR="003B65CF" w:rsidRPr="003B65CF">
        <w:t xml:space="preserve"> </w:t>
      </w:r>
      <w:r>
        <w:t>retained,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rsidR="009D270F">
        <w:t>on</w:t>
      </w:r>
      <w:r w:rsidR="003B65CF" w:rsidRPr="003B65CF">
        <w:t xml:space="preserve"> </w:t>
      </w:r>
      <w:r w:rsidR="009D270F">
        <w:t>which</w:t>
      </w:r>
      <w:r w:rsidR="003B65CF" w:rsidRPr="003B65CF">
        <w:t xml:space="preserve"> </w:t>
      </w:r>
      <w:r w:rsidR="009D270F">
        <w:t>the</w:t>
      </w:r>
      <w:r w:rsidR="003B65CF" w:rsidRPr="003B65CF">
        <w:t xml:space="preserve"> </w:t>
      </w:r>
      <w:r w:rsidR="009D270F">
        <w:t>claim</w:t>
      </w:r>
      <w:r w:rsidR="003B65CF" w:rsidRPr="003B65CF">
        <w:t xml:space="preserve"> </w:t>
      </w:r>
      <w:r w:rsidR="009D270F">
        <w:t>is</w:t>
      </w:r>
      <w:r w:rsidR="003B65CF" w:rsidRPr="003B65CF">
        <w:t xml:space="preserve"> </w:t>
      </w:r>
      <w:r w:rsidR="009D270F">
        <w:t>received,</w:t>
      </w:r>
      <w:r w:rsidR="003B65CF" w:rsidRPr="003B65CF">
        <w:t xml:space="preserve"> </w:t>
      </w:r>
      <w:r>
        <w:t>or</w:t>
      </w:r>
    </w:p>
    <w:p w:rsidR="00E87F33" w:rsidRDefault="00E87F33" w:rsidP="00026368">
      <w:pPr>
        <w:pStyle w:val="N3"/>
      </w:pPr>
      <w:r>
        <w:t>within</w:t>
      </w:r>
      <w:r w:rsidR="003B65CF" w:rsidRPr="003B65CF">
        <w:t xml:space="preserve"> </w:t>
      </w:r>
      <w:r>
        <w:t>28</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take</w:t>
      </w:r>
      <w:r w:rsidR="003B65CF" w:rsidRPr="003B65CF">
        <w:t xml:space="preserve"> </w:t>
      </w:r>
      <w:r>
        <w:t>proceedings</w:t>
      </w:r>
      <w:r w:rsidR="003B65CF" w:rsidRPr="003B65CF">
        <w:t xml:space="preserve"> </w:t>
      </w:r>
      <w:r>
        <w:t>(“paragraph</w:t>
      </w:r>
      <w:r w:rsidR="003B65CF" w:rsidRPr="003B65CF">
        <w:t xml:space="preserve"> </w:t>
      </w:r>
      <w:r>
        <w:t>(11)(c)</w:t>
      </w:r>
      <w:r w:rsidR="003B65CF" w:rsidRPr="003B65CF">
        <w:t xml:space="preserve"> </w:t>
      </w:r>
      <w:r>
        <w:t>proceedings”)</w:t>
      </w:r>
      <w:r w:rsidR="003B65CF" w:rsidRPr="003B65CF">
        <w:t xml:space="preserve"> </w:t>
      </w:r>
      <w:r>
        <w:t>in</w:t>
      </w:r>
      <w:r w:rsidR="003B65CF" w:rsidRPr="003B65CF">
        <w:t xml:space="preserve"> </w:t>
      </w:r>
      <w:r>
        <w:t>a</w:t>
      </w:r>
      <w:r w:rsidR="003B65CF" w:rsidRPr="003B65CF">
        <w:t xml:space="preserve"> </w:t>
      </w:r>
      <w:r w:rsidR="00C519E3">
        <w:t>magistrates’</w:t>
      </w:r>
      <w:r w:rsidR="003B65CF" w:rsidRPr="003B65CF">
        <w:t xml:space="preserve"> </w:t>
      </w:r>
      <w:r>
        <w:t>court</w:t>
      </w:r>
      <w:r w:rsidR="003B65CF" w:rsidRPr="003B65CF">
        <w:t xml:space="preserve"> </w:t>
      </w:r>
      <w:r>
        <w:t>for</w:t>
      </w:r>
      <w:r w:rsidR="003B65CF" w:rsidRPr="003B65CF">
        <w:t xml:space="preserve"> </w:t>
      </w:r>
      <w:r>
        <w:t>an</w:t>
      </w:r>
      <w:r w:rsidR="003B65CF" w:rsidRPr="003B65CF">
        <w:t xml:space="preserve"> </w:t>
      </w:r>
      <w:r>
        <w:t>order</w:t>
      </w:r>
      <w:r w:rsidR="003B65CF" w:rsidRPr="003B65CF">
        <w:t xml:space="preserve"> </w:t>
      </w:r>
      <w:r>
        <w:t>giving</w:t>
      </w:r>
      <w:r w:rsidR="003B65CF" w:rsidRPr="003B65CF">
        <w:t xml:space="preserve"> </w:t>
      </w:r>
      <w:r>
        <w:t>them</w:t>
      </w:r>
      <w:r w:rsidR="003B65CF" w:rsidRPr="003B65CF">
        <w:t xml:space="preserve"> </w:t>
      </w:r>
      <w:r>
        <w:t>authority</w:t>
      </w:r>
      <w:r w:rsidR="003B65CF" w:rsidRPr="003B65CF">
        <w:t xml:space="preserve"> </w:t>
      </w:r>
      <w:r>
        <w:t>to</w:t>
      </w:r>
      <w:r w:rsidR="003B65CF" w:rsidRPr="003B65CF">
        <w:t xml:space="preserve"> </w:t>
      </w:r>
      <w:r>
        <w:t>destroy</w:t>
      </w:r>
      <w:r w:rsidR="003B65CF" w:rsidRPr="003B65CF">
        <w:t xml:space="preserve"> </w:t>
      </w:r>
      <w:r>
        <w:t>the</w:t>
      </w:r>
      <w:r w:rsidR="003B65CF" w:rsidRPr="003B65CF">
        <w:t xml:space="preserve"> </w:t>
      </w:r>
      <w:r>
        <w:t>product.</w:t>
      </w:r>
    </w:p>
    <w:p w:rsidR="003B65CF" w:rsidRDefault="0058710E" w:rsidP="00E87F33">
      <w:pPr>
        <w:pStyle w:val="N2"/>
      </w:pPr>
      <w:r>
        <w:t>In</w:t>
      </w:r>
      <w:r w:rsidR="003B65CF" w:rsidRPr="003B65CF">
        <w:t xml:space="preserve"> </w:t>
      </w:r>
      <w:r>
        <w:t>paragraph</w:t>
      </w:r>
      <w:r w:rsidR="003B65CF" w:rsidRPr="003B65CF">
        <w:t xml:space="preserve"> </w:t>
      </w:r>
      <w:r>
        <w:t>(11</w:t>
      </w:r>
      <w:r w:rsidR="00E87F33">
        <w:t>)(c)</w:t>
      </w:r>
      <w:r w:rsidR="003B65CF" w:rsidRPr="003B65CF">
        <w:t xml:space="preserve"> </w:t>
      </w:r>
      <w:r w:rsidR="00E87F33">
        <w:t>proceedings</w:t>
      </w:r>
      <w:r w:rsidR="003B65CF" w:rsidRPr="003B65CF">
        <w:t xml:space="preserve"> </w:t>
      </w:r>
      <w:r w:rsidR="00E87F33">
        <w:t>the</w:t>
      </w:r>
      <w:r w:rsidR="003B65CF" w:rsidRPr="003B65CF">
        <w:t xml:space="preserve"> </w:t>
      </w:r>
      <w:r w:rsidR="00C519E3">
        <w:t>magistrates’</w:t>
      </w:r>
      <w:r w:rsidR="003B65CF" w:rsidRPr="003B65CF">
        <w:t xml:space="preserve"> </w:t>
      </w:r>
      <w:r w:rsidR="00E87F33">
        <w:t>court</w:t>
      </w:r>
      <w:r w:rsidR="003B65CF">
        <w:t xml:space="preserve"> </w:t>
      </w:r>
      <w:r w:rsidR="00E87F33">
        <w:t>may—</w:t>
      </w:r>
    </w:p>
    <w:p w:rsidR="00E87F33" w:rsidRDefault="00E87F33" w:rsidP="00026368">
      <w:pPr>
        <w:pStyle w:val="N3"/>
      </w:pPr>
      <w:r>
        <w:t>authorise</w:t>
      </w:r>
      <w:r w:rsidR="003B65CF" w:rsidRPr="003B65CF">
        <w:t xml:space="preserve"> </w:t>
      </w:r>
      <w:r>
        <w:t>the</w:t>
      </w:r>
      <w:r w:rsidR="003B65CF" w:rsidRPr="003B65CF">
        <w:t xml:space="preserve"> </w:t>
      </w:r>
      <w:r>
        <w:t>enforcement</w:t>
      </w:r>
      <w:r w:rsidR="003B65CF" w:rsidRPr="003B65CF">
        <w:t xml:space="preserve"> </w:t>
      </w:r>
      <w:r>
        <w:t>authorit</w:t>
      </w:r>
      <w:r w:rsidR="009D270F">
        <w:t>y</w:t>
      </w:r>
      <w:r w:rsidR="003B65CF" w:rsidRPr="003B65CF">
        <w:t xml:space="preserve"> </w:t>
      </w:r>
      <w:r w:rsidR="009D270F">
        <w:t>to</w:t>
      </w:r>
      <w:r w:rsidR="003B65CF" w:rsidRPr="003B65CF">
        <w:t xml:space="preserve"> </w:t>
      </w:r>
      <w:r w:rsidR="009D270F">
        <w:t>destroy</w:t>
      </w:r>
      <w:r w:rsidR="003B65CF" w:rsidRPr="003B65CF">
        <w:t xml:space="preserve"> </w:t>
      </w:r>
      <w:r w:rsidR="009D270F">
        <w:t>the</w:t>
      </w:r>
      <w:r w:rsidR="003B65CF" w:rsidRPr="003B65CF">
        <w:t xml:space="preserve"> </w:t>
      </w:r>
      <w:r w:rsidR="009D270F">
        <w:t>seized</w:t>
      </w:r>
      <w:r w:rsidR="003B65CF" w:rsidRPr="003B65CF">
        <w:t xml:space="preserve"> </w:t>
      </w:r>
      <w:r w:rsidR="009D270F">
        <w:t>product,</w:t>
      </w:r>
    </w:p>
    <w:p w:rsidR="00E87F33" w:rsidRDefault="00E87F33" w:rsidP="00026368">
      <w:pPr>
        <w:pStyle w:val="N3"/>
      </w:pPr>
      <w:r>
        <w:t>authorise</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to</w:t>
      </w:r>
      <w:r w:rsidR="003B65CF" w:rsidRPr="003B65CF">
        <w:t xml:space="preserve"> </w:t>
      </w:r>
      <w:r>
        <w:t>retain</w:t>
      </w:r>
      <w:r w:rsidR="003B65CF" w:rsidRPr="003B65CF">
        <w:t xml:space="preserve"> </w:t>
      </w:r>
      <w:r>
        <w:t>the</w:t>
      </w:r>
      <w:r w:rsidR="003B65CF" w:rsidRPr="003B65CF">
        <w:t xml:space="preserve"> </w:t>
      </w:r>
      <w:r>
        <w:t>product</w:t>
      </w:r>
      <w:r w:rsidR="003B65CF" w:rsidRPr="003B65CF">
        <w:t xml:space="preserve"> </w:t>
      </w:r>
      <w:r>
        <w:t>for</w:t>
      </w:r>
      <w:r w:rsidR="003B65CF" w:rsidRPr="003B65CF">
        <w:t xml:space="preserve"> </w:t>
      </w:r>
      <w:r>
        <w:t>the</w:t>
      </w:r>
      <w:r w:rsidR="003B65CF" w:rsidRPr="003B65CF">
        <w:t xml:space="preserve"> </w:t>
      </w:r>
      <w:r>
        <w:t>purpose</w:t>
      </w:r>
      <w:r w:rsidR="003B65CF" w:rsidRPr="003B65CF">
        <w:t xml:space="preserve"> </w:t>
      </w:r>
      <w:r>
        <w:t>of</w:t>
      </w:r>
      <w:r w:rsidR="003B65CF" w:rsidRPr="003B65CF">
        <w:t xml:space="preserve"> </w:t>
      </w:r>
      <w:r>
        <w:t>any</w:t>
      </w:r>
      <w:r w:rsidR="003B65CF" w:rsidRPr="003B65CF">
        <w:t xml:space="preserve"> </w:t>
      </w:r>
      <w:r>
        <w:t>criminal</w:t>
      </w:r>
      <w:r w:rsidR="003B65CF" w:rsidRPr="003B65CF">
        <w:t xml:space="preserve"> </w:t>
      </w:r>
      <w:r>
        <w:t>investigation</w:t>
      </w:r>
      <w:r w:rsidR="003B65CF" w:rsidRPr="003B65CF">
        <w:t xml:space="preserve"> </w:t>
      </w:r>
      <w:r>
        <w:t>or</w:t>
      </w:r>
      <w:r w:rsidR="003B65CF" w:rsidRPr="003B65CF">
        <w:t xml:space="preserve"> </w:t>
      </w:r>
      <w:r>
        <w:t>proceedings,</w:t>
      </w:r>
      <w:r w:rsidR="003B65CF" w:rsidRPr="003B65CF">
        <w:t xml:space="preserve"> </w:t>
      </w:r>
      <w:r>
        <w:t>or</w:t>
      </w:r>
      <w:r w:rsidR="003B65CF" w:rsidRPr="003B65CF">
        <w:t xml:space="preserve"> </w:t>
      </w:r>
      <w:r>
        <w:t>for</w:t>
      </w:r>
      <w:r w:rsidR="003B65CF" w:rsidRPr="003B65CF">
        <w:t xml:space="preserve"> </w:t>
      </w:r>
      <w:r>
        <w:t>use</w:t>
      </w:r>
      <w:r w:rsidR="003B65CF" w:rsidRPr="003B65CF">
        <w:t xml:space="preserve"> </w:t>
      </w:r>
      <w:r>
        <w:t>as</w:t>
      </w:r>
      <w:r w:rsidR="003B65CF" w:rsidRPr="003B65CF">
        <w:t xml:space="preserve"> </w:t>
      </w:r>
      <w:r>
        <w:t>evidence</w:t>
      </w:r>
      <w:r w:rsidR="003B65CF" w:rsidRPr="003B65CF">
        <w:t xml:space="preserve"> </w:t>
      </w:r>
      <w:r>
        <w:t>at</w:t>
      </w:r>
      <w:r w:rsidR="003B65CF" w:rsidRPr="003B65CF">
        <w:t xml:space="preserve"> </w:t>
      </w:r>
      <w:r>
        <w:t>a</w:t>
      </w:r>
      <w:r w:rsidR="003B65CF" w:rsidRPr="003B65CF">
        <w:t xml:space="preserve"> </w:t>
      </w:r>
      <w:r>
        <w:t>trial,</w:t>
      </w:r>
      <w:r w:rsidR="003B65CF" w:rsidRPr="003B65CF">
        <w:t xml:space="preserve"> </w:t>
      </w:r>
      <w:r>
        <w:t>for</w:t>
      </w:r>
      <w:r w:rsidR="003B65CF" w:rsidRPr="003B65CF">
        <w:t xml:space="preserve"> </w:t>
      </w:r>
      <w:r>
        <w:t>as</w:t>
      </w:r>
      <w:r w:rsidR="003B65CF" w:rsidRPr="003B65CF">
        <w:t xml:space="preserve"> </w:t>
      </w:r>
      <w:r>
        <w:t>long</w:t>
      </w:r>
      <w:r w:rsidR="003B65CF" w:rsidRPr="003B65CF">
        <w:t xml:space="preserve"> </w:t>
      </w:r>
      <w:r>
        <w:t>as</w:t>
      </w:r>
      <w:r w:rsidR="003B65CF" w:rsidRPr="003B65CF">
        <w:t xml:space="preserve"> </w:t>
      </w:r>
      <w:r>
        <w:t>nece</w:t>
      </w:r>
      <w:r w:rsidR="009D270F">
        <w:t>ssary</w:t>
      </w:r>
      <w:r w:rsidR="003B65CF" w:rsidRPr="003B65CF">
        <w:t xml:space="preserve"> </w:t>
      </w:r>
      <w:r w:rsidR="009D270F">
        <w:t>for</w:t>
      </w:r>
      <w:r w:rsidR="003B65CF" w:rsidRPr="003B65CF">
        <w:t xml:space="preserve"> </w:t>
      </w:r>
      <w:r w:rsidR="009D270F">
        <w:t>one</w:t>
      </w:r>
      <w:r w:rsidR="003B65CF" w:rsidRPr="003B65CF">
        <w:t xml:space="preserve"> </w:t>
      </w:r>
      <w:r w:rsidR="009D270F">
        <w:t>of</w:t>
      </w:r>
      <w:r w:rsidR="003B65CF" w:rsidRPr="003B65CF">
        <w:t xml:space="preserve"> </w:t>
      </w:r>
      <w:r w:rsidR="009D270F">
        <w:t>those</w:t>
      </w:r>
      <w:r w:rsidR="003B65CF" w:rsidRPr="003B65CF">
        <w:t xml:space="preserve"> </w:t>
      </w:r>
      <w:r w:rsidR="009D270F">
        <w:t>purposes,</w:t>
      </w:r>
      <w:r w:rsidR="003B65CF" w:rsidRPr="003B65CF">
        <w:t xml:space="preserve"> </w:t>
      </w:r>
      <w:r>
        <w:t>or</w:t>
      </w:r>
    </w:p>
    <w:p w:rsidR="00E87F33" w:rsidRDefault="00E87F33" w:rsidP="00026368">
      <w:pPr>
        <w:pStyle w:val="N3"/>
      </w:pPr>
      <w:r>
        <w:t>require</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to</w:t>
      </w:r>
      <w:r w:rsidR="003B65CF" w:rsidRPr="003B65CF">
        <w:t xml:space="preserve"> </w:t>
      </w:r>
      <w:r>
        <w:t>return</w:t>
      </w:r>
      <w:r w:rsidR="003B65CF" w:rsidRPr="003B65CF">
        <w:t xml:space="preserve"> </w:t>
      </w:r>
      <w:r>
        <w:t>the</w:t>
      </w:r>
      <w:r w:rsidR="003B65CF" w:rsidRPr="003B65CF">
        <w:t xml:space="preserve"> </w:t>
      </w:r>
      <w:r>
        <w:t>product</w:t>
      </w:r>
      <w:r w:rsidR="003B65CF" w:rsidRPr="003B65CF">
        <w:t xml:space="preserve"> </w:t>
      </w:r>
      <w:r>
        <w:t>to</w:t>
      </w:r>
      <w:r w:rsidR="003B65CF" w:rsidRPr="003B65CF">
        <w:t xml:space="preserve"> </w:t>
      </w:r>
      <w:r>
        <w:t>the</w:t>
      </w:r>
      <w:r w:rsidR="003B65CF" w:rsidRPr="003B65CF">
        <w:t xml:space="preserve"> </w:t>
      </w:r>
      <w:r>
        <w:t>claimant</w:t>
      </w:r>
      <w:r w:rsidR="003B65CF" w:rsidRPr="003B65CF">
        <w:t xml:space="preserve"> </w:t>
      </w:r>
      <w:r>
        <w:t>and</w:t>
      </w:r>
      <w:r w:rsidR="003B65CF" w:rsidRPr="003B65CF">
        <w:t xml:space="preserve"> </w:t>
      </w:r>
      <w:r>
        <w:t>impose</w:t>
      </w:r>
      <w:r w:rsidR="003B65CF" w:rsidRPr="003B65CF">
        <w:t xml:space="preserve"> </w:t>
      </w:r>
      <w:r>
        <w:t>a</w:t>
      </w:r>
      <w:r w:rsidR="003B65CF" w:rsidRPr="003B65CF">
        <w:t xml:space="preserve"> </w:t>
      </w:r>
      <w:r>
        <w:t>deadline</w:t>
      </w:r>
      <w:r w:rsidR="003B65CF" w:rsidRPr="003B65CF">
        <w:t xml:space="preserve"> </w:t>
      </w:r>
      <w:r>
        <w:t>by</w:t>
      </w:r>
      <w:r w:rsidR="003B65CF" w:rsidRPr="003B65CF">
        <w:t xml:space="preserve"> </w:t>
      </w:r>
      <w:r>
        <w:t>which</w:t>
      </w:r>
      <w:r w:rsidR="003B65CF" w:rsidRPr="003B65CF">
        <w:t xml:space="preserve"> </w:t>
      </w:r>
      <w:r>
        <w:t>this</w:t>
      </w:r>
      <w:r w:rsidR="003B65CF" w:rsidRPr="003B65CF">
        <w:t xml:space="preserve"> </w:t>
      </w:r>
      <w:r>
        <w:t>must</w:t>
      </w:r>
      <w:r w:rsidR="003B65CF" w:rsidRPr="003B65CF">
        <w:t xml:space="preserve"> </w:t>
      </w:r>
      <w:r>
        <w:t>be</w:t>
      </w:r>
      <w:r w:rsidR="003B65CF" w:rsidRPr="003B65CF">
        <w:t xml:space="preserve"> </w:t>
      </w:r>
      <w:r>
        <w:t>done.</w:t>
      </w:r>
    </w:p>
    <w:p w:rsidR="003B65CF" w:rsidRDefault="0058710E" w:rsidP="00E87F33">
      <w:pPr>
        <w:pStyle w:val="N2"/>
      </w:pPr>
      <w:r>
        <w:t>If,</w:t>
      </w:r>
      <w:r w:rsidR="003B65CF" w:rsidRPr="003B65CF">
        <w:t xml:space="preserve"> </w:t>
      </w:r>
      <w:r>
        <w:t>in</w:t>
      </w:r>
      <w:r w:rsidR="003B65CF" w:rsidRPr="003B65CF">
        <w:t xml:space="preserve"> </w:t>
      </w:r>
      <w:r>
        <w:t>paragraph</w:t>
      </w:r>
      <w:r w:rsidR="003B65CF" w:rsidRPr="003B65CF">
        <w:t xml:space="preserve"> </w:t>
      </w:r>
      <w:r>
        <w:t>(11</w:t>
      </w:r>
      <w:r w:rsidR="00E87F33">
        <w:t>)(c)</w:t>
      </w:r>
      <w:r w:rsidR="003B65CF" w:rsidRPr="003B65CF">
        <w:t xml:space="preserve"> </w:t>
      </w:r>
      <w:r w:rsidR="00E87F33">
        <w:t>pro</w:t>
      </w:r>
      <w:r w:rsidR="00744465">
        <w:t>ceedings,</w:t>
      </w:r>
      <w:r w:rsidR="003B65CF" w:rsidRPr="003B65CF">
        <w:t xml:space="preserve"> </w:t>
      </w:r>
      <w:r w:rsidR="00744465">
        <w:t>the</w:t>
      </w:r>
      <w:r w:rsidR="003B65CF" w:rsidRPr="003B65CF">
        <w:t xml:space="preserve"> </w:t>
      </w:r>
      <w:r w:rsidR="00C519E3">
        <w:t>magistrates’</w:t>
      </w:r>
      <w:r w:rsidR="003B65CF" w:rsidRPr="003B65CF">
        <w:t xml:space="preserve"> </w:t>
      </w:r>
      <w:r w:rsidR="00744465">
        <w:t>court</w:t>
      </w:r>
      <w:r w:rsidR="003B65CF" w:rsidRPr="003B65CF">
        <w:t xml:space="preserve"> </w:t>
      </w:r>
      <w:r w:rsidR="00E87F33">
        <w:t>authorises</w:t>
      </w:r>
      <w:r w:rsidR="003B65CF" w:rsidRPr="003B65CF">
        <w:t xml:space="preserve"> </w:t>
      </w:r>
      <w:r w:rsidR="00E87F33">
        <w:t>the</w:t>
      </w:r>
      <w:r w:rsidR="003B65CF" w:rsidRPr="003B65CF">
        <w:t xml:space="preserve"> </w:t>
      </w:r>
      <w:r w:rsidR="00E87F33">
        <w:t>enforcement</w:t>
      </w:r>
      <w:r w:rsidR="003B65CF" w:rsidRPr="003B65CF">
        <w:t xml:space="preserve"> </w:t>
      </w:r>
      <w:r w:rsidR="00E87F33">
        <w:t>authority</w:t>
      </w:r>
      <w:r w:rsidR="003B65CF" w:rsidRPr="003B65CF">
        <w:t xml:space="preserve"> </w:t>
      </w:r>
      <w:r w:rsidR="00E87F33">
        <w:t>to</w:t>
      </w:r>
      <w:r w:rsidR="003B65CF" w:rsidRPr="003B65CF">
        <w:t xml:space="preserve"> </w:t>
      </w:r>
      <w:r w:rsidR="00E87F33">
        <w:t>destroy</w:t>
      </w:r>
      <w:r w:rsidR="003B65CF" w:rsidRPr="003B65CF">
        <w:t xml:space="preserve"> </w:t>
      </w:r>
      <w:r w:rsidR="00E87F33">
        <w:t>the</w:t>
      </w:r>
      <w:r w:rsidR="003B65CF" w:rsidRPr="003B65CF">
        <w:t xml:space="preserve"> </w:t>
      </w:r>
      <w:r w:rsidR="00E87F33">
        <w:t>seized</w:t>
      </w:r>
      <w:r w:rsidR="003B65CF" w:rsidRPr="003B65CF">
        <w:t xml:space="preserve"> </w:t>
      </w:r>
      <w:r w:rsidR="00E87F33">
        <w:t>product,</w:t>
      </w:r>
      <w:r w:rsidR="003B65CF" w:rsidRPr="003B65CF">
        <w:t xml:space="preserve"> </w:t>
      </w:r>
      <w:r w:rsidR="00E87F33">
        <w:t>it</w:t>
      </w:r>
      <w:r w:rsidR="003B65CF" w:rsidRPr="003B65CF">
        <w:t xml:space="preserve"> </w:t>
      </w:r>
      <w:r w:rsidR="00E87F33">
        <w:t>may</w:t>
      </w:r>
      <w:r w:rsidR="003B65CF" w:rsidRPr="003B65CF">
        <w:t xml:space="preserve"> </w:t>
      </w:r>
      <w:r w:rsidR="00E87F33">
        <w:t>also</w:t>
      </w:r>
      <w:r w:rsidR="003B65CF" w:rsidRPr="003B65CF">
        <w:t xml:space="preserve"> </w:t>
      </w:r>
      <w:r w:rsidR="00E87F33">
        <w:t>make</w:t>
      </w:r>
      <w:r w:rsidR="003B65CF" w:rsidRPr="003B65CF">
        <w:t xml:space="preserve"> </w:t>
      </w:r>
      <w:r w:rsidR="00E87F33">
        <w:t>an</w:t>
      </w:r>
      <w:r w:rsidR="003B65CF" w:rsidRPr="003B65CF">
        <w:t xml:space="preserve"> </w:t>
      </w:r>
      <w:r w:rsidR="00E87F33">
        <w:t>order</w:t>
      </w:r>
      <w:r w:rsidR="003B65CF" w:rsidRPr="003B65CF">
        <w:t xml:space="preserve"> </w:t>
      </w:r>
      <w:r w:rsidR="00E87F33">
        <w:t>requiring</w:t>
      </w:r>
      <w:r w:rsidR="003B65CF" w:rsidRPr="003B65CF">
        <w:t xml:space="preserve"> </w:t>
      </w:r>
      <w:r w:rsidR="00E87F33">
        <w:t>the</w:t>
      </w:r>
      <w:r w:rsidR="003B65CF" w:rsidRPr="003B65CF">
        <w:t xml:space="preserve"> </w:t>
      </w:r>
      <w:r w:rsidR="00E87F33">
        <w:t>claimant</w:t>
      </w:r>
      <w:r w:rsidR="003B65CF" w:rsidRPr="003B65CF">
        <w:t xml:space="preserve"> </w:t>
      </w:r>
      <w:r w:rsidR="00E87F33">
        <w:t>(but</w:t>
      </w:r>
      <w:r w:rsidR="003B65CF" w:rsidRPr="003B65CF">
        <w:t xml:space="preserve"> </w:t>
      </w:r>
      <w:r w:rsidR="00E87F33">
        <w:t>not</w:t>
      </w:r>
      <w:r w:rsidR="003B65CF" w:rsidRPr="003B65CF">
        <w:t xml:space="preserve"> </w:t>
      </w:r>
      <w:r w:rsidR="00E87F33">
        <w:t>a</w:t>
      </w:r>
      <w:r w:rsidR="003B65CF" w:rsidRPr="003B65CF">
        <w:t xml:space="preserve"> </w:t>
      </w:r>
      <w:r w:rsidR="00E87F33">
        <w:t>claimant</w:t>
      </w:r>
      <w:r w:rsidR="003B65CF" w:rsidRPr="003B65CF">
        <w:t xml:space="preserve"> </w:t>
      </w:r>
      <w:r w:rsidR="00E87F33">
        <w:t>who</w:t>
      </w:r>
      <w:r w:rsidR="003B65CF" w:rsidRPr="003B65CF">
        <w:t xml:space="preserve"> </w:t>
      </w:r>
      <w:r w:rsidR="00E87F33">
        <w:t>is</w:t>
      </w:r>
      <w:r w:rsidR="003B65CF" w:rsidRPr="003B65CF">
        <w:t xml:space="preserve"> </w:t>
      </w:r>
      <w:r w:rsidR="00E87F33">
        <w:t>a</w:t>
      </w:r>
      <w:r w:rsidR="003B65CF" w:rsidRPr="003B65CF">
        <w:t xml:space="preserve"> </w:t>
      </w:r>
      <w:r w:rsidR="00E87F33">
        <w:t>creditor</w:t>
      </w:r>
      <w:r w:rsidR="003B65CF" w:rsidRPr="003B65CF">
        <w:t xml:space="preserve"> </w:t>
      </w:r>
      <w:r w:rsidR="00E87F33">
        <w:t>with</w:t>
      </w:r>
      <w:r w:rsidR="003B65CF" w:rsidRPr="003B65CF">
        <w:t xml:space="preserve"> </w:t>
      </w:r>
      <w:r w:rsidR="00E87F33">
        <w:t>a</w:t>
      </w:r>
      <w:r w:rsidR="003B65CF" w:rsidRPr="003B65CF">
        <w:t xml:space="preserve"> </w:t>
      </w:r>
      <w:r w:rsidR="00E87F33">
        <w:t>debt</w:t>
      </w:r>
      <w:r w:rsidR="003B65CF" w:rsidRPr="003B65CF">
        <w:t xml:space="preserve"> </w:t>
      </w:r>
      <w:r w:rsidR="00E87F33">
        <w:t>secured</w:t>
      </w:r>
      <w:r w:rsidR="003B65CF" w:rsidRPr="003B65CF">
        <w:t xml:space="preserve"> </w:t>
      </w:r>
      <w:r w:rsidR="00E87F33">
        <w:t>on</w:t>
      </w:r>
      <w:r w:rsidR="003B65CF" w:rsidRPr="003B65CF">
        <w:t xml:space="preserve"> </w:t>
      </w:r>
      <w:r w:rsidR="00E87F33">
        <w:t>the</w:t>
      </w:r>
      <w:r w:rsidR="003B65CF" w:rsidRPr="003B65CF">
        <w:t xml:space="preserve"> </w:t>
      </w:r>
      <w:r w:rsidR="00E87F33">
        <w:t>product)</w:t>
      </w:r>
      <w:r w:rsidR="003B65CF" w:rsidRPr="003B65CF">
        <w:t xml:space="preserve"> </w:t>
      </w:r>
      <w:r w:rsidR="00E87F33">
        <w:t>to</w:t>
      </w:r>
      <w:r w:rsidR="003B65CF" w:rsidRPr="003B65CF">
        <w:t xml:space="preserve"> </w:t>
      </w:r>
      <w:r w:rsidR="00E87F33">
        <w:t>pay</w:t>
      </w:r>
      <w:r w:rsidR="003B65CF" w:rsidRPr="003B65CF">
        <w:t xml:space="preserve"> </w:t>
      </w:r>
      <w:r w:rsidR="00E87F33">
        <w:t>such</w:t>
      </w:r>
      <w:r w:rsidR="003B65CF" w:rsidRPr="003B65CF">
        <w:t xml:space="preserve"> </w:t>
      </w:r>
      <w:r w:rsidR="00E87F33">
        <w:t>of</w:t>
      </w:r>
      <w:r w:rsidR="003B65CF" w:rsidRPr="003B65CF">
        <w:t xml:space="preserve"> </w:t>
      </w:r>
      <w:r w:rsidR="00E87F33">
        <w:t>the</w:t>
      </w:r>
      <w:r w:rsidR="003B65CF" w:rsidRPr="003B65CF">
        <w:t xml:space="preserve"> </w:t>
      </w:r>
      <w:r w:rsidR="00E87F33">
        <w:t>following</w:t>
      </w:r>
      <w:r w:rsidR="003B65CF" w:rsidRPr="003B65CF">
        <w:t xml:space="preserve"> </w:t>
      </w:r>
      <w:r w:rsidR="00E87F33">
        <w:t>costs</w:t>
      </w:r>
      <w:r w:rsidR="003B65CF" w:rsidRPr="003B65CF">
        <w:t xml:space="preserve"> </w:t>
      </w:r>
      <w:r w:rsidR="00E87F33">
        <w:t>as</w:t>
      </w:r>
      <w:r w:rsidR="003B65CF" w:rsidRPr="003B65CF">
        <w:t xml:space="preserve"> </w:t>
      </w:r>
      <w:r w:rsidR="00E87F33">
        <w:t>the</w:t>
      </w:r>
      <w:r w:rsidR="003B65CF" w:rsidRPr="003B65CF">
        <w:t xml:space="preserve"> </w:t>
      </w:r>
      <w:r w:rsidR="00E87F33">
        <w:t>court</w:t>
      </w:r>
      <w:r w:rsidR="003B65CF" w:rsidRPr="003B65CF">
        <w:t xml:space="preserve"> </w:t>
      </w:r>
      <w:r w:rsidR="00E87F33">
        <w:t>may</w:t>
      </w:r>
      <w:r w:rsidR="003B65CF" w:rsidRPr="003B65CF">
        <w:t xml:space="preserve"> </w:t>
      </w:r>
      <w:r w:rsidR="00E87F33">
        <w:t>specify—</w:t>
      </w:r>
    </w:p>
    <w:p w:rsidR="00E87F33" w:rsidRDefault="00E87F33" w:rsidP="00026368">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removal</w:t>
      </w:r>
      <w:r w:rsidR="003B65CF" w:rsidRPr="003B65CF">
        <w:t xml:space="preserve"> </w:t>
      </w:r>
      <w:r>
        <w:t>and</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from</w:t>
      </w:r>
      <w:r w:rsidR="003B65CF" w:rsidRPr="003B65CF">
        <w:t xml:space="preserve"> </w:t>
      </w:r>
      <w:r>
        <w:t>the</w:t>
      </w:r>
      <w:r w:rsidR="003B65CF" w:rsidRPr="003B65CF">
        <w:t xml:space="preserve"> </w:t>
      </w:r>
      <w:r>
        <w:t>premises</w:t>
      </w:r>
      <w:r w:rsidR="003B65CF" w:rsidRPr="003B65CF">
        <w:t xml:space="preserve"> </w:t>
      </w:r>
      <w:r>
        <w:t>to</w:t>
      </w:r>
      <w:r w:rsidR="003B65CF" w:rsidRPr="003B65CF">
        <w:t xml:space="preserve"> </w:t>
      </w:r>
      <w:r w:rsidR="009D270F">
        <w:t>the</w:t>
      </w:r>
      <w:r w:rsidR="003B65CF" w:rsidRPr="003B65CF">
        <w:t xml:space="preserve"> </w:t>
      </w:r>
      <w:r w:rsidR="009D270F">
        <w:t>place</w:t>
      </w:r>
      <w:r w:rsidR="003B65CF" w:rsidRPr="003B65CF">
        <w:t xml:space="preserve"> </w:t>
      </w:r>
      <w:r w:rsidR="009D270F">
        <w:t>at</w:t>
      </w:r>
      <w:r w:rsidR="003B65CF" w:rsidRPr="003B65CF">
        <w:t xml:space="preserve"> </w:t>
      </w:r>
      <w:r w:rsidR="009D270F">
        <w:t>which</w:t>
      </w:r>
      <w:r w:rsidR="003B65CF" w:rsidRPr="003B65CF">
        <w:t xml:space="preserve"> </w:t>
      </w:r>
      <w:r w:rsidR="009D270F">
        <w:t>it</w:t>
      </w:r>
      <w:r w:rsidR="003B65CF" w:rsidRPr="003B65CF">
        <w:t xml:space="preserve"> </w:t>
      </w:r>
      <w:r w:rsidR="009D270F">
        <w:t>is</w:t>
      </w:r>
      <w:r w:rsidR="003B65CF" w:rsidRPr="003B65CF">
        <w:t xml:space="preserve"> </w:t>
      </w:r>
      <w:r w:rsidR="009D270F">
        <w:t>stored;</w:t>
      </w:r>
    </w:p>
    <w:p w:rsidR="00E87F33" w:rsidRDefault="00E87F33" w:rsidP="00026368">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storage</w:t>
      </w:r>
      <w:r w:rsidR="003B65CF" w:rsidRPr="003B65CF">
        <w:t xml:space="preserve"> </w:t>
      </w:r>
      <w:r>
        <w:t>o</w:t>
      </w:r>
      <w:r w:rsidR="009D270F">
        <w:t>f</w:t>
      </w:r>
      <w:r w:rsidR="003B65CF" w:rsidRPr="003B65CF">
        <w:t xml:space="preserve"> </w:t>
      </w:r>
      <w:r w:rsidR="009D270F">
        <w:t>the</w:t>
      </w:r>
      <w:r w:rsidR="003B65CF" w:rsidRPr="003B65CF">
        <w:t xml:space="preserve"> </w:t>
      </w:r>
      <w:r w:rsidR="009D270F">
        <w:t>product</w:t>
      </w:r>
      <w:r w:rsidR="003B65CF" w:rsidRPr="003B65CF">
        <w:t xml:space="preserve"> </w:t>
      </w:r>
      <w:r w:rsidR="009D270F">
        <w:t>for</w:t>
      </w:r>
      <w:r w:rsidR="003B65CF" w:rsidRPr="003B65CF">
        <w:t xml:space="preserve"> </w:t>
      </w:r>
      <w:r w:rsidR="009D270F">
        <w:t>up</w:t>
      </w:r>
      <w:r w:rsidR="003B65CF" w:rsidRPr="003B65CF">
        <w:t xml:space="preserve"> </w:t>
      </w:r>
      <w:r w:rsidR="009D270F">
        <w:t>to</w:t>
      </w:r>
      <w:r w:rsidR="003B65CF" w:rsidRPr="003B65CF">
        <w:t xml:space="preserve"> </w:t>
      </w:r>
      <w:r w:rsidR="009D270F">
        <w:t>28</w:t>
      </w:r>
      <w:r w:rsidR="003B65CF" w:rsidRPr="003B65CF">
        <w:t xml:space="preserve"> </w:t>
      </w:r>
      <w:r w:rsidR="009D270F">
        <w:t>days;</w:t>
      </w:r>
    </w:p>
    <w:p w:rsidR="00E87F33" w:rsidRDefault="00E87F33" w:rsidP="00026368">
      <w:pPr>
        <w:pStyle w:val="N3"/>
      </w:pPr>
      <w:r>
        <w:t>any</w:t>
      </w:r>
      <w:r w:rsidR="003B65CF" w:rsidRPr="003B65CF">
        <w:t xml:space="preserve"> </w:t>
      </w:r>
      <w:r>
        <w:t>costs</w:t>
      </w:r>
      <w:r w:rsidR="003B65CF" w:rsidRPr="003B65CF">
        <w:t xml:space="preserve"> </w:t>
      </w:r>
      <w:r>
        <w:t>for</w:t>
      </w:r>
      <w:r w:rsidR="003B65CF" w:rsidRPr="003B65CF">
        <w:t xml:space="preserve"> </w:t>
      </w:r>
      <w:r>
        <w:t>the</w:t>
      </w:r>
      <w:r w:rsidR="003B65CF" w:rsidRPr="003B65CF">
        <w:t xml:space="preserve"> </w:t>
      </w:r>
      <w:r>
        <w:t>removal</w:t>
      </w:r>
      <w:r w:rsidR="003B65CF" w:rsidRPr="003B65CF">
        <w:t xml:space="preserve"> </w:t>
      </w:r>
      <w:r>
        <w:t>and</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if</w:t>
      </w:r>
      <w:r w:rsidR="003B65CF" w:rsidRPr="003B65CF">
        <w:t xml:space="preserve"> </w:t>
      </w:r>
      <w:r>
        <w:t>it</w:t>
      </w:r>
      <w:r w:rsidR="003B65CF" w:rsidRPr="003B65CF">
        <w:t xml:space="preserve"> </w:t>
      </w:r>
      <w:r>
        <w:t>is</w:t>
      </w:r>
      <w:r w:rsidR="003B65CF" w:rsidRPr="003B65CF">
        <w:t xml:space="preserve"> </w:t>
      </w:r>
      <w:r>
        <w:t>moved</w:t>
      </w:r>
      <w:r w:rsidR="003B65CF" w:rsidRPr="003B65CF">
        <w:t xml:space="preserve"> </w:t>
      </w:r>
      <w:r>
        <w:t>from</w:t>
      </w:r>
      <w:r w:rsidR="003B65CF" w:rsidRPr="003B65CF">
        <w:t xml:space="preserve"> </w:t>
      </w:r>
      <w:r>
        <w:t>one</w:t>
      </w:r>
      <w:r w:rsidR="003B65CF" w:rsidRPr="003B65CF">
        <w:t xml:space="preserve"> </w:t>
      </w:r>
      <w:r>
        <w:t>place</w:t>
      </w:r>
      <w:r w:rsidR="003B65CF" w:rsidRPr="003B65CF">
        <w:t xml:space="preserve"> </w:t>
      </w:r>
      <w:r>
        <w:t>of</w:t>
      </w:r>
      <w:r w:rsidR="003B65CF" w:rsidRPr="003B65CF">
        <w:t xml:space="preserve"> </w:t>
      </w:r>
      <w:r>
        <w:t>stor</w:t>
      </w:r>
      <w:r w:rsidR="009D270F">
        <w:t>age</w:t>
      </w:r>
      <w:r w:rsidR="003B65CF" w:rsidRPr="003B65CF">
        <w:t xml:space="preserve"> </w:t>
      </w:r>
      <w:r w:rsidR="009D270F">
        <w:t>to</w:t>
      </w:r>
      <w:r w:rsidR="003B65CF" w:rsidRPr="003B65CF">
        <w:t xml:space="preserve"> </w:t>
      </w:r>
      <w:r w:rsidR="009D270F">
        <w:t>another</w:t>
      </w:r>
      <w:r w:rsidR="003B65CF" w:rsidRPr="003B65CF">
        <w:t xml:space="preserve"> </w:t>
      </w:r>
      <w:r w:rsidR="009D270F">
        <w:t>place</w:t>
      </w:r>
      <w:r w:rsidR="003B65CF" w:rsidRPr="003B65CF">
        <w:t xml:space="preserve"> </w:t>
      </w:r>
      <w:r w:rsidR="009D270F">
        <w:t>of</w:t>
      </w:r>
      <w:r w:rsidR="003B65CF" w:rsidRPr="003B65CF">
        <w:t xml:space="preserve"> </w:t>
      </w:r>
      <w:r w:rsidR="009D270F">
        <w:t>storage;</w:t>
      </w:r>
    </w:p>
    <w:p w:rsidR="00E87F33" w:rsidRDefault="00E87F33" w:rsidP="00026368">
      <w:pPr>
        <w:pStyle w:val="N3"/>
      </w:pPr>
      <w:r>
        <w:lastRenderedPageBreak/>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transport</w:t>
      </w:r>
      <w:r w:rsidR="003B65CF" w:rsidRPr="003B65CF">
        <w:t xml:space="preserve"> </w:t>
      </w:r>
      <w:r>
        <w:t>of</w:t>
      </w:r>
      <w:r w:rsidR="003B65CF" w:rsidRPr="003B65CF">
        <w:t xml:space="preserve"> </w:t>
      </w:r>
      <w:r>
        <w:t>the</w:t>
      </w:r>
      <w:r w:rsidR="003B65CF" w:rsidRPr="003B65CF">
        <w:t xml:space="preserve"> </w:t>
      </w:r>
      <w:r>
        <w:t>product</w:t>
      </w:r>
      <w:r w:rsidR="003B65CF" w:rsidRPr="003B65CF">
        <w:t xml:space="preserve"> </w:t>
      </w:r>
      <w:r>
        <w:t>from</w:t>
      </w:r>
      <w:r w:rsidR="003B65CF" w:rsidRPr="003B65CF">
        <w:t xml:space="preserve"> </w:t>
      </w:r>
      <w:r>
        <w:t>the</w:t>
      </w:r>
      <w:r w:rsidR="003B65CF" w:rsidRPr="003B65CF">
        <w:t xml:space="preserve"> </w:t>
      </w:r>
      <w:r>
        <w:t>place</w:t>
      </w:r>
      <w:r w:rsidR="003B65CF" w:rsidRPr="003B65CF">
        <w:t xml:space="preserve"> </w:t>
      </w:r>
      <w:r>
        <w:t>of</w:t>
      </w:r>
      <w:r w:rsidR="003B65CF" w:rsidRPr="003B65CF">
        <w:t xml:space="preserve"> </w:t>
      </w:r>
      <w:r>
        <w:t>stor</w:t>
      </w:r>
      <w:r w:rsidR="009D270F">
        <w:t>age</w:t>
      </w:r>
      <w:r w:rsidR="003B65CF" w:rsidRPr="003B65CF">
        <w:t xml:space="preserve"> </w:t>
      </w:r>
      <w:r w:rsidR="009D270F">
        <w:t>to</w:t>
      </w:r>
      <w:r w:rsidR="003B65CF" w:rsidRPr="003B65CF">
        <w:t xml:space="preserve"> </w:t>
      </w:r>
      <w:r w:rsidR="009D270F">
        <w:t>the</w:t>
      </w:r>
      <w:r w:rsidR="003B65CF" w:rsidRPr="003B65CF">
        <w:t xml:space="preserve"> </w:t>
      </w:r>
      <w:r w:rsidR="009D270F">
        <w:t>place</w:t>
      </w:r>
      <w:r w:rsidR="003B65CF" w:rsidRPr="003B65CF">
        <w:t xml:space="preserve"> </w:t>
      </w:r>
      <w:r w:rsidR="009D270F">
        <w:t>of</w:t>
      </w:r>
      <w:r w:rsidR="003B65CF" w:rsidRPr="003B65CF">
        <w:t xml:space="preserve"> </w:t>
      </w:r>
      <w:r w:rsidR="009D270F">
        <w:t>destruction;</w:t>
      </w:r>
    </w:p>
    <w:p w:rsidR="00E87F33" w:rsidRDefault="00E87F33" w:rsidP="00026368">
      <w:pPr>
        <w:pStyle w:val="N3"/>
      </w:pPr>
      <w:r>
        <w:t>the</w:t>
      </w:r>
      <w:r w:rsidR="003B65CF" w:rsidRPr="003B65CF">
        <w:t xml:space="preserve"> </w:t>
      </w:r>
      <w:r>
        <w:t>costs</w:t>
      </w:r>
      <w:r w:rsidR="003B65CF" w:rsidRPr="003B65CF">
        <w:t xml:space="preserve"> </w:t>
      </w:r>
      <w:r>
        <w:t>of</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the</w:t>
      </w:r>
      <w:r w:rsidR="003B65CF" w:rsidRPr="003B65CF">
        <w:t xml:space="preserve"> </w:t>
      </w:r>
      <w:r>
        <w:t>product.</w:t>
      </w:r>
    </w:p>
    <w:p w:rsidR="003B65CF" w:rsidRDefault="00E87F33" w:rsidP="00E87F33">
      <w:pPr>
        <w:pStyle w:val="N2"/>
      </w:pPr>
      <w:r>
        <w:t>If</w:t>
      </w:r>
      <w:r w:rsidR="003B65CF" w:rsidRPr="003B65CF">
        <w:t xml:space="preserve"> </w:t>
      </w:r>
      <w:r>
        <w:t>a</w:t>
      </w:r>
      <w:r w:rsidR="003B65CF" w:rsidRPr="003B65CF">
        <w:t xml:space="preserve"> </w:t>
      </w:r>
      <w:r>
        <w:t>notification</w:t>
      </w:r>
      <w:r w:rsidR="003B65CF" w:rsidRPr="003B65CF">
        <w:t xml:space="preserve"> </w:t>
      </w:r>
      <w:r>
        <w:t>of</w:t>
      </w:r>
      <w:r w:rsidR="003B65CF" w:rsidRPr="003B65CF">
        <w:t xml:space="preserve"> </w:t>
      </w:r>
      <w:r>
        <w:t>a</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within</w:t>
      </w:r>
      <w:r w:rsidR="003B65CF" w:rsidRPr="003B65CF">
        <w:t xml:space="preserve"> </w:t>
      </w:r>
      <w:r>
        <w:t>28</w:t>
      </w:r>
      <w:r w:rsidR="003B65CF" w:rsidRPr="003B65CF">
        <w:t xml:space="preserve"> </w:t>
      </w:r>
      <w:r>
        <w:t>days</w:t>
      </w:r>
      <w:r w:rsidR="003B65CF" w:rsidRPr="003B65CF">
        <w:t xml:space="preserve"> </w:t>
      </w: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any</w:t>
      </w:r>
      <w:r w:rsidR="003B65CF" w:rsidRPr="003B65CF">
        <w:t xml:space="preserve"> </w:t>
      </w:r>
      <w:r>
        <w:t>computer</w:t>
      </w:r>
      <w:r w:rsidR="003B65CF" w:rsidRPr="003B65CF">
        <w:t xml:space="preserve"> </w:t>
      </w:r>
      <w:r>
        <w:t>equi</w:t>
      </w:r>
      <w:r w:rsidR="00026368">
        <w:t>pment</w:t>
      </w:r>
      <w:r w:rsidR="003B65CF" w:rsidRPr="003B65CF">
        <w:t xml:space="preserve"> </w:t>
      </w:r>
      <w:r w:rsidR="00026368">
        <w:t>seized</w:t>
      </w:r>
      <w:r w:rsidR="003B65CF" w:rsidRPr="003B65CF">
        <w:t xml:space="preserve"> </w:t>
      </w:r>
      <w:r w:rsidR="00026368">
        <w:t>under</w:t>
      </w:r>
      <w:r w:rsidR="003B65CF" w:rsidRPr="003B65CF">
        <w:t xml:space="preserve"> </w:t>
      </w:r>
      <w:r w:rsidR="00026368">
        <w:t>regulation</w:t>
      </w:r>
      <w:r w:rsidR="003B65CF" w:rsidRPr="003B65CF">
        <w:t xml:space="preserve"> </w:t>
      </w:r>
      <w:r w:rsidR="00026368">
        <w:t>9</w:t>
      </w:r>
      <w:r>
        <w:t>(6),</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must—</w:t>
      </w:r>
    </w:p>
    <w:p w:rsidR="00E87F33" w:rsidRDefault="00E87F33" w:rsidP="00026368">
      <w:pPr>
        <w:pStyle w:val="N3"/>
      </w:pPr>
      <w:r>
        <w:t>return</w:t>
      </w:r>
      <w:r w:rsidR="003B65CF" w:rsidRPr="003B65CF">
        <w:t xml:space="preserve"> </w:t>
      </w:r>
      <w:r>
        <w:t>the</w:t>
      </w:r>
      <w:r w:rsidR="003B65CF" w:rsidRPr="003B65CF">
        <w:t xml:space="preserve"> </w:t>
      </w:r>
      <w:r>
        <w:t>seized</w:t>
      </w:r>
      <w:r w:rsidR="003B65CF" w:rsidRPr="003B65CF">
        <w:t xml:space="preserve"> </w:t>
      </w:r>
      <w:r>
        <w:t>computer</w:t>
      </w:r>
      <w:r w:rsidR="003B65CF" w:rsidRPr="003B65CF">
        <w:t xml:space="preserve"> </w:t>
      </w:r>
      <w:r>
        <w:t>equipment</w:t>
      </w:r>
      <w:r w:rsidR="003B65CF" w:rsidRPr="003B65CF">
        <w:t xml:space="preserve"> </w:t>
      </w:r>
      <w:r>
        <w:t>within</w:t>
      </w:r>
      <w:r w:rsidR="003B65CF" w:rsidRPr="003B65CF">
        <w:t xml:space="preserve"> </w:t>
      </w:r>
      <w:r>
        <w:t>7</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or,</w:t>
      </w:r>
      <w:r w:rsidR="003B65CF" w:rsidRPr="003B65CF">
        <w:t xml:space="preserve"> </w:t>
      </w:r>
      <w:r>
        <w:t>if</w:t>
      </w:r>
      <w:r w:rsidR="003B65CF" w:rsidRPr="003B65CF">
        <w:t xml:space="preserve"> </w:t>
      </w:r>
      <w:r>
        <w:t>shorter,</w:t>
      </w:r>
      <w:r w:rsidR="003B65CF" w:rsidRPr="003B65CF">
        <w:t xml:space="preserve"> </w:t>
      </w:r>
      <w:r>
        <w:t>within</w:t>
      </w:r>
      <w:r w:rsidR="003B65CF" w:rsidRPr="003B65CF">
        <w:t xml:space="preserve"> </w:t>
      </w:r>
      <w:r>
        <w:t>the</w:t>
      </w:r>
      <w:r w:rsidR="003B65CF" w:rsidRPr="003B65CF">
        <w:t xml:space="preserve"> </w:t>
      </w:r>
      <w:r>
        <w:t>remainder</w:t>
      </w:r>
      <w:r w:rsidR="003B65CF" w:rsidRPr="003B65CF">
        <w:t xml:space="preserve"> </w:t>
      </w:r>
      <w:r>
        <w:t>of</w:t>
      </w:r>
      <w:r w:rsidR="003B65CF" w:rsidRPr="003B65CF">
        <w:t xml:space="preserve"> </w:t>
      </w:r>
      <w:r>
        <w:t>the</w:t>
      </w:r>
      <w:r w:rsidR="003B65CF" w:rsidRPr="003B65CF">
        <w:t xml:space="preserve"> </w:t>
      </w:r>
      <w:r>
        <w:t>maximum</w:t>
      </w:r>
      <w:r w:rsidR="003B65CF" w:rsidRPr="003B65CF">
        <w:t xml:space="preserve"> </w:t>
      </w:r>
      <w:r>
        <w:t>28</w:t>
      </w:r>
      <w:r w:rsidR="003B65CF" w:rsidRPr="003B65CF">
        <w:t xml:space="preserve"> </w:t>
      </w:r>
      <w:r>
        <w:t>day</w:t>
      </w:r>
      <w:r w:rsidR="003B65CF" w:rsidRPr="003B65CF">
        <w:t xml:space="preserve"> </w:t>
      </w:r>
      <w:r>
        <w:t>peri</w:t>
      </w:r>
      <w:r w:rsidR="00026368">
        <w:t>od</w:t>
      </w:r>
      <w:r w:rsidR="003B65CF" w:rsidRPr="003B65CF">
        <w:t xml:space="preserve"> </w:t>
      </w:r>
      <w:r w:rsidR="00026368">
        <w:t>provided</w:t>
      </w:r>
      <w:r w:rsidR="003B65CF" w:rsidRPr="003B65CF">
        <w:t xml:space="preserve"> </w:t>
      </w:r>
      <w:r w:rsidR="00026368">
        <w:t>for</w:t>
      </w:r>
      <w:r w:rsidR="003B65CF" w:rsidRPr="003B65CF">
        <w:t xml:space="preserve"> </w:t>
      </w:r>
      <w:r w:rsidR="00026368">
        <w:t>in</w:t>
      </w:r>
      <w:r w:rsidR="003B65CF" w:rsidRPr="003B65CF">
        <w:t xml:space="preserve"> </w:t>
      </w:r>
      <w:r w:rsidR="00026368">
        <w:t>regulation</w:t>
      </w:r>
      <w:r w:rsidR="003B65CF" w:rsidRPr="003B65CF">
        <w:t xml:space="preserve"> </w:t>
      </w:r>
      <w:r w:rsidR="00026368">
        <w:t>9</w:t>
      </w:r>
      <w:r w:rsidR="009D270F">
        <w:t>(6),</w:t>
      </w:r>
      <w:r w:rsidR="003B65CF" w:rsidRPr="003B65CF">
        <w:t xml:space="preserve"> </w:t>
      </w:r>
      <w:r>
        <w:t>or</w:t>
      </w:r>
    </w:p>
    <w:p w:rsidR="00E87F33" w:rsidRDefault="00E87F33" w:rsidP="00026368">
      <w:pPr>
        <w:pStyle w:val="N3"/>
      </w:pPr>
      <w:r>
        <w:t>take</w:t>
      </w:r>
      <w:r w:rsidR="003B65CF" w:rsidRPr="003B65CF">
        <w:t xml:space="preserve"> </w:t>
      </w:r>
      <w:r>
        <w:t>proceedings</w:t>
      </w:r>
      <w:r w:rsidR="003B65CF" w:rsidRPr="003B65CF">
        <w:t xml:space="preserve"> </w:t>
      </w:r>
      <w:r>
        <w:t>in</w:t>
      </w:r>
      <w:r w:rsidR="003B65CF" w:rsidRPr="003B65CF">
        <w:t xml:space="preserve"> </w:t>
      </w:r>
      <w:r>
        <w:t>a</w:t>
      </w:r>
      <w:r w:rsidR="003B65CF" w:rsidRPr="003B65CF">
        <w:t xml:space="preserve"> </w:t>
      </w:r>
      <w:r w:rsidR="00C519E3">
        <w:t>magistrates’</w:t>
      </w:r>
      <w:r w:rsidR="003B65CF" w:rsidRPr="003B65CF">
        <w:t xml:space="preserve"> </w:t>
      </w:r>
      <w:r>
        <w:t>court</w:t>
      </w:r>
      <w:r w:rsidR="003B65CF" w:rsidRPr="003B65CF">
        <w:t xml:space="preserve"> </w:t>
      </w:r>
      <w:r>
        <w:t>within</w:t>
      </w:r>
      <w:r w:rsidR="003B65CF" w:rsidRPr="003B65CF">
        <w:t xml:space="preserve"> </w:t>
      </w:r>
      <w:r>
        <w:t>7</w:t>
      </w:r>
      <w:r w:rsidR="003B65CF" w:rsidRPr="003B65CF">
        <w:t xml:space="preserve"> </w:t>
      </w:r>
      <w:r>
        <w:t>days</w:t>
      </w:r>
      <w:r w:rsidR="003B65CF" w:rsidRPr="003B65CF">
        <w:t xml:space="preserve"> </w:t>
      </w:r>
      <w:r>
        <w:t>of</w:t>
      </w:r>
      <w:r w:rsidR="003B65CF" w:rsidRPr="003B65CF">
        <w:t xml:space="preserve"> </w:t>
      </w:r>
      <w:r>
        <w:t>the</w:t>
      </w:r>
      <w:r w:rsidR="003B65CF" w:rsidRPr="003B65CF">
        <w:t xml:space="preserve"> </w:t>
      </w:r>
      <w:r>
        <w:t>claim,</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claim</w:t>
      </w:r>
      <w:r w:rsidR="003B65CF" w:rsidRPr="003B65CF">
        <w:t xml:space="preserve"> </w:t>
      </w:r>
      <w:r>
        <w:t>is</w:t>
      </w:r>
      <w:r w:rsidR="003B65CF" w:rsidRPr="003B65CF">
        <w:t xml:space="preserve"> </w:t>
      </w:r>
      <w:r>
        <w:t>received</w:t>
      </w:r>
      <w:r w:rsidR="003B65CF" w:rsidRPr="003B65CF">
        <w:t xml:space="preserve"> </w:t>
      </w:r>
      <w:r>
        <w:t>unless</w:t>
      </w:r>
      <w:r w:rsidR="003B65CF" w:rsidRPr="003B65CF">
        <w:t xml:space="preserve"> </w:t>
      </w:r>
      <w:r>
        <w:t>there</w:t>
      </w:r>
      <w:r w:rsidR="003B65CF" w:rsidRPr="003B65CF">
        <w:t xml:space="preserve"> </w:t>
      </w:r>
      <w:r>
        <w:t>are</w:t>
      </w:r>
      <w:r w:rsidR="003B65CF" w:rsidRPr="003B65CF">
        <w:t xml:space="preserve"> </w:t>
      </w:r>
      <w:r>
        <w:t>7</w:t>
      </w:r>
      <w:r w:rsidR="003B65CF" w:rsidRPr="003B65CF">
        <w:t xml:space="preserve"> </w:t>
      </w:r>
      <w:r>
        <w:t>days</w:t>
      </w:r>
      <w:r w:rsidR="003B65CF" w:rsidRPr="003B65CF">
        <w:t xml:space="preserve"> </w:t>
      </w:r>
      <w:r>
        <w:t>or</w:t>
      </w:r>
      <w:r w:rsidR="003B65CF" w:rsidRPr="003B65CF">
        <w:t xml:space="preserve"> </w:t>
      </w:r>
      <w:r>
        <w:t>less</w:t>
      </w:r>
      <w:r w:rsidR="003B65CF" w:rsidRPr="003B65CF">
        <w:t xml:space="preserve"> </w:t>
      </w:r>
      <w:r>
        <w:t>remaining</w:t>
      </w:r>
      <w:r w:rsidR="003B65CF" w:rsidRPr="003B65CF">
        <w:t xml:space="preserve"> </w:t>
      </w:r>
      <w:r>
        <w:t>before</w:t>
      </w:r>
      <w:r w:rsidR="003B65CF" w:rsidRPr="003B65CF">
        <w:t xml:space="preserve"> </w:t>
      </w:r>
      <w:r>
        <w:t>the</w:t>
      </w:r>
      <w:r w:rsidR="003B65CF" w:rsidRPr="003B65CF">
        <w:t xml:space="preserve"> </w:t>
      </w:r>
      <w:r>
        <w:t>expiry</w:t>
      </w:r>
      <w:r w:rsidR="003B65CF" w:rsidRPr="003B65CF">
        <w:t xml:space="preserve"> </w:t>
      </w:r>
      <w:r>
        <w:t>of</w:t>
      </w:r>
      <w:r w:rsidR="003B65CF" w:rsidRPr="003B65CF">
        <w:t xml:space="preserve"> </w:t>
      </w:r>
      <w:r>
        <w:t>the</w:t>
      </w:r>
      <w:r w:rsidR="003B65CF" w:rsidRPr="003B65CF">
        <w:t xml:space="preserve"> </w:t>
      </w:r>
      <w:r>
        <w:t>maximum</w:t>
      </w:r>
      <w:r w:rsidR="003B65CF" w:rsidRPr="003B65CF">
        <w:t xml:space="preserve"> </w:t>
      </w:r>
      <w:r>
        <w:t>28</w:t>
      </w:r>
      <w:r w:rsidR="003B65CF" w:rsidRPr="003B65CF">
        <w:t xml:space="preserve"> </w:t>
      </w:r>
      <w:r>
        <w:t>day</w:t>
      </w:r>
      <w:r w:rsidR="003B65CF" w:rsidRPr="003B65CF">
        <w:t xml:space="preserve"> </w:t>
      </w:r>
      <w:r>
        <w:t>peri</w:t>
      </w:r>
      <w:r w:rsidR="00026368">
        <w:t>od</w:t>
      </w:r>
      <w:r w:rsidR="003B65CF" w:rsidRPr="003B65CF">
        <w:t xml:space="preserve"> </w:t>
      </w:r>
      <w:r w:rsidR="00026368">
        <w:t>provided</w:t>
      </w:r>
      <w:r w:rsidR="003B65CF" w:rsidRPr="003B65CF">
        <w:t xml:space="preserve"> </w:t>
      </w:r>
      <w:r w:rsidR="00026368">
        <w:t>for</w:t>
      </w:r>
      <w:r w:rsidR="003B65CF" w:rsidRPr="003B65CF">
        <w:t xml:space="preserve"> </w:t>
      </w:r>
      <w:r w:rsidR="00026368">
        <w:t>in</w:t>
      </w:r>
      <w:r w:rsidR="003B65CF" w:rsidRPr="003B65CF">
        <w:t xml:space="preserve"> </w:t>
      </w:r>
      <w:r w:rsidR="00026368">
        <w:t>regulation</w:t>
      </w:r>
      <w:r w:rsidR="003B65CF" w:rsidRPr="003B65CF">
        <w:t xml:space="preserve"> </w:t>
      </w:r>
      <w:r w:rsidR="00026368">
        <w:t>9</w:t>
      </w:r>
      <w:r>
        <w:t>(6),</w:t>
      </w:r>
      <w:r w:rsidR="003B65CF" w:rsidRPr="003B65CF">
        <w:t xml:space="preserve"> </w:t>
      </w:r>
      <w:r>
        <w:t>for</w:t>
      </w:r>
      <w:r w:rsidR="003B65CF" w:rsidRPr="003B65CF">
        <w:t xml:space="preserve"> </w:t>
      </w:r>
      <w:r>
        <w:t>an</w:t>
      </w:r>
      <w:r w:rsidR="003B65CF" w:rsidRPr="003B65CF">
        <w:t xml:space="preserve"> </w:t>
      </w:r>
      <w:r>
        <w:t>order</w:t>
      </w:r>
      <w:r w:rsidR="003B65CF" w:rsidRPr="003B65CF">
        <w:t xml:space="preserve"> </w:t>
      </w:r>
      <w:r>
        <w:t>authorising</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to</w:t>
      </w:r>
      <w:r w:rsidR="003B65CF" w:rsidRPr="003B65CF">
        <w:t xml:space="preserve"> </w:t>
      </w:r>
      <w:r>
        <w:t>retain</w:t>
      </w:r>
      <w:r w:rsidR="003B65CF" w:rsidRPr="003B65CF">
        <w:t xml:space="preserve"> </w:t>
      </w:r>
      <w:r>
        <w:t>the</w:t>
      </w:r>
      <w:r w:rsidR="003B65CF" w:rsidRPr="003B65CF">
        <w:t xml:space="preserve"> </w:t>
      </w:r>
      <w:r>
        <w:t>seized</w:t>
      </w:r>
      <w:r w:rsidR="003B65CF" w:rsidRPr="003B65CF">
        <w:t xml:space="preserve"> </w:t>
      </w:r>
      <w:r>
        <w:t>computer</w:t>
      </w:r>
      <w:r w:rsidR="003B65CF" w:rsidRPr="003B65CF">
        <w:t xml:space="preserve"> </w:t>
      </w:r>
      <w:r>
        <w:t>equipment</w:t>
      </w:r>
      <w:r w:rsidR="003B65CF" w:rsidRPr="003B65CF">
        <w:t xml:space="preserve"> </w:t>
      </w:r>
      <w:r>
        <w:t>in</w:t>
      </w:r>
      <w:r w:rsidR="003B65CF" w:rsidRPr="003B65CF">
        <w:t xml:space="preserve"> </w:t>
      </w:r>
      <w:r>
        <w:t>accordance</w:t>
      </w:r>
      <w:r w:rsidR="003B65CF" w:rsidRPr="003B65CF">
        <w:t xml:space="preserve"> </w:t>
      </w:r>
      <w:r>
        <w:t>with</w:t>
      </w:r>
      <w:r w:rsidR="003B65CF" w:rsidRPr="003B65CF">
        <w:t xml:space="preserve"> </w:t>
      </w:r>
      <w:r>
        <w:t>the</w:t>
      </w:r>
      <w:r w:rsidR="003B65CF" w:rsidRPr="003B65CF">
        <w:t xml:space="preserve"> </w:t>
      </w:r>
      <w:r>
        <w:t>require</w:t>
      </w:r>
      <w:r w:rsidR="00026368">
        <w:t>ments</w:t>
      </w:r>
      <w:r w:rsidR="003B65CF" w:rsidRPr="003B65CF">
        <w:t xml:space="preserve"> </w:t>
      </w:r>
      <w:r w:rsidR="00026368">
        <w:t>laid</w:t>
      </w:r>
      <w:r w:rsidR="003B65CF" w:rsidRPr="003B65CF">
        <w:t xml:space="preserve"> </w:t>
      </w:r>
      <w:r w:rsidR="00026368">
        <w:t>down</w:t>
      </w:r>
      <w:r w:rsidR="003B65CF" w:rsidRPr="003B65CF">
        <w:t xml:space="preserve"> </w:t>
      </w:r>
      <w:r w:rsidR="00026368">
        <w:t>in</w:t>
      </w:r>
      <w:r w:rsidR="003B65CF" w:rsidRPr="003B65CF">
        <w:t xml:space="preserve"> </w:t>
      </w:r>
      <w:r w:rsidR="00026368">
        <w:t>regulation</w:t>
      </w:r>
      <w:r w:rsidR="003B65CF" w:rsidRPr="003B65CF">
        <w:t xml:space="preserve"> </w:t>
      </w:r>
      <w:r w:rsidR="00026368">
        <w:t>9</w:t>
      </w:r>
      <w:r>
        <w:t>(6).</w:t>
      </w:r>
    </w:p>
    <w:p w:rsidR="003B65CF" w:rsidRDefault="00E87F33" w:rsidP="00E87F33">
      <w:pPr>
        <w:pStyle w:val="N2"/>
      </w:pPr>
      <w:r>
        <w:t>If,</w:t>
      </w:r>
      <w:r w:rsidR="003B65CF" w:rsidRPr="003B65CF">
        <w:t xml:space="preserve"> </w:t>
      </w: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any</w:t>
      </w:r>
      <w:r w:rsidR="003B65CF" w:rsidRPr="003B65CF">
        <w:t xml:space="preserve"> </w:t>
      </w:r>
      <w:r>
        <w:t>computer</w:t>
      </w:r>
      <w:r w:rsidR="003B65CF" w:rsidRPr="003B65CF">
        <w:t xml:space="preserve"> </w:t>
      </w:r>
      <w:r>
        <w:t>equipment</w:t>
      </w:r>
      <w:r w:rsidR="003B65CF" w:rsidRPr="003B65CF">
        <w:t xml:space="preserve"> </w:t>
      </w:r>
      <w:r>
        <w:t>seized</w:t>
      </w:r>
      <w:r w:rsidR="003B65CF" w:rsidRPr="003B65CF">
        <w:t xml:space="preserve"> </w:t>
      </w:r>
      <w:r>
        <w:t>under</w:t>
      </w:r>
      <w:r w:rsidR="003B65CF" w:rsidRPr="003B65CF">
        <w:t xml:space="preserve"> </w:t>
      </w:r>
      <w:r>
        <w:t>regulatio</w:t>
      </w:r>
      <w:r w:rsidR="00026368">
        <w:t>n</w:t>
      </w:r>
      <w:r w:rsidR="003B65CF" w:rsidRPr="003B65CF">
        <w:t xml:space="preserve"> </w:t>
      </w:r>
      <w:r w:rsidR="00026368">
        <w:t>9(6),</w:t>
      </w:r>
      <w:r w:rsidR="003B65CF" w:rsidRPr="003B65CF">
        <w:t xml:space="preserve"> </w:t>
      </w:r>
      <w:r w:rsidR="00026368">
        <w:t>the</w:t>
      </w:r>
      <w:r w:rsidR="003B65CF" w:rsidRPr="003B65CF">
        <w:t xml:space="preserve"> </w:t>
      </w:r>
      <w:r w:rsidR="00C519E3">
        <w:t>magistrates’</w:t>
      </w:r>
      <w:r w:rsidR="003B65CF" w:rsidRPr="003B65CF">
        <w:t xml:space="preserve"> </w:t>
      </w:r>
      <w:r w:rsidR="00026368">
        <w:t>court</w:t>
      </w:r>
      <w:r w:rsidR="003B65CF" w:rsidRPr="003B65CF">
        <w:t xml:space="preserve"> </w:t>
      </w:r>
      <w:r>
        <w:t>authorises</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to</w:t>
      </w:r>
      <w:r w:rsidR="003B65CF" w:rsidRPr="003B65CF">
        <w:t xml:space="preserve"> </w:t>
      </w:r>
      <w:r>
        <w:t>retain</w:t>
      </w:r>
      <w:r w:rsidR="003B65CF" w:rsidRPr="003B65CF">
        <w:t xml:space="preserve"> </w:t>
      </w:r>
      <w:r>
        <w:t>the</w:t>
      </w:r>
      <w:r w:rsidR="003B65CF" w:rsidRPr="003B65CF">
        <w:t xml:space="preserve"> </w:t>
      </w:r>
      <w:r>
        <w:t>seized</w:t>
      </w:r>
      <w:r w:rsidR="003B65CF" w:rsidRPr="003B65CF">
        <w:t xml:space="preserve"> </w:t>
      </w:r>
      <w:r>
        <w:t>computer</w:t>
      </w:r>
      <w:r w:rsidR="003B65CF" w:rsidRPr="003B65CF">
        <w:t xml:space="preserve"> </w:t>
      </w:r>
      <w:r>
        <w:t>equipment,</w:t>
      </w:r>
      <w:r w:rsidR="003B65CF" w:rsidRPr="003B65CF">
        <w:t xml:space="preserve"> </w:t>
      </w:r>
      <w:r>
        <w:t>they</w:t>
      </w:r>
      <w:r w:rsidR="003B65CF" w:rsidRPr="003B65CF">
        <w:t xml:space="preserve"> </w:t>
      </w:r>
      <w:r>
        <w:t>may</w:t>
      </w:r>
      <w:r w:rsidR="003B65CF" w:rsidRPr="003B65CF">
        <w:t xml:space="preserve"> </w:t>
      </w:r>
      <w:r>
        <w:t>impose</w:t>
      </w:r>
      <w:r w:rsidR="003B65CF" w:rsidRPr="003B65CF">
        <w:t xml:space="preserve"> </w:t>
      </w:r>
      <w:r>
        <w:t>conditions</w:t>
      </w:r>
      <w:r w:rsidR="003B65CF" w:rsidRPr="003B65CF">
        <w:t xml:space="preserve"> </w:t>
      </w:r>
      <w:r>
        <w:t>as</w:t>
      </w:r>
      <w:r w:rsidR="003B65CF" w:rsidRPr="003B65CF">
        <w:t xml:space="preserve"> </w:t>
      </w:r>
      <w:r>
        <w:t>to</w:t>
      </w:r>
      <w:r w:rsidR="003B65CF" w:rsidRPr="003B65CF">
        <w:t xml:space="preserve"> </w:t>
      </w:r>
      <w:r>
        <w:t>the</w:t>
      </w:r>
      <w:r w:rsidR="003B65CF" w:rsidRPr="003B65CF">
        <w:t xml:space="preserve"> </w:t>
      </w:r>
      <w:r>
        <w:t>basis</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equipment</w:t>
      </w:r>
      <w:r w:rsidR="003B65CF" w:rsidRPr="003B65CF">
        <w:t xml:space="preserve"> </w:t>
      </w:r>
      <w:r>
        <w:t>may</w:t>
      </w:r>
      <w:r w:rsidR="003B65CF" w:rsidRPr="003B65CF">
        <w:t xml:space="preserve"> </w:t>
      </w:r>
      <w:r>
        <w:t>continue</w:t>
      </w:r>
      <w:r w:rsidR="003B65CF" w:rsidRPr="003B65CF">
        <w:t xml:space="preserve"> </w:t>
      </w:r>
      <w:r>
        <w:t>to</w:t>
      </w:r>
      <w:r w:rsidR="003B65CF" w:rsidRPr="003B65CF">
        <w:t xml:space="preserve"> </w:t>
      </w:r>
      <w:r>
        <w:t>be</w:t>
      </w:r>
      <w:r w:rsidR="003B65CF" w:rsidRPr="003B65CF">
        <w:t xml:space="preserve"> </w:t>
      </w:r>
      <w:r>
        <w:t>retained,</w:t>
      </w:r>
      <w:r w:rsidR="003B65CF" w:rsidRPr="003B65CF">
        <w:t xml:space="preserve"> </w:t>
      </w:r>
      <w:r>
        <w:t>including</w:t>
      </w:r>
      <w:r w:rsidR="003B65CF" w:rsidRPr="003B65CF">
        <w:t xml:space="preserve"> </w:t>
      </w:r>
      <w:r>
        <w:t>the</w:t>
      </w:r>
      <w:r w:rsidR="003B65CF" w:rsidRPr="003B65CF">
        <w:t xml:space="preserve"> </w:t>
      </w:r>
      <w:r>
        <w:t>imposition</w:t>
      </w:r>
      <w:r w:rsidR="003B65CF" w:rsidRPr="003B65CF">
        <w:t xml:space="preserve"> </w:t>
      </w:r>
      <w:r>
        <w:t>of</w:t>
      </w:r>
      <w:r w:rsidR="003B65CF" w:rsidRPr="003B65CF">
        <w:t xml:space="preserve"> </w:t>
      </w:r>
      <w:r>
        <w:t>a</w:t>
      </w:r>
      <w:r w:rsidR="003B65CF" w:rsidRPr="003B65CF">
        <w:t xml:space="preserve"> </w:t>
      </w:r>
      <w:r>
        <w:t>deadline</w:t>
      </w:r>
      <w:r w:rsidR="003B65CF" w:rsidRPr="003B65CF">
        <w:t xml:space="preserve"> </w:t>
      </w:r>
      <w:r>
        <w:t>by</w:t>
      </w:r>
      <w:r w:rsidR="003B65CF" w:rsidRPr="003B65CF">
        <w:t xml:space="preserve"> </w:t>
      </w:r>
      <w:r>
        <w:t>which</w:t>
      </w:r>
      <w:r w:rsidR="003B65CF" w:rsidRPr="003B65CF">
        <w:t xml:space="preserve"> </w:t>
      </w:r>
      <w:r>
        <w:t>the</w:t>
      </w:r>
      <w:r w:rsidR="003B65CF" w:rsidRPr="003B65CF">
        <w:t xml:space="preserve"> </w:t>
      </w:r>
      <w:r>
        <w:t>equipment</w:t>
      </w:r>
      <w:r w:rsidR="003B65CF" w:rsidRPr="003B65CF">
        <w:t xml:space="preserve"> </w:t>
      </w:r>
      <w:r>
        <w:t>must</w:t>
      </w:r>
      <w:r w:rsidR="003B65CF" w:rsidRPr="003B65CF">
        <w:t xml:space="preserve"> </w:t>
      </w:r>
      <w:r>
        <w:t>be</w:t>
      </w:r>
      <w:r w:rsidR="003B65CF" w:rsidRPr="003B65CF">
        <w:t xml:space="preserve"> </w:t>
      </w:r>
      <w:r>
        <w:t>returned</w:t>
      </w:r>
      <w:r w:rsidR="003B65CF" w:rsidRPr="003B65CF">
        <w:t xml:space="preserve"> </w:t>
      </w:r>
      <w:r>
        <w:t>that</w:t>
      </w:r>
      <w:r w:rsidR="003B65CF" w:rsidRPr="003B65CF">
        <w:t xml:space="preserve"> </w:t>
      </w:r>
      <w:r>
        <w:t>is</w:t>
      </w:r>
      <w:r w:rsidR="003B65CF" w:rsidRPr="003B65CF">
        <w:t xml:space="preserve"> </w:t>
      </w:r>
      <w:r>
        <w:t>shorter</w:t>
      </w:r>
      <w:r w:rsidR="003B65CF" w:rsidRPr="003B65CF">
        <w:t xml:space="preserve"> </w:t>
      </w:r>
      <w:r>
        <w:t>than</w:t>
      </w:r>
      <w:r w:rsidR="003B65CF" w:rsidRPr="003B65CF">
        <w:t xml:space="preserve"> </w:t>
      </w:r>
      <w:r>
        <w:t>the</w:t>
      </w:r>
      <w:r w:rsidR="003B65CF" w:rsidRPr="003B65CF">
        <w:t xml:space="preserve"> </w:t>
      </w:r>
      <w:r>
        <w:t>28</w:t>
      </w:r>
      <w:r w:rsidR="003B65CF" w:rsidRPr="003B65CF">
        <w:t xml:space="preserve"> </w:t>
      </w:r>
      <w:r>
        <w:t>day</w:t>
      </w:r>
      <w:r w:rsidR="003B65CF" w:rsidRPr="003B65CF">
        <w:t xml:space="preserve"> </w:t>
      </w:r>
      <w:r>
        <w:t>maximum</w:t>
      </w:r>
      <w:r w:rsidR="003B65CF" w:rsidRPr="003B65CF">
        <w:t xml:space="preserve"> </w:t>
      </w:r>
      <w:r>
        <w:t>peri</w:t>
      </w:r>
      <w:r w:rsidR="00026368">
        <w:t>od</w:t>
      </w:r>
      <w:r w:rsidR="003B65CF" w:rsidRPr="003B65CF">
        <w:t xml:space="preserve"> </w:t>
      </w:r>
      <w:r w:rsidR="00026368">
        <w:t>provided</w:t>
      </w:r>
      <w:r w:rsidR="003B65CF" w:rsidRPr="003B65CF">
        <w:t xml:space="preserve"> </w:t>
      </w:r>
      <w:r w:rsidR="00026368">
        <w:t>for</w:t>
      </w:r>
      <w:r w:rsidR="003B65CF" w:rsidRPr="003B65CF">
        <w:t xml:space="preserve"> </w:t>
      </w:r>
      <w:r w:rsidR="00026368">
        <w:t>in</w:t>
      </w:r>
      <w:r w:rsidR="003B65CF" w:rsidRPr="003B65CF">
        <w:t xml:space="preserve"> </w:t>
      </w:r>
      <w:r w:rsidR="00026368">
        <w:t>regulation</w:t>
      </w:r>
      <w:r w:rsidR="003B65CF" w:rsidRPr="003B65CF">
        <w:t xml:space="preserve"> </w:t>
      </w:r>
      <w:r w:rsidR="00026368">
        <w:t>9</w:t>
      </w:r>
      <w:r>
        <w:t>(6).</w:t>
      </w:r>
    </w:p>
    <w:p w:rsidR="00E87F33" w:rsidRDefault="00E87F33" w:rsidP="00E87F33">
      <w:pPr>
        <w:pStyle w:val="N2"/>
      </w:pPr>
      <w:r>
        <w:t>The</w:t>
      </w:r>
      <w:r w:rsidR="003B65CF" w:rsidRPr="003B65CF">
        <w:t xml:space="preserve"> </w:t>
      </w:r>
      <w:r>
        <w:t>procedure</w:t>
      </w:r>
      <w:r w:rsidR="003B65CF" w:rsidRPr="003B65CF">
        <w:t xml:space="preserve"> </w:t>
      </w:r>
      <w:r>
        <w:t>in</w:t>
      </w:r>
      <w:r w:rsidR="003B65CF" w:rsidRPr="003B65CF">
        <w:t xml:space="preserve"> </w:t>
      </w:r>
      <w:r>
        <w:t>a</w:t>
      </w:r>
      <w:r w:rsidR="003B65CF" w:rsidRPr="003B65CF">
        <w:t xml:space="preserve"> </w:t>
      </w:r>
      <w:r w:rsidR="00C519E3">
        <w:t>magistrates’</w:t>
      </w:r>
      <w:r w:rsidR="003B65CF" w:rsidRPr="003B65CF">
        <w:t xml:space="preserve"> </w:t>
      </w:r>
      <w:r>
        <w:t>court</w:t>
      </w:r>
      <w:r w:rsidR="003B65CF" w:rsidRPr="003B65CF">
        <w:t xml:space="preserve"> </w:t>
      </w:r>
      <w:r>
        <w:t>under</w:t>
      </w:r>
      <w:r w:rsidR="003B65CF" w:rsidRPr="003B65CF">
        <w:t xml:space="preserve"> </w:t>
      </w:r>
      <w:r>
        <w:t>this</w:t>
      </w:r>
      <w:r w:rsidR="003B65CF" w:rsidRPr="003B65CF">
        <w:t xml:space="preserve"> </w:t>
      </w:r>
      <w:r>
        <w:t>regulation</w:t>
      </w:r>
      <w:r w:rsidR="003B65CF" w:rsidRPr="003B65CF">
        <w:t xml:space="preserve"> </w:t>
      </w:r>
      <w:r>
        <w:t>is</w:t>
      </w:r>
      <w:r w:rsidR="003B65CF" w:rsidRPr="003B65CF">
        <w:t xml:space="preserve"> </w:t>
      </w:r>
      <w:r>
        <w:t>by</w:t>
      </w:r>
      <w:r w:rsidR="003B65CF" w:rsidRPr="003B65CF">
        <w:t xml:space="preserve"> </w:t>
      </w:r>
      <w:r>
        <w:t>way</w:t>
      </w:r>
      <w:r w:rsidR="003B65CF" w:rsidRPr="003B65CF">
        <w:t xml:space="preserve"> </w:t>
      </w:r>
      <w:r>
        <w:t>of</w:t>
      </w:r>
      <w:r w:rsidR="003B65CF" w:rsidRPr="003B65CF">
        <w:t xml:space="preserve"> </w:t>
      </w:r>
      <w:r>
        <w:t>complaint,</w:t>
      </w:r>
      <w:r w:rsidR="003B65CF" w:rsidRPr="003B65CF">
        <w:t xml:space="preserve"> </w:t>
      </w:r>
      <w:r>
        <w:t>and</w:t>
      </w:r>
      <w:r w:rsidR="003B65CF" w:rsidRPr="003B65CF">
        <w:t xml:space="preserve"> </w:t>
      </w:r>
      <w:r>
        <w:t>the</w:t>
      </w:r>
      <w:r w:rsidR="003B65CF" w:rsidRPr="003B65CF">
        <w:t xml:space="preserve"> </w:t>
      </w:r>
      <w:r w:rsidR="00C519E3">
        <w:t>Magistrates’</w:t>
      </w:r>
      <w:r w:rsidR="003B65CF" w:rsidRPr="003B65CF">
        <w:t xml:space="preserve"> </w:t>
      </w:r>
      <w:r>
        <w:t>Courts</w:t>
      </w:r>
      <w:r w:rsidR="003B65CF" w:rsidRPr="003B65CF">
        <w:t xml:space="preserve"> </w:t>
      </w:r>
      <w:r w:rsidR="00026368">
        <w:t>(Northern</w:t>
      </w:r>
      <w:r w:rsidR="003B65CF" w:rsidRPr="003B65CF">
        <w:t xml:space="preserve"> </w:t>
      </w:r>
      <w:r w:rsidR="00026368">
        <w:t>Ireland)</w:t>
      </w:r>
      <w:r w:rsidR="003B65CF" w:rsidRPr="003B65CF">
        <w:t xml:space="preserve"> </w:t>
      </w:r>
      <w:r w:rsidR="00026368">
        <w:t>Order</w:t>
      </w:r>
      <w:r w:rsidR="003B65CF" w:rsidRPr="003B65CF">
        <w:t xml:space="preserve"> </w:t>
      </w:r>
      <w:r w:rsidR="00026368">
        <w:t>1981(</w:t>
      </w:r>
      <w:r w:rsidR="00026368">
        <w:rPr>
          <w:rStyle w:val="FootnoteReference"/>
        </w:rPr>
        <w:footnoteReference w:id="9"/>
      </w:r>
      <w:r w:rsidR="00026368">
        <w:t>)</w:t>
      </w:r>
      <w:r w:rsidR="003B65CF" w:rsidRPr="003B65CF">
        <w:t xml:space="preserve"> </w:t>
      </w:r>
      <w:r>
        <w:t>applies</w:t>
      </w:r>
      <w:r w:rsidR="003B65CF" w:rsidRPr="003B65CF">
        <w:t xml:space="preserve"> </w:t>
      </w:r>
      <w:r>
        <w:t>to</w:t>
      </w:r>
      <w:r w:rsidR="003B65CF" w:rsidRPr="003B65CF">
        <w:t xml:space="preserve"> </w:t>
      </w:r>
      <w:r>
        <w:t>the</w:t>
      </w:r>
      <w:r w:rsidR="003B65CF" w:rsidRPr="003B65CF">
        <w:t xml:space="preserve"> </w:t>
      </w:r>
      <w:r>
        <w:t>proceedings.</w:t>
      </w:r>
    </w:p>
    <w:p w:rsidR="00E87F33" w:rsidRDefault="00026368" w:rsidP="00026368">
      <w:pPr>
        <w:pStyle w:val="H1"/>
      </w:pPr>
      <w:r w:rsidRPr="00026368">
        <w:t>Improvement</w:t>
      </w:r>
      <w:r w:rsidR="003B65CF" w:rsidRPr="003B65CF">
        <w:t xml:space="preserve"> </w:t>
      </w:r>
      <w:r w:rsidRPr="00026368">
        <w:t>notices</w:t>
      </w:r>
    </w:p>
    <w:p w:rsidR="003B65CF" w:rsidRDefault="00026368" w:rsidP="00026368">
      <w:pPr>
        <w:pStyle w:val="N1"/>
      </w:pPr>
      <w:r>
        <w:t>—</w:t>
      </w:r>
      <w:r>
        <w:fldChar w:fldCharType="begin"/>
      </w:r>
      <w:r>
        <w:instrText xml:space="preserve"> LISTNUM "SEQ1" \l 2 </w:instrText>
      </w:r>
      <w:r>
        <w:fldChar w:fldCharType="end">
          <w:numberingChange w:id="10" w:author="Boyd, Steve" w:date="2021-06-21T19:46:00Z" w:original="(1)"/>
        </w:fldChar>
      </w:r>
      <w:r w:rsidR="003B65CF" w:rsidRPr="003B65CF">
        <w:t> </w:t>
      </w:r>
      <w:r>
        <w:t>If</w:t>
      </w:r>
      <w:r w:rsidR="003B65CF" w:rsidRPr="003B65CF">
        <w:t xml:space="preserve"> </w:t>
      </w:r>
      <w:r>
        <w:t>an</w:t>
      </w:r>
      <w:r w:rsidR="003B65CF" w:rsidRPr="003B65CF">
        <w:t xml:space="preserve"> </w:t>
      </w:r>
      <w:r>
        <w:t>authorised</w:t>
      </w:r>
      <w:r w:rsidR="003B65CF" w:rsidRPr="003B65CF">
        <w:t xml:space="preserve"> </w:t>
      </w:r>
      <w:r>
        <w:t>officer</w:t>
      </w:r>
      <w:r w:rsidR="003B65CF" w:rsidRPr="003B65CF">
        <w:t xml:space="preserve"> </w:t>
      </w:r>
      <w:r>
        <w:t>(“O”)</w:t>
      </w:r>
      <w:r w:rsidR="003B65CF" w:rsidRPr="003B65CF">
        <w:t xml:space="preserve"> </w:t>
      </w:r>
      <w:r>
        <w:t>has</w:t>
      </w:r>
      <w:r w:rsidR="003B65CF" w:rsidRPr="003B65CF">
        <w:t xml:space="preserve"> </w:t>
      </w:r>
      <w:r>
        <w:t>reasonable</w:t>
      </w:r>
      <w:r w:rsidR="003B65CF" w:rsidRPr="003B65CF">
        <w:t xml:space="preserve"> </w:t>
      </w:r>
      <w:r>
        <w:t>grounds</w:t>
      </w:r>
      <w:r w:rsidR="003B65CF" w:rsidRPr="003B65CF">
        <w:t xml:space="preserve"> </w:t>
      </w:r>
      <w:r>
        <w:t>for</w:t>
      </w:r>
      <w:r w:rsidR="003B65CF" w:rsidRPr="003B65CF">
        <w:t xml:space="preserve"> </w:t>
      </w:r>
      <w:r>
        <w:t>believing</w:t>
      </w:r>
      <w:r w:rsidR="003B65CF" w:rsidRPr="003B65CF">
        <w:t xml:space="preserve"> </w:t>
      </w:r>
      <w:r>
        <w:t>that</w:t>
      </w:r>
      <w:r w:rsidR="003B65CF" w:rsidRPr="003B65CF">
        <w:t xml:space="preserve"> </w:t>
      </w:r>
      <w:r>
        <w:t>any</w:t>
      </w:r>
      <w:r w:rsidR="003B65CF" w:rsidRPr="003B65CF">
        <w:t xml:space="preserve"> </w:t>
      </w:r>
      <w:r>
        <w:t>person</w:t>
      </w:r>
      <w:r w:rsidR="003B65CF" w:rsidRPr="003B65CF">
        <w:t xml:space="preserve"> </w:t>
      </w:r>
      <w:r>
        <w:t>(“P”)</w:t>
      </w:r>
      <w:r w:rsidR="003B65CF" w:rsidRPr="003B65CF">
        <w:t xml:space="preserve"> </w:t>
      </w:r>
      <w:r>
        <w:t>is</w:t>
      </w:r>
      <w:r w:rsidR="003B65CF" w:rsidRPr="003B65CF">
        <w:t xml:space="preserve"> </w:t>
      </w:r>
      <w:r>
        <w:t>failing</w:t>
      </w:r>
      <w:r w:rsidR="003B65CF" w:rsidRPr="003B65CF">
        <w:t xml:space="preserve"> </w:t>
      </w:r>
      <w:r>
        <w:t>to</w:t>
      </w:r>
      <w:r w:rsidR="003B65CF" w:rsidRPr="003B65CF">
        <w:t xml:space="preserve"> </w:t>
      </w:r>
      <w:r>
        <w:t>comply</w:t>
      </w:r>
      <w:r w:rsidR="003B65CF" w:rsidRPr="003B65CF">
        <w:t xml:space="preserve"> </w:t>
      </w:r>
      <w:r>
        <w:t>with</w:t>
      </w:r>
      <w:r w:rsidR="003B65CF" w:rsidRPr="003B65CF">
        <w:t xml:space="preserve"> </w:t>
      </w:r>
      <w:r>
        <w:t>these</w:t>
      </w:r>
      <w:r w:rsidR="003B65CF" w:rsidRPr="003B65CF">
        <w:t xml:space="preserve"> </w:t>
      </w:r>
      <w:r>
        <w:t>Regulations</w:t>
      </w:r>
      <w:r w:rsidR="003B65CF" w:rsidRPr="003B65CF">
        <w:t xml:space="preserve"> </w:t>
      </w:r>
      <w:r>
        <w:t>O</w:t>
      </w:r>
      <w:r w:rsidR="003B65CF" w:rsidRPr="003B65CF">
        <w:t xml:space="preserve"> </w:t>
      </w:r>
      <w:r>
        <w:t>may</w:t>
      </w:r>
      <w:r w:rsidR="003B65CF" w:rsidRPr="003B65CF">
        <w:t xml:space="preserve"> </w:t>
      </w:r>
      <w:r>
        <w:t>give</w:t>
      </w:r>
      <w:r w:rsidR="003B65CF" w:rsidRPr="003B65CF">
        <w:t xml:space="preserve"> </w:t>
      </w:r>
      <w:r>
        <w:t>P</w:t>
      </w:r>
      <w:r w:rsidR="003B65CF" w:rsidRPr="003B65CF">
        <w:t xml:space="preserve"> </w:t>
      </w:r>
      <w:r>
        <w:t>a</w:t>
      </w:r>
      <w:r w:rsidR="003B65CF" w:rsidRPr="003B65CF">
        <w:t xml:space="preserve"> </w:t>
      </w:r>
      <w:r>
        <w:t>notice</w:t>
      </w:r>
      <w:r w:rsidR="003B65CF" w:rsidRPr="003B65CF">
        <w:t xml:space="preserve"> </w:t>
      </w:r>
      <w:r>
        <w:t>(“an</w:t>
      </w:r>
      <w:r w:rsidR="003B65CF" w:rsidRPr="003B65CF">
        <w:t xml:space="preserve"> </w:t>
      </w:r>
      <w:r>
        <w:t>improvement</w:t>
      </w:r>
      <w:r w:rsidR="003B65CF" w:rsidRPr="003B65CF">
        <w:t xml:space="preserve"> </w:t>
      </w:r>
      <w:r>
        <w:t>notice”)</w:t>
      </w:r>
      <w:r w:rsidR="003B65CF" w:rsidRPr="003B65CF">
        <w:t xml:space="preserve"> </w:t>
      </w:r>
      <w:r>
        <w:t>that—</w:t>
      </w:r>
    </w:p>
    <w:p w:rsidR="00026368" w:rsidRDefault="00026368" w:rsidP="00026368">
      <w:pPr>
        <w:pStyle w:val="N3"/>
      </w:pPr>
      <w:r>
        <w:t>states</w:t>
      </w:r>
      <w:r w:rsidR="003B65CF" w:rsidRPr="003B65CF">
        <w:t xml:space="preserve"> </w:t>
      </w:r>
      <w:r w:rsidR="009D270F">
        <w:t>O’s</w:t>
      </w:r>
      <w:r w:rsidR="003B65CF" w:rsidRPr="003B65CF">
        <w:t xml:space="preserve"> </w:t>
      </w:r>
      <w:r w:rsidR="009D270F">
        <w:t>grounds</w:t>
      </w:r>
      <w:r w:rsidR="003B65CF" w:rsidRPr="003B65CF">
        <w:t xml:space="preserve"> </w:t>
      </w:r>
      <w:r w:rsidR="009D270F">
        <w:t>for</w:t>
      </w:r>
      <w:r w:rsidR="003B65CF" w:rsidRPr="003B65CF">
        <w:t xml:space="preserve"> </w:t>
      </w:r>
      <w:r w:rsidR="009D270F">
        <w:t>believing</w:t>
      </w:r>
      <w:r w:rsidR="003B65CF" w:rsidRPr="003B65CF">
        <w:t xml:space="preserve"> </w:t>
      </w:r>
      <w:r w:rsidR="009D270F">
        <w:t>this</w:t>
      </w:r>
      <w:r w:rsidR="004F2532">
        <w:t>,</w:t>
      </w:r>
    </w:p>
    <w:p w:rsidR="00026368" w:rsidRDefault="00026368" w:rsidP="00026368">
      <w:pPr>
        <w:pStyle w:val="N3"/>
      </w:pPr>
      <w:r>
        <w:t>specifies</w:t>
      </w:r>
      <w:r w:rsidR="003B65CF" w:rsidRPr="003B65CF">
        <w:t xml:space="preserve"> </w:t>
      </w:r>
      <w:r>
        <w:t>the</w:t>
      </w:r>
      <w:r w:rsidR="003B65CF" w:rsidRPr="003B65CF">
        <w:t xml:space="preserve"> </w:t>
      </w:r>
      <w:r>
        <w:t>matter</w:t>
      </w:r>
      <w:r w:rsidR="003B65CF" w:rsidRPr="003B65CF">
        <w:t xml:space="preserve"> </w:t>
      </w:r>
      <w:r>
        <w:t>that</w:t>
      </w:r>
      <w:r w:rsidR="003B65CF" w:rsidRPr="003B65CF">
        <w:t xml:space="preserve"> </w:t>
      </w:r>
      <w:r>
        <w:t>constitutes</w:t>
      </w:r>
      <w:r w:rsidR="003B65CF" w:rsidRPr="003B65CF">
        <w:t xml:space="preserve"> </w:t>
      </w:r>
      <w:r>
        <w:t>the</w:t>
      </w:r>
      <w:r w:rsidR="003B65CF" w:rsidRPr="003B65CF">
        <w:t xml:space="preserve"> </w:t>
      </w:r>
      <w:r>
        <w:t>failure</w:t>
      </w:r>
      <w:r w:rsidR="003B65CF" w:rsidRPr="003B65CF">
        <w:t xml:space="preserve"> </w:t>
      </w:r>
      <w:r>
        <w:t>t</w:t>
      </w:r>
      <w:r w:rsidR="004F2532">
        <w:t>o</w:t>
      </w:r>
      <w:r w:rsidR="003B65CF" w:rsidRPr="003B65CF">
        <w:t xml:space="preserve"> </w:t>
      </w:r>
      <w:r w:rsidR="004F2532">
        <w:t>comply</w:t>
      </w:r>
      <w:r w:rsidR="003B65CF" w:rsidRPr="003B65CF">
        <w:t xml:space="preserve"> </w:t>
      </w:r>
      <w:r w:rsidR="004F2532">
        <w:t>with</w:t>
      </w:r>
      <w:r w:rsidR="003B65CF" w:rsidRPr="003B65CF">
        <w:t xml:space="preserve"> </w:t>
      </w:r>
      <w:r w:rsidR="004F2532">
        <w:t>these</w:t>
      </w:r>
      <w:r w:rsidR="003B65CF" w:rsidRPr="003B65CF">
        <w:t xml:space="preserve"> </w:t>
      </w:r>
      <w:r w:rsidR="004F2532">
        <w:t>Regulations,</w:t>
      </w:r>
    </w:p>
    <w:p w:rsidR="00026368" w:rsidRDefault="00026368" w:rsidP="00026368">
      <w:pPr>
        <w:pStyle w:val="N3"/>
      </w:pPr>
      <w:r>
        <w:t>specifies</w:t>
      </w:r>
      <w:r w:rsidR="003B65CF" w:rsidRPr="003B65CF">
        <w:t xml:space="preserve"> </w:t>
      </w:r>
      <w:r>
        <w:t>what</w:t>
      </w:r>
      <w:r w:rsidR="003B65CF" w:rsidRPr="003B65CF">
        <w:t xml:space="preserve"> </w:t>
      </w:r>
      <w:r>
        <w:t>P</w:t>
      </w:r>
      <w:r w:rsidR="003B65CF" w:rsidRPr="003B65CF">
        <w:t xml:space="preserve"> </w:t>
      </w:r>
      <w:r>
        <w:t>must</w:t>
      </w:r>
      <w:r w:rsidR="003B65CF" w:rsidRPr="003B65CF">
        <w:t xml:space="preserve"> </w:t>
      </w:r>
      <w:r>
        <w:t>stop</w:t>
      </w:r>
      <w:r w:rsidR="003B65CF" w:rsidRPr="003B65CF">
        <w:t xml:space="preserve"> </w:t>
      </w:r>
      <w:r>
        <w:t>doing,</w:t>
      </w:r>
      <w:r w:rsidR="003B65CF" w:rsidRPr="003B65CF">
        <w:t xml:space="preserve"> </w:t>
      </w:r>
      <w:r>
        <w:t>or</w:t>
      </w:r>
      <w:r w:rsidR="003B65CF" w:rsidRPr="003B65CF">
        <w:t xml:space="preserve"> </w:t>
      </w:r>
      <w:r>
        <w:t>the</w:t>
      </w:r>
      <w:r w:rsidR="003B65CF" w:rsidRPr="003B65CF">
        <w:t xml:space="preserve"> </w:t>
      </w:r>
      <w:r>
        <w:t>measures</w:t>
      </w:r>
      <w:r w:rsidR="003B65CF" w:rsidRPr="003B65CF">
        <w:t xml:space="preserve"> </w:t>
      </w:r>
      <w:r>
        <w:t>that,</w:t>
      </w:r>
      <w:r w:rsidR="003B65CF" w:rsidRPr="003B65CF">
        <w:t xml:space="preserve"> </w:t>
      </w:r>
      <w:r>
        <w:t>in</w:t>
      </w:r>
      <w:r w:rsidR="003B65CF" w:rsidRPr="003B65CF">
        <w:t xml:space="preserve"> </w:t>
      </w:r>
      <w:r>
        <w:t>O’s</w:t>
      </w:r>
      <w:r w:rsidR="003B65CF" w:rsidRPr="003B65CF">
        <w:t xml:space="preserve"> </w:t>
      </w:r>
      <w:r>
        <w:t>opinion,</w:t>
      </w:r>
      <w:r w:rsidR="003B65CF" w:rsidRPr="003B65CF">
        <w:t xml:space="preserve"> </w:t>
      </w:r>
      <w:r>
        <w:t>P</w:t>
      </w:r>
      <w:r w:rsidR="003B65CF" w:rsidRPr="003B65CF">
        <w:t xml:space="preserve"> </w:t>
      </w:r>
      <w:r>
        <w:t>must</w:t>
      </w:r>
      <w:r w:rsidR="003B65CF" w:rsidRPr="003B65CF">
        <w:t xml:space="preserve"> </w:t>
      </w:r>
      <w:r>
        <w:t>take</w:t>
      </w:r>
      <w:r w:rsidR="003B65CF" w:rsidRPr="003B65CF">
        <w:t xml:space="preserve"> </w:t>
      </w:r>
      <w:r>
        <w:t>in</w:t>
      </w:r>
      <w:r w:rsidR="003B65CF" w:rsidRPr="003B65CF">
        <w:t xml:space="preserve"> </w:t>
      </w:r>
      <w:r>
        <w:t>order</w:t>
      </w:r>
      <w:r w:rsidR="003B65CF" w:rsidRPr="003B65CF">
        <w:t xml:space="preserve"> </w:t>
      </w:r>
      <w:r>
        <w:t>to</w:t>
      </w:r>
      <w:r w:rsidR="003B65CF" w:rsidRPr="003B65CF">
        <w:t xml:space="preserve"> </w:t>
      </w:r>
      <w:r>
        <w:t>comply</w:t>
      </w:r>
      <w:r w:rsidR="003B65CF" w:rsidRPr="003B65CF">
        <w:t xml:space="preserve"> </w:t>
      </w:r>
      <w:r>
        <w:t>with</w:t>
      </w:r>
      <w:r w:rsidR="003B65CF" w:rsidRPr="003B65CF">
        <w:t xml:space="preserve"> </w:t>
      </w:r>
      <w:r>
        <w:t>thes</w:t>
      </w:r>
      <w:r w:rsidR="004F2532">
        <w:t>e</w:t>
      </w:r>
      <w:r w:rsidR="003B65CF" w:rsidRPr="003B65CF">
        <w:t xml:space="preserve"> </w:t>
      </w:r>
      <w:r w:rsidR="004F2532">
        <w:t>Regulations,</w:t>
      </w:r>
    </w:p>
    <w:p w:rsidR="00026368" w:rsidRDefault="00026368" w:rsidP="00026368">
      <w:pPr>
        <w:pStyle w:val="N3"/>
      </w:pPr>
      <w:r>
        <w:t>require</w:t>
      </w:r>
      <w:r w:rsidR="003B65CF" w:rsidRPr="003B65CF">
        <w:t xml:space="preserve"> </w:t>
      </w:r>
      <w:r>
        <w:t>P</w:t>
      </w:r>
      <w:r w:rsidR="003B65CF" w:rsidRPr="003B65CF">
        <w:t xml:space="preserve"> </w:t>
      </w:r>
      <w:r>
        <w:t>to</w:t>
      </w:r>
      <w:r w:rsidR="003B65CF" w:rsidRPr="003B65CF">
        <w:t xml:space="preserve"> </w:t>
      </w:r>
      <w:r>
        <w:t>stop</w:t>
      </w:r>
      <w:r w:rsidR="003B65CF" w:rsidRPr="003B65CF">
        <w:t xml:space="preserve"> </w:t>
      </w:r>
      <w:r>
        <w:t>doing</w:t>
      </w:r>
      <w:r w:rsidR="003B65CF" w:rsidRPr="003B65CF">
        <w:t xml:space="preserve"> </w:t>
      </w:r>
      <w:r>
        <w:t>the</w:t>
      </w:r>
      <w:r w:rsidR="003B65CF" w:rsidRPr="003B65CF">
        <w:t xml:space="preserve"> </w:t>
      </w:r>
      <w:r>
        <w:t>action</w:t>
      </w:r>
      <w:r w:rsidR="003B65CF" w:rsidRPr="003B65CF">
        <w:t xml:space="preserve"> </w:t>
      </w:r>
      <w:r>
        <w:t>specified</w:t>
      </w:r>
      <w:r w:rsidR="003B65CF" w:rsidRPr="003B65CF">
        <w:t xml:space="preserve"> </w:t>
      </w:r>
      <w:r>
        <w:t>in</w:t>
      </w:r>
      <w:r w:rsidR="003B65CF" w:rsidRPr="003B65CF">
        <w:t xml:space="preserve"> </w:t>
      </w:r>
      <w:r>
        <w:t>the</w:t>
      </w:r>
      <w:r w:rsidR="003B65CF" w:rsidRPr="003B65CF">
        <w:t xml:space="preserve"> </w:t>
      </w:r>
      <w:r>
        <w:t>notice,</w:t>
      </w:r>
      <w:r w:rsidR="003B65CF" w:rsidRPr="003B65CF">
        <w:t xml:space="preserve"> </w:t>
      </w:r>
      <w:r>
        <w:t>or</w:t>
      </w:r>
      <w:r w:rsidR="003B65CF" w:rsidRPr="003B65CF">
        <w:t xml:space="preserve"> </w:t>
      </w:r>
      <w:r>
        <w:t>take</w:t>
      </w:r>
      <w:r w:rsidR="003B65CF" w:rsidRPr="003B65CF">
        <w:t xml:space="preserve"> </w:t>
      </w:r>
      <w:r>
        <w:t>the</w:t>
      </w:r>
      <w:r w:rsidR="003B65CF" w:rsidRPr="003B65CF">
        <w:t xml:space="preserve"> </w:t>
      </w:r>
      <w:r>
        <w:t>measures</w:t>
      </w:r>
      <w:r w:rsidR="003B65CF" w:rsidRPr="003B65CF">
        <w:t xml:space="preserve"> </w:t>
      </w:r>
      <w:r>
        <w:t>specified</w:t>
      </w:r>
      <w:r w:rsidR="003B65CF" w:rsidRPr="003B65CF">
        <w:t xml:space="preserve"> </w:t>
      </w:r>
      <w:r>
        <w:t>in</w:t>
      </w:r>
      <w:r w:rsidR="003B65CF" w:rsidRPr="003B65CF">
        <w:t xml:space="preserve"> </w:t>
      </w:r>
      <w:r>
        <w:t>the</w:t>
      </w:r>
      <w:r w:rsidR="003B65CF" w:rsidRPr="003B65CF">
        <w:t xml:space="preserve"> </w:t>
      </w:r>
      <w:r>
        <w:t>notice,</w:t>
      </w:r>
      <w:r w:rsidR="003B65CF" w:rsidRPr="003B65CF">
        <w:t xml:space="preserve"> </w:t>
      </w:r>
      <w:r>
        <w:t>or</w:t>
      </w:r>
      <w:r w:rsidR="003B65CF" w:rsidRPr="003B65CF">
        <w:t xml:space="preserve"> </w:t>
      </w:r>
      <w:r>
        <w:t>measures</w:t>
      </w:r>
      <w:r w:rsidR="003B65CF" w:rsidRPr="003B65CF">
        <w:t xml:space="preserve"> </w:t>
      </w:r>
      <w:r>
        <w:t>at</w:t>
      </w:r>
      <w:r w:rsidR="003B65CF" w:rsidRPr="003B65CF">
        <w:t xml:space="preserve"> </w:t>
      </w:r>
      <w:r>
        <w:t>least</w:t>
      </w:r>
      <w:r w:rsidR="003B65CF" w:rsidRPr="003B65CF">
        <w:t xml:space="preserve"> </w:t>
      </w:r>
      <w:r>
        <w:t>equivalent</w:t>
      </w:r>
      <w:r w:rsidR="003B65CF" w:rsidRPr="003B65CF">
        <w:t xml:space="preserve"> </w:t>
      </w:r>
      <w:r>
        <w:t>to</w:t>
      </w:r>
      <w:r w:rsidR="003B65CF" w:rsidRPr="003B65CF">
        <w:t xml:space="preserve"> </w:t>
      </w:r>
      <w:r>
        <w:t>them,</w:t>
      </w:r>
      <w:r w:rsidR="003B65CF" w:rsidRPr="003B65CF">
        <w:t xml:space="preserve"> </w:t>
      </w:r>
      <w:r>
        <w:t>within</w:t>
      </w:r>
      <w:r w:rsidR="003B65CF" w:rsidRPr="003B65CF">
        <w:t xml:space="preserve"> </w:t>
      </w:r>
      <w:r>
        <w:t>the</w:t>
      </w:r>
      <w:r w:rsidR="003B65CF" w:rsidRPr="003B65CF">
        <w:t xml:space="preserve"> </w:t>
      </w:r>
      <w:r>
        <w:t>period</w:t>
      </w:r>
      <w:r w:rsidR="003B65CF" w:rsidRPr="003B65CF">
        <w:t xml:space="preserve"> </w:t>
      </w:r>
      <w:r>
        <w:t>(being</w:t>
      </w:r>
      <w:r w:rsidR="003B65CF" w:rsidRPr="003B65CF">
        <w:t xml:space="preserve"> </w:t>
      </w:r>
      <w:r>
        <w:t>not</w:t>
      </w:r>
      <w:r w:rsidR="003B65CF" w:rsidRPr="003B65CF">
        <w:t xml:space="preserve"> </w:t>
      </w:r>
      <w:r>
        <w:t>less</w:t>
      </w:r>
      <w:r w:rsidR="003B65CF" w:rsidRPr="003B65CF">
        <w:t xml:space="preserve"> </w:t>
      </w:r>
      <w:r>
        <w:t>than</w:t>
      </w:r>
      <w:r w:rsidR="003B65CF" w:rsidRPr="003B65CF">
        <w:t xml:space="preserve"> </w:t>
      </w:r>
      <w:r>
        <w:t>1</w:t>
      </w:r>
      <w:r w:rsidR="004F2532">
        <w:t>4</w:t>
      </w:r>
      <w:r w:rsidR="003B65CF" w:rsidRPr="003B65CF">
        <w:t xml:space="preserve"> </w:t>
      </w:r>
      <w:r w:rsidR="004F2532">
        <w:t>days)</w:t>
      </w:r>
      <w:r w:rsidR="003B65CF" w:rsidRPr="003B65CF">
        <w:t xml:space="preserve"> </w:t>
      </w:r>
      <w:r w:rsidR="004F2532">
        <w:t>specified</w:t>
      </w:r>
      <w:r w:rsidR="003B65CF" w:rsidRPr="003B65CF">
        <w:t xml:space="preserve"> </w:t>
      </w:r>
      <w:r w:rsidR="004F2532">
        <w:t>in</w:t>
      </w:r>
      <w:r w:rsidR="003B65CF" w:rsidRPr="003B65CF">
        <w:t xml:space="preserve"> </w:t>
      </w:r>
      <w:r w:rsidR="004F2532">
        <w:t>the</w:t>
      </w:r>
      <w:r w:rsidR="003B65CF" w:rsidRPr="003B65CF">
        <w:t xml:space="preserve"> </w:t>
      </w:r>
      <w:r w:rsidR="004F2532">
        <w:t>notice,</w:t>
      </w:r>
    </w:p>
    <w:p w:rsidR="00026368" w:rsidRDefault="00026368" w:rsidP="00026368">
      <w:pPr>
        <w:pStyle w:val="N3"/>
      </w:pPr>
      <w:r>
        <w:t>informs</w:t>
      </w:r>
      <w:r w:rsidR="003B65CF" w:rsidRPr="003B65CF">
        <w:t xml:space="preserve"> </w:t>
      </w:r>
      <w:r>
        <w:t>P</w:t>
      </w:r>
      <w:r w:rsidR="003B65CF" w:rsidRPr="003B65CF">
        <w:t xml:space="preserve"> </w:t>
      </w:r>
      <w:r>
        <w:t>of</w:t>
      </w:r>
      <w:r w:rsidR="003B65CF" w:rsidRPr="003B65CF">
        <w:t xml:space="preserve"> </w:t>
      </w:r>
      <w:r>
        <w:t>the</w:t>
      </w:r>
      <w:r w:rsidR="003B65CF" w:rsidRPr="003B65CF">
        <w:t xml:space="preserve"> </w:t>
      </w:r>
      <w:r>
        <w:t>right</w:t>
      </w:r>
      <w:r w:rsidR="003B65CF" w:rsidRPr="003B65CF">
        <w:t xml:space="preserve"> </w:t>
      </w:r>
      <w:r>
        <w:t>of</w:t>
      </w:r>
      <w:r w:rsidR="003B65CF" w:rsidRPr="003B65CF">
        <w:t xml:space="preserve"> </w:t>
      </w:r>
      <w:r>
        <w:t>appeal</w:t>
      </w:r>
      <w:r w:rsidR="003B65CF" w:rsidRPr="003B65CF">
        <w:t xml:space="preserve"> </w:t>
      </w:r>
      <w:r>
        <w:t>to</w:t>
      </w:r>
      <w:r w:rsidR="003B65CF" w:rsidRPr="003B65CF">
        <w:t xml:space="preserve"> </w:t>
      </w:r>
      <w:r>
        <w:t>a</w:t>
      </w:r>
      <w:r w:rsidR="003B65CF" w:rsidRPr="003B65CF">
        <w:t xml:space="preserve"> </w:t>
      </w:r>
      <w:r w:rsidR="00C519E3">
        <w:t>magistrates’</w:t>
      </w:r>
      <w:r w:rsidR="003B65CF" w:rsidRPr="003B65CF">
        <w:t xml:space="preserve"> </w:t>
      </w:r>
      <w:r w:rsidR="00E22DB5">
        <w:t>court</w:t>
      </w:r>
      <w:r w:rsidR="003B65CF" w:rsidRPr="003B65CF">
        <w:t xml:space="preserve"> </w:t>
      </w:r>
      <w:r w:rsidR="00E22DB5">
        <w:t>conferred</w:t>
      </w:r>
      <w:r w:rsidR="003B65CF" w:rsidRPr="003B65CF">
        <w:t xml:space="preserve"> </w:t>
      </w:r>
      <w:r w:rsidR="00E22DB5">
        <w:t>by</w:t>
      </w:r>
      <w:r w:rsidR="003B65CF" w:rsidRPr="003B65CF">
        <w:t xml:space="preserve"> </w:t>
      </w:r>
      <w:r w:rsidR="00E22DB5">
        <w:t>regulation</w:t>
      </w:r>
      <w:r w:rsidR="003B65CF" w:rsidRPr="003B65CF">
        <w:t xml:space="preserve"> </w:t>
      </w:r>
      <w:r w:rsidR="00E22DB5">
        <w:t>12</w:t>
      </w:r>
      <w:r w:rsidR="004F2532">
        <w:t>,</w:t>
      </w:r>
      <w:r w:rsidR="003B65CF" w:rsidRPr="003B65CF">
        <w:t xml:space="preserve"> </w:t>
      </w:r>
      <w:r w:rsidR="004F2532">
        <w:t>and</w:t>
      </w:r>
    </w:p>
    <w:p w:rsidR="00026368" w:rsidRDefault="00026368" w:rsidP="00026368">
      <w:pPr>
        <w:pStyle w:val="N3"/>
      </w:pPr>
      <w:r>
        <w:t>informs</w:t>
      </w:r>
      <w:r w:rsidR="003B65CF" w:rsidRPr="003B65CF">
        <w:t xml:space="preserve"> </w:t>
      </w:r>
      <w:r>
        <w:t>P</w:t>
      </w:r>
      <w:r w:rsidR="003B65CF" w:rsidRPr="003B65CF">
        <w:t xml:space="preserve"> </w:t>
      </w:r>
      <w:r>
        <w:t>of</w:t>
      </w:r>
      <w:r w:rsidR="003B65CF" w:rsidRPr="003B65CF">
        <w:t xml:space="preserve"> </w:t>
      </w:r>
      <w:r>
        <w:t>the</w:t>
      </w:r>
      <w:r w:rsidR="003B65CF" w:rsidRPr="003B65CF">
        <w:t xml:space="preserve"> </w:t>
      </w:r>
      <w:r>
        <w:t>period</w:t>
      </w:r>
      <w:r w:rsidR="003B65CF" w:rsidRPr="003B65CF">
        <w:t xml:space="preserve"> </w:t>
      </w:r>
      <w:r>
        <w:t>within</w:t>
      </w:r>
      <w:r w:rsidR="003B65CF" w:rsidRPr="003B65CF">
        <w:t xml:space="preserve"> </w:t>
      </w:r>
      <w:r>
        <w:t>which</w:t>
      </w:r>
      <w:r w:rsidR="003B65CF" w:rsidRPr="003B65CF">
        <w:t xml:space="preserve"> </w:t>
      </w:r>
      <w:r>
        <w:t>such</w:t>
      </w:r>
      <w:r w:rsidR="003B65CF" w:rsidRPr="003B65CF">
        <w:t xml:space="preserve"> </w:t>
      </w:r>
      <w:r>
        <w:t>an</w:t>
      </w:r>
      <w:r w:rsidR="003B65CF" w:rsidRPr="003B65CF">
        <w:t xml:space="preserve"> </w:t>
      </w:r>
      <w:r>
        <w:t>appeal</w:t>
      </w:r>
      <w:r w:rsidR="003B65CF" w:rsidRPr="003B65CF">
        <w:t xml:space="preserve"> </w:t>
      </w:r>
      <w:r>
        <w:t>may</w:t>
      </w:r>
      <w:r w:rsidR="003B65CF" w:rsidRPr="003B65CF">
        <w:t xml:space="preserve"> </w:t>
      </w:r>
      <w:r>
        <w:t>be</w:t>
      </w:r>
      <w:r w:rsidR="003B65CF" w:rsidRPr="003B65CF">
        <w:t xml:space="preserve"> </w:t>
      </w:r>
      <w:r>
        <w:t>brought</w:t>
      </w:r>
      <w:r w:rsidR="00C533D3">
        <w:t>.</w:t>
      </w:r>
    </w:p>
    <w:p w:rsidR="00C533D3" w:rsidRDefault="00C533D3" w:rsidP="00C533D3">
      <w:pPr>
        <w:pStyle w:val="N2"/>
      </w:pPr>
      <w:r w:rsidRPr="00C533D3">
        <w:t>A</w:t>
      </w:r>
      <w:r w:rsidR="003B65CF" w:rsidRPr="003B65CF">
        <w:t xml:space="preserve"> </w:t>
      </w:r>
      <w:r w:rsidRPr="00C533D3">
        <w:t>person</w:t>
      </w:r>
      <w:r w:rsidR="003B65CF" w:rsidRPr="003B65CF">
        <w:t xml:space="preserve"> </w:t>
      </w:r>
      <w:r w:rsidRPr="00C533D3">
        <w:t>is</w:t>
      </w:r>
      <w:r w:rsidR="003B65CF" w:rsidRPr="003B65CF">
        <w:t xml:space="preserve"> </w:t>
      </w:r>
      <w:r w:rsidRPr="00C533D3">
        <w:t>guilty</w:t>
      </w:r>
      <w:r w:rsidR="003B65CF" w:rsidRPr="003B65CF">
        <w:t xml:space="preserve"> </w:t>
      </w:r>
      <w:r w:rsidRPr="00C533D3">
        <w:t>of</w:t>
      </w:r>
      <w:r w:rsidR="003B65CF" w:rsidRPr="003B65CF">
        <w:t xml:space="preserve"> </w:t>
      </w:r>
      <w:r w:rsidRPr="00C533D3">
        <w:t>an</w:t>
      </w:r>
      <w:r w:rsidR="003B65CF" w:rsidRPr="003B65CF">
        <w:t xml:space="preserve"> </w:t>
      </w:r>
      <w:r w:rsidRPr="00C533D3">
        <w:t>offence</w:t>
      </w:r>
      <w:r w:rsidR="003B65CF" w:rsidRPr="003B65CF">
        <w:t xml:space="preserve"> </w:t>
      </w:r>
      <w:r w:rsidRPr="00C533D3">
        <w:t>if</w:t>
      </w:r>
      <w:r w:rsidR="003B65CF" w:rsidRPr="003B65CF">
        <w:t xml:space="preserve"> </w:t>
      </w:r>
      <w:r w:rsidRPr="00C533D3">
        <w:t>they</w:t>
      </w:r>
      <w:r w:rsidR="003B65CF" w:rsidRPr="003B65CF">
        <w:t xml:space="preserve"> </w:t>
      </w:r>
      <w:r w:rsidRPr="00C533D3">
        <w:t>contravene</w:t>
      </w:r>
      <w:r w:rsidR="003B65CF" w:rsidRPr="003B65CF">
        <w:t xml:space="preserve"> </w:t>
      </w:r>
      <w:r w:rsidRPr="00C533D3">
        <w:t>or</w:t>
      </w:r>
      <w:r w:rsidR="003B65CF" w:rsidRPr="003B65CF">
        <w:t xml:space="preserve"> </w:t>
      </w:r>
      <w:r w:rsidRPr="00C533D3">
        <w:t>fail</w:t>
      </w:r>
      <w:r w:rsidR="003B65CF" w:rsidRPr="003B65CF">
        <w:t xml:space="preserve"> </w:t>
      </w:r>
      <w:r w:rsidRPr="00C533D3">
        <w:t>to</w:t>
      </w:r>
      <w:r w:rsidR="003B65CF" w:rsidRPr="003B65CF">
        <w:t xml:space="preserve"> </w:t>
      </w:r>
      <w:r w:rsidRPr="00C533D3">
        <w:t>comply</w:t>
      </w:r>
      <w:r w:rsidR="003B65CF" w:rsidRPr="003B65CF">
        <w:t xml:space="preserve"> </w:t>
      </w:r>
      <w:r w:rsidRPr="00C533D3">
        <w:t>with</w:t>
      </w:r>
      <w:r w:rsidR="003B65CF" w:rsidRPr="003B65CF">
        <w:t xml:space="preserve"> </w:t>
      </w:r>
      <w:r w:rsidRPr="00C533D3">
        <w:t>an</w:t>
      </w:r>
      <w:r w:rsidR="003B65CF" w:rsidRPr="003B65CF">
        <w:t xml:space="preserve"> </w:t>
      </w:r>
      <w:r w:rsidRPr="00C533D3">
        <w:t>improvement</w:t>
      </w:r>
      <w:r w:rsidR="003B65CF" w:rsidRPr="003B65CF">
        <w:t xml:space="preserve"> </w:t>
      </w:r>
      <w:r w:rsidRPr="00C533D3">
        <w:t>notice.</w:t>
      </w:r>
    </w:p>
    <w:p w:rsidR="00C533D3" w:rsidRDefault="00C533D3" w:rsidP="00C533D3">
      <w:pPr>
        <w:pStyle w:val="H1"/>
      </w:pPr>
      <w:r w:rsidRPr="00C533D3">
        <w:t>Appeals</w:t>
      </w:r>
      <w:r w:rsidR="003B65CF" w:rsidRPr="003B65CF">
        <w:t xml:space="preserve"> </w:t>
      </w:r>
      <w:r w:rsidRPr="00C533D3">
        <w:t>against</w:t>
      </w:r>
      <w:r w:rsidR="003B65CF" w:rsidRPr="003B65CF">
        <w:t xml:space="preserve"> </w:t>
      </w:r>
      <w:r w:rsidRPr="00C533D3">
        <w:t>improvement</w:t>
      </w:r>
      <w:r w:rsidR="003B65CF" w:rsidRPr="003B65CF">
        <w:t xml:space="preserve"> </w:t>
      </w:r>
      <w:r w:rsidRPr="00C533D3">
        <w:t>notices</w:t>
      </w:r>
    </w:p>
    <w:p w:rsidR="003B65CF" w:rsidRDefault="00C533D3" w:rsidP="00C533D3">
      <w:pPr>
        <w:pStyle w:val="N1"/>
      </w:pPr>
      <w:r>
        <w:t>—</w:t>
      </w:r>
      <w:r>
        <w:fldChar w:fldCharType="begin"/>
      </w:r>
      <w:r>
        <w:instrText xml:space="preserve"> LISTNUM "SEQ1" \l 2 </w:instrText>
      </w:r>
      <w:r>
        <w:fldChar w:fldCharType="end">
          <w:numberingChange w:id="11" w:author="Boyd, Steve" w:date="2021-06-21T19:46:00Z" w:original="(1)"/>
        </w:fldChar>
      </w:r>
      <w:r w:rsidR="003B65CF" w:rsidRPr="003B65CF">
        <w:t> </w:t>
      </w:r>
      <w:r>
        <w:t>Any</w:t>
      </w:r>
      <w:r w:rsidR="003B65CF" w:rsidRPr="003B65CF">
        <w:t xml:space="preserve"> </w:t>
      </w:r>
      <w:r>
        <w:t>person</w:t>
      </w:r>
      <w:r w:rsidR="003B65CF" w:rsidRPr="003B65CF">
        <w:t xml:space="preserve"> </w:t>
      </w:r>
      <w:r>
        <w:t>who</w:t>
      </w:r>
      <w:r w:rsidR="003B65CF" w:rsidRPr="003B65CF">
        <w:t xml:space="preserve"> </w:t>
      </w:r>
      <w:r>
        <w:t>is</w:t>
      </w:r>
      <w:r w:rsidR="003B65CF" w:rsidRPr="003B65CF">
        <w:t xml:space="preserve"> </w:t>
      </w:r>
      <w:r>
        <w:t>aggrieved</w:t>
      </w:r>
      <w:r w:rsidR="003B65CF" w:rsidRPr="003B65CF">
        <w:t xml:space="preserve"> </w:t>
      </w:r>
      <w:r>
        <w:t>about</w:t>
      </w:r>
      <w:r w:rsidR="003B65CF" w:rsidRPr="003B65CF">
        <w:t xml:space="preserve"> </w:t>
      </w:r>
      <w:r>
        <w:t>an</w:t>
      </w:r>
      <w:r w:rsidR="003B65CF" w:rsidRPr="003B65CF">
        <w:t xml:space="preserve"> </w:t>
      </w:r>
      <w:r>
        <w:t>improvement</w:t>
      </w:r>
      <w:r w:rsidR="003B65CF" w:rsidRPr="003B65CF">
        <w:t xml:space="preserve"> </w:t>
      </w:r>
      <w:r>
        <w:t>notice</w:t>
      </w:r>
      <w:r w:rsidR="003B65CF" w:rsidRPr="003B65CF">
        <w:t xml:space="preserve"> </w:t>
      </w:r>
      <w:r>
        <w:t>may</w:t>
      </w:r>
      <w:r w:rsidR="003B65CF" w:rsidRPr="003B65CF">
        <w:t xml:space="preserve"> </w:t>
      </w:r>
      <w:r>
        <w:t>appeal</w:t>
      </w:r>
      <w:r w:rsidR="003B65CF" w:rsidRPr="003B65CF">
        <w:t xml:space="preserve"> </w:t>
      </w:r>
      <w:r>
        <w:t>against</w:t>
      </w:r>
      <w:r w:rsidR="003B65CF" w:rsidRPr="003B65CF">
        <w:t xml:space="preserve"> </w:t>
      </w:r>
      <w:r>
        <w:t>that</w:t>
      </w:r>
      <w:r w:rsidR="003B65CF" w:rsidRPr="003B65CF">
        <w:t xml:space="preserve"> </w:t>
      </w:r>
      <w:r>
        <w:t>notice</w:t>
      </w:r>
      <w:r w:rsidR="003B65CF" w:rsidRPr="003B65CF">
        <w:t xml:space="preserve"> </w:t>
      </w:r>
      <w:r>
        <w:t>to</w:t>
      </w:r>
      <w:r w:rsidR="003B65CF" w:rsidRPr="003B65CF">
        <w:t xml:space="preserve"> </w:t>
      </w:r>
      <w:r>
        <w:t>the</w:t>
      </w:r>
      <w:r w:rsidR="003B65CF" w:rsidRPr="003B65CF">
        <w:t xml:space="preserve"> </w:t>
      </w:r>
      <w:r w:rsidR="00C519E3">
        <w:t>magistrates’</w:t>
      </w:r>
      <w:r w:rsidR="003B65CF" w:rsidRPr="003B65CF">
        <w:t xml:space="preserve"> </w:t>
      </w:r>
      <w:r>
        <w:t>court.</w:t>
      </w:r>
    </w:p>
    <w:p w:rsidR="00C533D3" w:rsidRDefault="00C533D3" w:rsidP="00C533D3">
      <w:pPr>
        <w:pStyle w:val="N2"/>
      </w:pPr>
      <w:r>
        <w:t>The</w:t>
      </w:r>
      <w:r w:rsidR="003B65CF" w:rsidRPr="003B65CF">
        <w:t xml:space="preserve"> </w:t>
      </w:r>
      <w:r>
        <w:t>procedure</w:t>
      </w:r>
      <w:r w:rsidR="003B65CF" w:rsidRPr="003B65CF">
        <w:t xml:space="preserve"> </w:t>
      </w:r>
      <w:r>
        <w:t>on</w:t>
      </w:r>
      <w:r w:rsidR="003B65CF" w:rsidRPr="003B65CF">
        <w:t xml:space="preserve"> </w:t>
      </w:r>
      <w:r>
        <w:t>an</w:t>
      </w:r>
      <w:r w:rsidR="003B65CF" w:rsidRPr="003B65CF">
        <w:t xml:space="preserve"> </w:t>
      </w:r>
      <w:r>
        <w:t>appeal</w:t>
      </w:r>
      <w:r w:rsidR="003B65CF" w:rsidRPr="003B65CF">
        <w:t xml:space="preserve"> </w:t>
      </w:r>
      <w:r>
        <w:t>to</w:t>
      </w:r>
      <w:r w:rsidR="003B65CF" w:rsidRPr="003B65CF">
        <w:t xml:space="preserve"> </w:t>
      </w:r>
      <w:r>
        <w:t>a</w:t>
      </w:r>
      <w:r w:rsidR="003B65CF" w:rsidRPr="003B65CF">
        <w:t xml:space="preserve"> </w:t>
      </w:r>
      <w:r w:rsidR="00C519E3">
        <w:t>magistrates’</w:t>
      </w:r>
      <w:r w:rsidR="003B65CF" w:rsidRPr="003B65CF">
        <w:t xml:space="preserve"> </w:t>
      </w:r>
      <w:r>
        <w:t>court</w:t>
      </w:r>
      <w:r w:rsidR="003B65CF" w:rsidRPr="003B65CF">
        <w:t xml:space="preserve"> </w:t>
      </w:r>
      <w:r>
        <w:t>under</w:t>
      </w:r>
      <w:r w:rsidR="003B65CF" w:rsidRPr="003B65CF">
        <w:t xml:space="preserve"> </w:t>
      </w:r>
      <w:r>
        <w:t>paragraph</w:t>
      </w:r>
      <w:r w:rsidR="003B65CF" w:rsidRPr="003B65CF">
        <w:t xml:space="preserve"> </w:t>
      </w:r>
      <w:r>
        <w:t>(1)</w:t>
      </w:r>
      <w:r w:rsidR="003B65CF" w:rsidRPr="003B65CF">
        <w:t xml:space="preserve"> </w:t>
      </w:r>
      <w:r>
        <w:t>is</w:t>
      </w:r>
      <w:r w:rsidR="003B65CF" w:rsidRPr="003B65CF">
        <w:t xml:space="preserve"> </w:t>
      </w:r>
      <w:r>
        <w:t>by</w:t>
      </w:r>
      <w:r w:rsidR="003B65CF" w:rsidRPr="003B65CF">
        <w:t xml:space="preserve"> </w:t>
      </w:r>
      <w:r>
        <w:t>way</w:t>
      </w:r>
      <w:r w:rsidR="003B65CF" w:rsidRPr="003B65CF">
        <w:t xml:space="preserve"> </w:t>
      </w:r>
      <w:r>
        <w:t>of</w:t>
      </w:r>
      <w:r w:rsidR="003B65CF" w:rsidRPr="003B65CF">
        <w:t xml:space="preserve"> </w:t>
      </w:r>
      <w:r>
        <w:t>complaint,</w:t>
      </w:r>
      <w:r w:rsidR="003B65CF" w:rsidRPr="003B65CF">
        <w:t xml:space="preserve"> </w:t>
      </w:r>
      <w:r>
        <w:t>and</w:t>
      </w:r>
      <w:r w:rsidR="003B65CF" w:rsidRPr="003B65CF">
        <w:t xml:space="preserve"> </w:t>
      </w:r>
      <w:r>
        <w:t>the</w:t>
      </w:r>
      <w:r w:rsidR="003B65CF" w:rsidRPr="003B65CF">
        <w:t xml:space="preserve"> </w:t>
      </w:r>
      <w:r w:rsidR="00C519E3">
        <w:t>Magistrates’</w:t>
      </w:r>
      <w:r w:rsidR="003B65CF" w:rsidRPr="003B65CF">
        <w:t xml:space="preserve"> </w:t>
      </w:r>
      <w:r>
        <w:t>Courts</w:t>
      </w:r>
      <w:r w:rsidR="003B65CF" w:rsidRPr="003B65CF">
        <w:t xml:space="preserve"> </w:t>
      </w:r>
      <w:r>
        <w:t>(Northern</w:t>
      </w:r>
      <w:r w:rsidR="003B65CF" w:rsidRPr="003B65CF">
        <w:t xml:space="preserve"> </w:t>
      </w:r>
      <w:r>
        <w:t>Ireland)</w:t>
      </w:r>
      <w:r w:rsidR="003B65CF" w:rsidRPr="003B65CF">
        <w:t xml:space="preserve"> </w:t>
      </w:r>
      <w:r>
        <w:t>Order</w:t>
      </w:r>
      <w:r w:rsidR="003B65CF" w:rsidRPr="003B65CF">
        <w:t xml:space="preserve"> </w:t>
      </w:r>
      <w:r>
        <w:t>1981</w:t>
      </w:r>
      <w:r w:rsidR="003B65CF" w:rsidRPr="003B65CF">
        <w:t xml:space="preserve"> </w:t>
      </w:r>
      <w:r>
        <w:t>applies</w:t>
      </w:r>
      <w:r w:rsidR="003B65CF" w:rsidRPr="003B65CF">
        <w:t xml:space="preserve"> </w:t>
      </w:r>
      <w:r>
        <w:t>to</w:t>
      </w:r>
      <w:r w:rsidR="003B65CF" w:rsidRPr="003B65CF">
        <w:t xml:space="preserve"> </w:t>
      </w:r>
      <w:r>
        <w:t>the</w:t>
      </w:r>
      <w:r w:rsidR="003B65CF" w:rsidRPr="003B65CF">
        <w:t xml:space="preserve"> </w:t>
      </w:r>
      <w:r>
        <w:t>proceedings.</w:t>
      </w:r>
    </w:p>
    <w:p w:rsidR="003B65CF" w:rsidRDefault="00C533D3" w:rsidP="00C533D3">
      <w:pPr>
        <w:pStyle w:val="N2"/>
      </w:pPr>
      <w:r>
        <w:t>The</w:t>
      </w:r>
      <w:r w:rsidR="003B65CF" w:rsidRPr="003B65CF">
        <w:t xml:space="preserve"> </w:t>
      </w:r>
      <w:r>
        <w:t>period</w:t>
      </w:r>
      <w:r w:rsidR="003B65CF" w:rsidRPr="003B65CF">
        <w:t xml:space="preserve"> </w:t>
      </w:r>
      <w:r>
        <w:t>within</w:t>
      </w:r>
      <w:r w:rsidR="003B65CF" w:rsidRPr="003B65CF">
        <w:t xml:space="preserve"> </w:t>
      </w:r>
      <w:r>
        <w:t>which</w:t>
      </w:r>
      <w:r w:rsidR="003B65CF" w:rsidRPr="003B65CF">
        <w:t xml:space="preserve"> </w:t>
      </w:r>
      <w:r>
        <w:t>an</w:t>
      </w:r>
      <w:r w:rsidR="003B65CF" w:rsidRPr="003B65CF">
        <w:t xml:space="preserve"> </w:t>
      </w:r>
      <w:r>
        <w:t>appeal</w:t>
      </w:r>
      <w:r w:rsidR="003B65CF" w:rsidRPr="003B65CF">
        <w:t xml:space="preserve"> </w:t>
      </w:r>
      <w:r>
        <w:t>may</w:t>
      </w:r>
      <w:r w:rsidR="003B65CF" w:rsidRPr="003B65CF">
        <w:t xml:space="preserve"> </w:t>
      </w:r>
      <w:r>
        <w:t>be</w:t>
      </w:r>
      <w:r w:rsidR="003B65CF" w:rsidRPr="003B65CF">
        <w:t xml:space="preserve"> </w:t>
      </w:r>
      <w:r>
        <w:t>brought</w:t>
      </w:r>
      <w:r w:rsidR="003B65CF" w:rsidRPr="003B65CF">
        <w:t xml:space="preserve"> </w:t>
      </w:r>
      <w:r>
        <w:t>is</w:t>
      </w:r>
      <w:r w:rsidR="003B65CF" w:rsidRPr="003B65CF">
        <w:t xml:space="preserve"> </w:t>
      </w:r>
      <w:r>
        <w:t>28</w:t>
      </w:r>
      <w:r w:rsidR="003B65CF" w:rsidRPr="003B65CF">
        <w:t xml:space="preserve"> </w:t>
      </w:r>
      <w:r>
        <w:t>days,</w:t>
      </w:r>
      <w:r w:rsidR="003B65CF" w:rsidRPr="003B65CF">
        <w:t xml:space="preserve"> </w:t>
      </w:r>
      <w:r>
        <w:t>beginning</w:t>
      </w:r>
      <w:r w:rsidR="003B65CF" w:rsidRPr="003B65CF">
        <w:t xml:space="preserve"> </w:t>
      </w:r>
      <w:r>
        <w:t>with</w:t>
      </w:r>
      <w:r w:rsidR="003B65CF" w:rsidRPr="003B65CF">
        <w:t xml:space="preserve"> </w:t>
      </w:r>
      <w:r>
        <w:t>the</w:t>
      </w:r>
      <w:r w:rsidR="003B65CF" w:rsidRPr="003B65CF">
        <w:t xml:space="preserve"> </w:t>
      </w:r>
      <w:r>
        <w:t>day</w:t>
      </w:r>
      <w:r w:rsidR="003B65CF" w:rsidRPr="003B65CF">
        <w:t xml:space="preserve"> </w:t>
      </w:r>
      <w:r>
        <w:t>on</w:t>
      </w:r>
      <w:r w:rsidR="003B65CF" w:rsidRPr="003B65CF">
        <w:t xml:space="preserve"> </w:t>
      </w:r>
      <w:r>
        <w:t>which</w:t>
      </w:r>
      <w:r w:rsidR="003B65CF" w:rsidRPr="003B65CF">
        <w:t xml:space="preserve"> </w:t>
      </w:r>
      <w:r>
        <w:t>the</w:t>
      </w:r>
      <w:r w:rsidR="003B65CF" w:rsidRPr="003B65CF">
        <w:t xml:space="preserve"> </w:t>
      </w:r>
      <w:r>
        <w:t>improvement</w:t>
      </w:r>
      <w:r w:rsidR="003B65CF" w:rsidRPr="003B65CF">
        <w:t xml:space="preserve"> </w:t>
      </w:r>
      <w:r>
        <w:t>notice</w:t>
      </w:r>
      <w:r w:rsidR="003B65CF" w:rsidRPr="003B65CF">
        <w:t xml:space="preserve"> </w:t>
      </w:r>
      <w:r>
        <w:t>is</w:t>
      </w:r>
      <w:r w:rsidR="003B65CF" w:rsidRPr="003B65CF">
        <w:t xml:space="preserve"> </w:t>
      </w:r>
      <w:r>
        <w:t>given.</w:t>
      </w:r>
    </w:p>
    <w:p w:rsidR="003B65CF" w:rsidRDefault="00C533D3" w:rsidP="00C533D3">
      <w:pPr>
        <w:pStyle w:val="N2"/>
      </w:pPr>
      <w:r>
        <w:t>The</w:t>
      </w:r>
      <w:r w:rsidR="003B65CF" w:rsidRPr="003B65CF">
        <w:t xml:space="preserve"> </w:t>
      </w:r>
      <w:r w:rsidR="00C519E3">
        <w:t>magistrates’</w:t>
      </w:r>
      <w:r w:rsidR="003B65CF" w:rsidRPr="003B65CF">
        <w:t xml:space="preserve"> </w:t>
      </w:r>
      <w:r>
        <w:t>court</w:t>
      </w:r>
      <w:r w:rsidR="003B65CF" w:rsidRPr="003B65CF">
        <w:t xml:space="preserve"> </w:t>
      </w:r>
      <w:r>
        <w:t>may</w:t>
      </w:r>
      <w:r w:rsidR="003B65CF" w:rsidRPr="003B65CF">
        <w:t xml:space="preserve"> </w:t>
      </w:r>
      <w:r>
        <w:t>suspend</w:t>
      </w:r>
      <w:r w:rsidR="003B65CF" w:rsidRPr="003B65CF">
        <w:t xml:space="preserve"> </w:t>
      </w:r>
      <w:r>
        <w:t>an</w:t>
      </w:r>
      <w:r w:rsidR="003B65CF" w:rsidRPr="003B65CF">
        <w:t xml:space="preserve"> </w:t>
      </w:r>
      <w:r>
        <w:t>improvement</w:t>
      </w:r>
      <w:r w:rsidR="003B65CF" w:rsidRPr="003B65CF">
        <w:t xml:space="preserve"> </w:t>
      </w:r>
      <w:r>
        <w:t>notice</w:t>
      </w:r>
      <w:r w:rsidR="003B65CF" w:rsidRPr="003B65CF">
        <w:t xml:space="preserve"> </w:t>
      </w:r>
      <w:r>
        <w:t>pending</w:t>
      </w:r>
      <w:r w:rsidR="003B65CF" w:rsidRPr="003B65CF">
        <w:t xml:space="preserve"> </w:t>
      </w:r>
      <w:r>
        <w:t>an</w:t>
      </w:r>
      <w:r w:rsidR="003B65CF" w:rsidRPr="003B65CF">
        <w:t xml:space="preserve"> </w:t>
      </w:r>
      <w:r>
        <w:t>appeal.</w:t>
      </w:r>
    </w:p>
    <w:p w:rsidR="00C533D3" w:rsidRDefault="00C533D3" w:rsidP="00C533D3">
      <w:pPr>
        <w:pStyle w:val="H1"/>
      </w:pPr>
      <w:r w:rsidRPr="00C533D3">
        <w:lastRenderedPageBreak/>
        <w:t>Powers</w:t>
      </w:r>
      <w:r w:rsidR="003B65CF" w:rsidRPr="003B65CF">
        <w:t xml:space="preserve"> </w:t>
      </w:r>
      <w:r w:rsidRPr="00C533D3">
        <w:t>of</w:t>
      </w:r>
      <w:r w:rsidR="003B65CF" w:rsidRPr="003B65CF">
        <w:t xml:space="preserve"> </w:t>
      </w:r>
      <w:r w:rsidRPr="00C533D3">
        <w:t>a</w:t>
      </w:r>
      <w:r w:rsidR="003B65CF" w:rsidRPr="003B65CF">
        <w:t xml:space="preserve"> </w:t>
      </w:r>
      <w:r w:rsidR="00C519E3">
        <w:t>magistrates’</w:t>
      </w:r>
      <w:r w:rsidR="003B65CF" w:rsidRPr="003B65CF">
        <w:t xml:space="preserve"> </w:t>
      </w:r>
      <w:r w:rsidRPr="00C533D3">
        <w:t>court</w:t>
      </w:r>
      <w:r w:rsidR="003B65CF" w:rsidRPr="003B65CF">
        <w:t xml:space="preserve"> </w:t>
      </w:r>
      <w:r w:rsidRPr="00C533D3">
        <w:t>on</w:t>
      </w:r>
      <w:r w:rsidR="003B65CF" w:rsidRPr="003B65CF">
        <w:t xml:space="preserve"> </w:t>
      </w:r>
      <w:r w:rsidRPr="00C533D3">
        <w:t>appeal</w:t>
      </w:r>
    </w:p>
    <w:p w:rsidR="00C533D3" w:rsidRDefault="003B65CF" w:rsidP="00C533D3">
      <w:pPr>
        <w:pStyle w:val="N1"/>
      </w:pPr>
      <w:r>
        <w:t> </w:t>
      </w:r>
      <w:r w:rsidR="00C533D3" w:rsidRPr="00C533D3">
        <w:t>On</w:t>
      </w:r>
      <w:r w:rsidRPr="003B65CF">
        <w:t xml:space="preserve"> </w:t>
      </w:r>
      <w:r w:rsidR="00C533D3" w:rsidRPr="00C533D3">
        <w:t>an</w:t>
      </w:r>
      <w:r w:rsidRPr="003B65CF">
        <w:t xml:space="preserve"> </w:t>
      </w:r>
      <w:r w:rsidR="00C533D3" w:rsidRPr="00C533D3">
        <w:t>appeal</w:t>
      </w:r>
      <w:r w:rsidRPr="003B65CF">
        <w:t xml:space="preserve"> </w:t>
      </w:r>
      <w:r w:rsidR="00C533D3" w:rsidRPr="00C533D3">
        <w:t>against</w:t>
      </w:r>
      <w:r w:rsidRPr="003B65CF">
        <w:t xml:space="preserve"> </w:t>
      </w:r>
      <w:r w:rsidR="00C533D3" w:rsidRPr="00C533D3">
        <w:t>an</w:t>
      </w:r>
      <w:r w:rsidRPr="003B65CF">
        <w:t xml:space="preserve"> </w:t>
      </w:r>
      <w:r w:rsidR="00C533D3" w:rsidRPr="00C533D3">
        <w:t>improvement</w:t>
      </w:r>
      <w:r w:rsidRPr="003B65CF">
        <w:t xml:space="preserve"> </w:t>
      </w:r>
      <w:r w:rsidR="00C533D3" w:rsidRPr="00C533D3">
        <w:t>notice</w:t>
      </w:r>
      <w:r w:rsidRPr="003B65CF">
        <w:t xml:space="preserve"> </w:t>
      </w:r>
      <w:r w:rsidR="00C533D3" w:rsidRPr="00C533D3">
        <w:t>the</w:t>
      </w:r>
      <w:r w:rsidRPr="003B65CF">
        <w:t xml:space="preserve"> </w:t>
      </w:r>
      <w:r w:rsidR="00C519E3">
        <w:t>magistrates’</w:t>
      </w:r>
      <w:r w:rsidRPr="003B65CF">
        <w:t xml:space="preserve"> </w:t>
      </w:r>
      <w:r w:rsidR="00C533D3" w:rsidRPr="00C533D3">
        <w:t>court</w:t>
      </w:r>
      <w:r w:rsidRPr="003B65CF">
        <w:t xml:space="preserve"> </w:t>
      </w:r>
      <w:r w:rsidR="00C533D3" w:rsidRPr="00C533D3">
        <w:t>may</w:t>
      </w:r>
      <w:r w:rsidRPr="003B65CF">
        <w:t xml:space="preserve"> </w:t>
      </w:r>
      <w:r w:rsidR="00C533D3" w:rsidRPr="00C533D3">
        <w:t>either</w:t>
      </w:r>
      <w:r w:rsidRPr="003B65CF">
        <w:t xml:space="preserve"> </w:t>
      </w:r>
      <w:r w:rsidR="00C533D3" w:rsidRPr="00C533D3">
        <w:t>cancel</w:t>
      </w:r>
      <w:r w:rsidRPr="003B65CF">
        <w:t xml:space="preserve"> </w:t>
      </w:r>
      <w:r w:rsidR="00C533D3" w:rsidRPr="00C533D3">
        <w:t>the</w:t>
      </w:r>
      <w:r w:rsidRPr="003B65CF">
        <w:t xml:space="preserve"> </w:t>
      </w:r>
      <w:r w:rsidR="00C533D3" w:rsidRPr="00C533D3">
        <w:t>notice</w:t>
      </w:r>
      <w:r w:rsidRPr="003B65CF">
        <w:t xml:space="preserve"> </w:t>
      </w:r>
      <w:r w:rsidR="00C533D3" w:rsidRPr="00C533D3">
        <w:t>or</w:t>
      </w:r>
      <w:r w:rsidRPr="003B65CF">
        <w:t xml:space="preserve"> </w:t>
      </w:r>
      <w:r w:rsidR="00C533D3" w:rsidRPr="00C533D3">
        <w:t>confirm</w:t>
      </w:r>
      <w:r w:rsidRPr="003B65CF">
        <w:t xml:space="preserve"> </w:t>
      </w:r>
      <w:r w:rsidR="00C533D3" w:rsidRPr="00C533D3">
        <w:t>it,</w:t>
      </w:r>
      <w:r w:rsidRPr="003B65CF">
        <w:t xml:space="preserve"> </w:t>
      </w:r>
      <w:r w:rsidR="00C533D3" w:rsidRPr="00C533D3">
        <w:t>with</w:t>
      </w:r>
      <w:r w:rsidRPr="003B65CF">
        <w:t xml:space="preserve"> </w:t>
      </w:r>
      <w:r w:rsidR="00C533D3" w:rsidRPr="00C533D3">
        <w:t>or</w:t>
      </w:r>
      <w:r w:rsidRPr="003B65CF">
        <w:t xml:space="preserve"> </w:t>
      </w:r>
      <w:r w:rsidR="00C533D3" w:rsidRPr="00C533D3">
        <w:t>without</w:t>
      </w:r>
      <w:r w:rsidRPr="003B65CF">
        <w:t xml:space="preserve"> </w:t>
      </w:r>
      <w:r w:rsidR="00C533D3" w:rsidRPr="00C533D3">
        <w:t>modification.</w:t>
      </w:r>
    </w:p>
    <w:p w:rsidR="00C533D3" w:rsidRDefault="00C533D3" w:rsidP="00C533D3">
      <w:pPr>
        <w:pStyle w:val="H1"/>
      </w:pPr>
      <w:r w:rsidRPr="00C533D3">
        <w:t>Publication</w:t>
      </w:r>
      <w:r w:rsidR="003B65CF" w:rsidRPr="003B65CF">
        <w:t xml:space="preserve"> </w:t>
      </w:r>
      <w:r w:rsidRPr="00C533D3">
        <w:t>of</w:t>
      </w:r>
      <w:r w:rsidR="003B65CF" w:rsidRPr="003B65CF">
        <w:t xml:space="preserve"> </w:t>
      </w:r>
      <w:r w:rsidRPr="00C533D3">
        <w:t>notices</w:t>
      </w:r>
    </w:p>
    <w:p w:rsidR="003B65CF" w:rsidRDefault="00C533D3" w:rsidP="00C533D3">
      <w:pPr>
        <w:pStyle w:val="N1"/>
      </w:pPr>
      <w:r>
        <w:t>—</w:t>
      </w:r>
      <w:r>
        <w:fldChar w:fldCharType="begin"/>
      </w:r>
      <w:r>
        <w:instrText xml:space="preserve"> LISTNUM "SEQ1" \l 2 </w:instrText>
      </w:r>
      <w:r>
        <w:fldChar w:fldCharType="end">
          <w:numberingChange w:id="12" w:author="Boyd, Steve" w:date="2021-06-21T19:46:00Z" w:original="(1)"/>
        </w:fldChar>
      </w:r>
      <w:r w:rsidR="003B65CF" w:rsidRPr="003B65CF">
        <w:t> </w:t>
      </w:r>
      <w:r>
        <w:t>An</w:t>
      </w:r>
      <w:r w:rsidR="003B65CF" w:rsidRPr="003B65CF">
        <w:t xml:space="preserve"> </w:t>
      </w:r>
      <w:r>
        <w:t>enforcement</w:t>
      </w:r>
      <w:r w:rsidR="003B65CF" w:rsidRPr="003B65CF">
        <w:t xml:space="preserve"> </w:t>
      </w:r>
      <w:r>
        <w:t>authority</w:t>
      </w:r>
      <w:r w:rsidR="003B65CF" w:rsidRPr="003B65CF">
        <w:t xml:space="preserve"> </w:t>
      </w:r>
      <w:r>
        <w:t>must</w:t>
      </w:r>
      <w:r w:rsidR="003B65CF" w:rsidRPr="003B65CF">
        <w:t xml:space="preserve"> </w:t>
      </w:r>
      <w:r>
        <w:t>publicise</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any</w:t>
      </w:r>
      <w:r w:rsidR="003B65CF" w:rsidRPr="003B65CF">
        <w:t xml:space="preserve"> </w:t>
      </w:r>
      <w:r>
        <w:t>product</w:t>
      </w:r>
      <w:r w:rsidR="003B65CF" w:rsidRPr="003B65CF">
        <w:t xml:space="preserve"> </w:t>
      </w:r>
      <w:r>
        <w:t>seized</w:t>
      </w:r>
      <w:r w:rsidR="003B65CF" w:rsidRPr="003B65CF">
        <w:t xml:space="preserve"> </w:t>
      </w:r>
      <w:r>
        <w:t>under</w:t>
      </w:r>
      <w:r w:rsidR="003B65CF" w:rsidRPr="003B65CF">
        <w:t xml:space="preserve"> </w:t>
      </w:r>
      <w:r>
        <w:t>regulation</w:t>
      </w:r>
      <w:r w:rsidR="003B65CF" w:rsidRPr="003B65CF">
        <w:t xml:space="preserve"> </w:t>
      </w:r>
      <w:r>
        <w:t>9(5)</w:t>
      </w:r>
      <w:r w:rsidR="003B65CF" w:rsidRPr="003B65CF">
        <w:t xml:space="preserve"> </w:t>
      </w:r>
      <w:r>
        <w:t>in</w:t>
      </w:r>
      <w:r w:rsidR="003B65CF" w:rsidRPr="003B65CF">
        <w:t xml:space="preserve"> </w:t>
      </w:r>
      <w:r>
        <w:t>such</w:t>
      </w:r>
      <w:r w:rsidR="003B65CF" w:rsidRPr="003B65CF">
        <w:t xml:space="preserve"> </w:t>
      </w:r>
      <w:r>
        <w:t>manner</w:t>
      </w:r>
      <w:r w:rsidR="003B65CF" w:rsidRPr="003B65CF">
        <w:t xml:space="preserve"> </w:t>
      </w:r>
      <w:r>
        <w:t>as</w:t>
      </w:r>
      <w:r w:rsidR="003B65CF" w:rsidRPr="003B65CF">
        <w:t xml:space="preserve"> </w:t>
      </w:r>
      <w:r>
        <w:t>it</w:t>
      </w:r>
      <w:r w:rsidR="003B65CF" w:rsidRPr="003B65CF">
        <w:t xml:space="preserve"> </w:t>
      </w:r>
      <w:r>
        <w:t>sees</w:t>
      </w:r>
      <w:r w:rsidR="003B65CF" w:rsidRPr="003B65CF">
        <w:t xml:space="preserve"> </w:t>
      </w:r>
      <w:r>
        <w:t>fit.</w:t>
      </w:r>
    </w:p>
    <w:p w:rsidR="003B65CF" w:rsidRDefault="00C533D3" w:rsidP="00C533D3">
      <w:pPr>
        <w:pStyle w:val="N2"/>
      </w:pPr>
      <w:r>
        <w:t>But</w:t>
      </w:r>
      <w:r w:rsidR="003B65CF" w:rsidRPr="003B65CF">
        <w:t xml:space="preserve"> </w:t>
      </w:r>
      <w:r>
        <w:t>an</w:t>
      </w:r>
      <w:r w:rsidR="003B65CF" w:rsidRPr="003B65CF">
        <w:t xml:space="preserve"> </w:t>
      </w:r>
      <w:r>
        <w:t>enforcement</w:t>
      </w:r>
      <w:r w:rsidR="003B65CF" w:rsidRPr="003B65CF">
        <w:t xml:space="preserve"> </w:t>
      </w:r>
      <w:r>
        <w:t>authority</w:t>
      </w:r>
      <w:r w:rsidR="003B65CF" w:rsidRPr="003B65CF">
        <w:t xml:space="preserve"> </w:t>
      </w:r>
      <w:r>
        <w:t>must</w:t>
      </w:r>
      <w:r w:rsidR="003B65CF" w:rsidRPr="003B65CF">
        <w:t xml:space="preserve"> </w:t>
      </w:r>
      <w:r>
        <w:t>not</w:t>
      </w:r>
      <w:r w:rsidR="003B65CF" w:rsidRPr="003B65CF">
        <w:t xml:space="preserve"> </w:t>
      </w:r>
      <w:r>
        <w:t>publicise</w:t>
      </w:r>
      <w:r w:rsidR="003B65CF" w:rsidRPr="003B65CF">
        <w:t xml:space="preserve"> </w:t>
      </w:r>
      <w:r>
        <w:t>the</w:t>
      </w:r>
      <w:r w:rsidR="003B65CF" w:rsidRPr="003B65CF">
        <w:t xml:space="preserve"> </w:t>
      </w:r>
      <w:r>
        <w:t>destruction</w:t>
      </w:r>
      <w:r w:rsidR="003B65CF" w:rsidRPr="003B65CF">
        <w:t xml:space="preserve"> </w:t>
      </w:r>
      <w:r>
        <w:t>of</w:t>
      </w:r>
      <w:r w:rsidR="003B65CF" w:rsidRPr="003B65CF">
        <w:t xml:space="preserve"> </w:t>
      </w:r>
      <w:r>
        <w:t>any</w:t>
      </w:r>
      <w:r w:rsidR="003B65CF" w:rsidRPr="003B65CF">
        <w:t xml:space="preserve"> </w:t>
      </w:r>
      <w:r>
        <w:t>item</w:t>
      </w:r>
      <w:r w:rsidR="003B65CF" w:rsidRPr="003B65CF">
        <w:t xml:space="preserve"> </w:t>
      </w:r>
      <w:r>
        <w:t>seized</w:t>
      </w:r>
      <w:r w:rsidR="003B65CF" w:rsidRPr="003B65CF">
        <w:t xml:space="preserve"> </w:t>
      </w:r>
      <w:r>
        <w:t>under</w:t>
      </w:r>
      <w:r w:rsidR="003B65CF" w:rsidRPr="003B65CF">
        <w:t xml:space="preserve"> </w:t>
      </w:r>
      <w:r>
        <w:t>regulation</w:t>
      </w:r>
      <w:r w:rsidR="003B65CF" w:rsidRPr="003B65CF">
        <w:t xml:space="preserve"> </w:t>
      </w:r>
      <w:r>
        <w:t>9(5)</w:t>
      </w:r>
      <w:r w:rsidR="003B65CF" w:rsidRPr="003B65CF">
        <w:t xml:space="preserve"> </w:t>
      </w:r>
      <w:r>
        <w:t>where</w:t>
      </w:r>
      <w:r w:rsidR="003B65CF" w:rsidRPr="003B65CF">
        <w:t xml:space="preserve"> </w:t>
      </w:r>
      <w:r>
        <w:t>it</w:t>
      </w:r>
      <w:r w:rsidR="003B65CF" w:rsidRPr="003B65CF">
        <w:t xml:space="preserve"> </w:t>
      </w:r>
      <w:r>
        <w:t>considers</w:t>
      </w:r>
      <w:r w:rsidR="003B65CF" w:rsidRPr="003B65CF">
        <w:t xml:space="preserve"> </w:t>
      </w:r>
      <w:r>
        <w:t>that</w:t>
      </w:r>
      <w:r w:rsidR="003B65CF" w:rsidRPr="003B65CF">
        <w:t xml:space="preserve"> </w:t>
      </w:r>
      <w:r>
        <w:t>it</w:t>
      </w:r>
      <w:r w:rsidR="003B65CF" w:rsidRPr="003B65CF">
        <w:t xml:space="preserve"> </w:t>
      </w:r>
      <w:r>
        <w:t>would</w:t>
      </w:r>
      <w:r w:rsidR="003B65CF" w:rsidRPr="003B65CF">
        <w:t xml:space="preserve"> </w:t>
      </w:r>
      <w:r>
        <w:t>be</w:t>
      </w:r>
      <w:r w:rsidR="003B65CF" w:rsidRPr="003B65CF">
        <w:t xml:space="preserve"> </w:t>
      </w:r>
      <w:r>
        <w:t>inappropriate</w:t>
      </w:r>
      <w:r w:rsidR="003B65CF" w:rsidRPr="003B65CF">
        <w:t xml:space="preserve"> </w:t>
      </w:r>
      <w:r>
        <w:t>to</w:t>
      </w:r>
      <w:r w:rsidR="003B65CF" w:rsidRPr="003B65CF">
        <w:t xml:space="preserve"> </w:t>
      </w:r>
      <w:r>
        <w:t>do</w:t>
      </w:r>
      <w:r w:rsidR="003B65CF" w:rsidRPr="003B65CF">
        <w:t xml:space="preserve"> </w:t>
      </w:r>
      <w:r>
        <w:t>so.</w:t>
      </w:r>
    </w:p>
    <w:p w:rsidR="003B65CF" w:rsidRDefault="00C533D3" w:rsidP="00C533D3">
      <w:pPr>
        <w:pStyle w:val="N2"/>
      </w:pPr>
      <w:r>
        <w:t>An</w:t>
      </w:r>
      <w:r w:rsidR="003B65CF" w:rsidRPr="003B65CF">
        <w:t xml:space="preserve"> </w:t>
      </w:r>
      <w:r>
        <w:t>enforcement</w:t>
      </w:r>
      <w:r w:rsidR="003B65CF" w:rsidRPr="003B65CF">
        <w:t xml:space="preserve"> </w:t>
      </w:r>
      <w:r>
        <w:t>authority</w:t>
      </w:r>
      <w:r w:rsidR="003B65CF" w:rsidRPr="003B65CF">
        <w:t xml:space="preserve"> </w:t>
      </w:r>
      <w:r>
        <w:t>must</w:t>
      </w:r>
      <w:r w:rsidR="003B65CF" w:rsidRPr="003B65CF">
        <w:t xml:space="preserve"> </w:t>
      </w:r>
      <w:r>
        <w:t>publicise</w:t>
      </w:r>
      <w:r w:rsidR="003B65CF" w:rsidRPr="003B65CF">
        <w:t xml:space="preserve"> </w:t>
      </w:r>
      <w:r>
        <w:t>any</w:t>
      </w:r>
      <w:r w:rsidR="003B65CF" w:rsidRPr="003B65CF">
        <w:t xml:space="preserve"> </w:t>
      </w:r>
      <w:r>
        <w:t>improvement</w:t>
      </w:r>
      <w:r w:rsidR="003B65CF" w:rsidRPr="003B65CF">
        <w:t xml:space="preserve"> </w:t>
      </w:r>
      <w:r>
        <w:t>notice</w:t>
      </w:r>
      <w:r w:rsidR="003B65CF" w:rsidRPr="003B65CF">
        <w:t xml:space="preserve"> </w:t>
      </w:r>
      <w:r>
        <w:t>given</w:t>
      </w:r>
      <w:r w:rsidR="003B65CF" w:rsidRPr="003B65CF">
        <w:t xml:space="preserve"> </w:t>
      </w:r>
      <w:r>
        <w:t>by</w:t>
      </w:r>
      <w:r w:rsidR="003B65CF" w:rsidRPr="003B65CF">
        <w:t xml:space="preserve"> </w:t>
      </w:r>
      <w:r>
        <w:t>it</w:t>
      </w:r>
      <w:r w:rsidR="003B65CF" w:rsidRPr="003B65CF">
        <w:t xml:space="preserve"> </w:t>
      </w:r>
      <w:r>
        <w:t>under</w:t>
      </w:r>
      <w:r w:rsidR="003B65CF" w:rsidRPr="003B65CF">
        <w:t xml:space="preserve"> </w:t>
      </w:r>
      <w:r w:rsidR="00681B4E" w:rsidRPr="00681B4E">
        <w:t>regulation</w:t>
      </w:r>
      <w:r w:rsidR="003B65CF" w:rsidRPr="003B65CF">
        <w:t xml:space="preserve"> </w:t>
      </w:r>
      <w:r w:rsidR="00681B4E" w:rsidRPr="00681B4E">
        <w:t>11</w:t>
      </w:r>
      <w:r w:rsidR="003B65CF" w:rsidRPr="003B65CF">
        <w:t xml:space="preserve"> </w:t>
      </w:r>
      <w:r>
        <w:t>in</w:t>
      </w:r>
      <w:r w:rsidR="003B65CF" w:rsidRPr="003B65CF">
        <w:t xml:space="preserve"> </w:t>
      </w:r>
      <w:r>
        <w:t>such</w:t>
      </w:r>
      <w:r w:rsidR="003B65CF" w:rsidRPr="003B65CF">
        <w:t xml:space="preserve"> </w:t>
      </w:r>
      <w:r>
        <w:t>manner</w:t>
      </w:r>
      <w:r w:rsidR="003B65CF" w:rsidRPr="003B65CF">
        <w:t xml:space="preserve"> </w:t>
      </w:r>
      <w:r>
        <w:t>as</w:t>
      </w:r>
      <w:r w:rsidR="003B65CF" w:rsidRPr="003B65CF">
        <w:t xml:space="preserve"> </w:t>
      </w:r>
      <w:r>
        <w:t>it</w:t>
      </w:r>
      <w:r w:rsidR="003B65CF" w:rsidRPr="003B65CF">
        <w:t xml:space="preserve"> </w:t>
      </w:r>
      <w:r>
        <w:t>sees</w:t>
      </w:r>
      <w:r w:rsidR="003B65CF" w:rsidRPr="003B65CF">
        <w:t xml:space="preserve"> </w:t>
      </w:r>
      <w:r>
        <w:t>fit.</w:t>
      </w:r>
    </w:p>
    <w:p w:rsidR="003B65CF" w:rsidRDefault="00C533D3" w:rsidP="00C533D3">
      <w:pPr>
        <w:pStyle w:val="N2"/>
      </w:pPr>
      <w:r>
        <w:t>But</w:t>
      </w:r>
      <w:r w:rsidR="003B65CF" w:rsidRPr="003B65CF">
        <w:t xml:space="preserve"> </w:t>
      </w:r>
      <w:r>
        <w:t>an</w:t>
      </w:r>
      <w:r w:rsidR="003B65CF" w:rsidRPr="003B65CF">
        <w:t xml:space="preserve"> </w:t>
      </w:r>
      <w:r>
        <w:t>enforcement</w:t>
      </w:r>
      <w:r w:rsidR="003B65CF" w:rsidRPr="003B65CF">
        <w:t xml:space="preserve"> </w:t>
      </w:r>
      <w:r>
        <w:t>authority</w:t>
      </w:r>
      <w:r w:rsidR="003B65CF" w:rsidRPr="003B65CF">
        <w:t xml:space="preserve"> </w:t>
      </w:r>
      <w:r>
        <w:t>must</w:t>
      </w:r>
      <w:r w:rsidR="003B65CF" w:rsidRPr="003B65CF">
        <w:t xml:space="preserve"> </w:t>
      </w:r>
      <w:r>
        <w:t>not</w:t>
      </w:r>
      <w:r w:rsidR="003B65CF" w:rsidRPr="003B65CF">
        <w:t xml:space="preserve"> </w:t>
      </w:r>
      <w:r>
        <w:t>publicise</w:t>
      </w:r>
      <w:r w:rsidR="003B65CF" w:rsidRPr="003B65CF">
        <w:t xml:space="preserve"> </w:t>
      </w:r>
      <w:r>
        <w:t>an</w:t>
      </w:r>
      <w:r w:rsidR="003B65CF" w:rsidRPr="003B65CF">
        <w:t xml:space="preserve"> </w:t>
      </w:r>
      <w:r>
        <w:t>improvement</w:t>
      </w:r>
      <w:r w:rsidR="003B65CF" w:rsidRPr="003B65CF">
        <w:t xml:space="preserve"> </w:t>
      </w:r>
      <w:r>
        <w:t>notice</w:t>
      </w:r>
      <w:r w:rsidR="003B65CF" w:rsidRPr="003B65CF">
        <w:t xml:space="preserve"> </w:t>
      </w:r>
      <w:r>
        <w:t>given</w:t>
      </w:r>
      <w:r w:rsidR="003B65CF" w:rsidRPr="003B65CF">
        <w:t xml:space="preserve"> </w:t>
      </w:r>
      <w:r>
        <w:t>by</w:t>
      </w:r>
      <w:r w:rsidR="003B65CF" w:rsidRPr="003B65CF">
        <w:t xml:space="preserve"> </w:t>
      </w:r>
      <w:r>
        <w:t>it</w:t>
      </w:r>
      <w:r w:rsidR="003B65CF" w:rsidRPr="003B65CF">
        <w:t xml:space="preserve"> </w:t>
      </w:r>
      <w:r>
        <w:t>under</w:t>
      </w:r>
      <w:r w:rsidR="003B65CF" w:rsidRPr="003B65CF">
        <w:t xml:space="preserve"> </w:t>
      </w:r>
      <w:r w:rsidRPr="00681B4E">
        <w:t>regula</w:t>
      </w:r>
      <w:r w:rsidR="00681B4E" w:rsidRPr="00681B4E">
        <w:t>tion</w:t>
      </w:r>
      <w:r w:rsidR="003B65CF" w:rsidRPr="003B65CF">
        <w:t xml:space="preserve"> </w:t>
      </w:r>
      <w:r w:rsidR="00681B4E" w:rsidRPr="00681B4E">
        <w:t>11</w:t>
      </w:r>
      <w:r>
        <w:t>—</w:t>
      </w:r>
    </w:p>
    <w:p w:rsidR="00C533D3" w:rsidRDefault="00C533D3" w:rsidP="00C533D3">
      <w:pPr>
        <w:pStyle w:val="N3"/>
      </w:pPr>
      <w:r>
        <w:t>until</w:t>
      </w:r>
      <w:r w:rsidR="003B65CF" w:rsidRPr="003B65CF">
        <w:t xml:space="preserve"> </w:t>
      </w:r>
      <w:r>
        <w:t>the</w:t>
      </w:r>
      <w:r w:rsidR="003B65CF" w:rsidRPr="003B65CF">
        <w:t xml:space="preserve"> </w:t>
      </w:r>
      <w:r>
        <w:t>time</w:t>
      </w:r>
      <w:r w:rsidR="003B65CF" w:rsidRPr="003B65CF">
        <w:t xml:space="preserve"> </w:t>
      </w:r>
      <w:r>
        <w:t>for</w:t>
      </w:r>
      <w:r w:rsidR="003B65CF" w:rsidRPr="003B65CF">
        <w:t xml:space="preserve"> </w:t>
      </w:r>
      <w:r>
        <w:t>appealing</w:t>
      </w:r>
      <w:r w:rsidR="003B65CF" w:rsidRPr="003B65CF">
        <w:t xml:space="preserve"> </w:t>
      </w:r>
      <w:r>
        <w:t>against</w:t>
      </w:r>
      <w:r w:rsidR="003B65CF" w:rsidRPr="003B65CF">
        <w:t xml:space="preserve"> </w:t>
      </w:r>
      <w:r>
        <w:t>the</w:t>
      </w:r>
      <w:r w:rsidR="003B65CF" w:rsidRPr="003B65CF">
        <w:t xml:space="preserve"> </w:t>
      </w:r>
      <w:r>
        <w:t>imposition</w:t>
      </w:r>
      <w:r w:rsidR="003B65CF" w:rsidRPr="003B65CF">
        <w:t xml:space="preserve"> </w:t>
      </w:r>
      <w:r>
        <w:t>of</w:t>
      </w:r>
      <w:r w:rsidR="003B65CF" w:rsidRPr="003B65CF">
        <w:t xml:space="preserve"> </w:t>
      </w:r>
      <w:r>
        <w:t>the</w:t>
      </w:r>
      <w:r w:rsidR="003B65CF" w:rsidRPr="003B65CF">
        <w:t xml:space="preserve"> </w:t>
      </w:r>
      <w:r>
        <w:t>improvement</w:t>
      </w:r>
      <w:r w:rsidR="003B65CF" w:rsidRPr="003B65CF">
        <w:t xml:space="preserve"> </w:t>
      </w:r>
      <w:r>
        <w:t>notice</w:t>
      </w:r>
      <w:r w:rsidR="003B65CF" w:rsidRPr="003B65CF">
        <w:t xml:space="preserve"> </w:t>
      </w:r>
      <w:r>
        <w:t>has</w:t>
      </w:r>
      <w:r w:rsidR="003B65CF" w:rsidRPr="003B65CF">
        <w:t xml:space="preserve"> </w:t>
      </w:r>
      <w:r>
        <w:t>passed;</w:t>
      </w:r>
    </w:p>
    <w:p w:rsidR="00C533D3" w:rsidRDefault="00C533D3" w:rsidP="00C533D3">
      <w:pPr>
        <w:pStyle w:val="N3"/>
      </w:pPr>
      <w:r>
        <w:t>during</w:t>
      </w:r>
      <w:r w:rsidR="003B65CF" w:rsidRPr="003B65CF">
        <w:t xml:space="preserve"> </w:t>
      </w:r>
      <w:r>
        <w:t>the</w:t>
      </w:r>
      <w:r w:rsidR="003B65CF" w:rsidRPr="003B65CF">
        <w:t xml:space="preserve"> </w:t>
      </w:r>
      <w:r>
        <w:t>period</w:t>
      </w:r>
      <w:r w:rsidR="003B65CF" w:rsidRPr="003B65CF">
        <w:t xml:space="preserve"> </w:t>
      </w:r>
      <w:r>
        <w:t>that</w:t>
      </w:r>
      <w:r w:rsidR="003B65CF" w:rsidRPr="003B65CF">
        <w:t xml:space="preserve"> </w:t>
      </w:r>
      <w:r>
        <w:t>any</w:t>
      </w:r>
      <w:r w:rsidR="003B65CF" w:rsidRPr="003B65CF">
        <w:t xml:space="preserve"> </w:t>
      </w:r>
      <w:r>
        <w:t>appeal</w:t>
      </w:r>
      <w:r w:rsidR="003B65CF" w:rsidRPr="003B65CF">
        <w:t xml:space="preserve"> </w:t>
      </w:r>
      <w:r>
        <w:t>against</w:t>
      </w:r>
      <w:r w:rsidR="003B65CF" w:rsidRPr="003B65CF">
        <w:t xml:space="preserve"> </w:t>
      </w:r>
      <w:r>
        <w:t>the</w:t>
      </w:r>
      <w:r w:rsidR="003B65CF" w:rsidRPr="003B65CF">
        <w:t xml:space="preserve"> </w:t>
      </w:r>
      <w:r>
        <w:t>imposition</w:t>
      </w:r>
      <w:r w:rsidR="003B65CF" w:rsidRPr="003B65CF">
        <w:t xml:space="preserve"> </w:t>
      </w:r>
      <w:r>
        <w:t>of</w:t>
      </w:r>
      <w:r w:rsidR="003B65CF" w:rsidRPr="003B65CF">
        <w:t xml:space="preserve"> </w:t>
      </w:r>
      <w:r>
        <w:t>the</w:t>
      </w:r>
      <w:r w:rsidR="003B65CF" w:rsidRPr="003B65CF">
        <w:t xml:space="preserve"> </w:t>
      </w:r>
      <w:r>
        <w:t>improvement</w:t>
      </w:r>
      <w:r w:rsidR="003B65CF" w:rsidRPr="003B65CF">
        <w:t xml:space="preserve"> </w:t>
      </w:r>
      <w:r>
        <w:t>notice</w:t>
      </w:r>
      <w:r w:rsidR="003B65CF" w:rsidRPr="003B65CF">
        <w:t xml:space="preserve"> </w:t>
      </w:r>
      <w:r>
        <w:t>is</w:t>
      </w:r>
      <w:r w:rsidR="003B65CF" w:rsidRPr="003B65CF">
        <w:t xml:space="preserve"> </w:t>
      </w:r>
      <w:r>
        <w:t>ongoing;</w:t>
      </w:r>
      <w:r w:rsidR="003B65CF" w:rsidRPr="003B65CF">
        <w:t xml:space="preserve"> </w:t>
      </w:r>
      <w:r>
        <w:t>or</w:t>
      </w:r>
    </w:p>
    <w:p w:rsidR="00C533D3" w:rsidRDefault="00C533D3" w:rsidP="00C533D3">
      <w:pPr>
        <w:pStyle w:val="N3"/>
      </w:pPr>
      <w:r>
        <w:t>in</w:t>
      </w:r>
      <w:r w:rsidR="003B65CF" w:rsidRPr="003B65CF">
        <w:t xml:space="preserve"> </w:t>
      </w:r>
      <w:r>
        <w:t>any</w:t>
      </w:r>
      <w:r w:rsidR="003B65CF" w:rsidRPr="003B65CF">
        <w:t xml:space="preserve"> </w:t>
      </w:r>
      <w:r>
        <w:t>other</w:t>
      </w:r>
      <w:r w:rsidR="003B65CF" w:rsidRPr="003B65CF">
        <w:t xml:space="preserve"> </w:t>
      </w:r>
      <w:r>
        <w:t>case</w:t>
      </w:r>
      <w:r w:rsidR="003B65CF" w:rsidRPr="003B65CF">
        <w:t xml:space="preserve"> </w:t>
      </w:r>
      <w:r>
        <w:t>where</w:t>
      </w:r>
      <w:r w:rsidR="003B65CF" w:rsidRPr="003B65CF">
        <w:t xml:space="preserve"> </w:t>
      </w:r>
      <w:r>
        <w:t>the</w:t>
      </w:r>
      <w:r w:rsidR="003B65CF" w:rsidRPr="003B65CF">
        <w:t xml:space="preserve"> </w:t>
      </w:r>
      <w:r>
        <w:t>enforcement</w:t>
      </w:r>
      <w:r w:rsidR="003B65CF" w:rsidRPr="003B65CF">
        <w:t xml:space="preserve"> </w:t>
      </w:r>
      <w:r>
        <w:t>authority</w:t>
      </w:r>
      <w:r w:rsidR="003B65CF" w:rsidRPr="003B65CF">
        <w:t xml:space="preserve"> </w:t>
      </w:r>
      <w:r>
        <w:t>considers</w:t>
      </w:r>
      <w:r w:rsidR="003B65CF" w:rsidRPr="003B65CF">
        <w:t xml:space="preserve"> </w:t>
      </w:r>
      <w:r>
        <w:t>that</w:t>
      </w:r>
      <w:r w:rsidR="003B65CF" w:rsidRPr="003B65CF">
        <w:t xml:space="preserve"> </w:t>
      </w:r>
      <w:r>
        <w:t>it</w:t>
      </w:r>
      <w:r w:rsidR="003B65CF" w:rsidRPr="003B65CF">
        <w:t xml:space="preserve"> </w:t>
      </w:r>
      <w:r>
        <w:t>would</w:t>
      </w:r>
      <w:r w:rsidR="003B65CF" w:rsidRPr="003B65CF">
        <w:t xml:space="preserve"> </w:t>
      </w:r>
      <w:r>
        <w:t>be</w:t>
      </w:r>
      <w:r w:rsidR="003B65CF" w:rsidRPr="003B65CF">
        <w:t xml:space="preserve"> </w:t>
      </w:r>
      <w:r>
        <w:t>inappropriate</w:t>
      </w:r>
      <w:r w:rsidR="003B65CF" w:rsidRPr="003B65CF">
        <w:t xml:space="preserve"> </w:t>
      </w:r>
      <w:r>
        <w:t>to</w:t>
      </w:r>
      <w:r w:rsidR="003B65CF" w:rsidRPr="003B65CF">
        <w:t xml:space="preserve"> </w:t>
      </w:r>
      <w:r>
        <w:t>do</w:t>
      </w:r>
      <w:r w:rsidR="003B65CF" w:rsidRPr="003B65CF">
        <w:t xml:space="preserve"> </w:t>
      </w:r>
      <w:r>
        <w:t>so.</w:t>
      </w:r>
    </w:p>
    <w:p w:rsidR="00C533D3" w:rsidRDefault="00C533D3" w:rsidP="00C533D3">
      <w:pPr>
        <w:pStyle w:val="H1"/>
      </w:pPr>
      <w:r w:rsidRPr="00C533D3">
        <w:t>Obstruction</w:t>
      </w:r>
    </w:p>
    <w:p w:rsidR="003B65CF" w:rsidRDefault="003B65CF" w:rsidP="00C533D3">
      <w:pPr>
        <w:pStyle w:val="N1"/>
      </w:pPr>
      <w:r>
        <w:t> </w:t>
      </w:r>
      <w:r w:rsidR="00C533D3">
        <w:t>A</w:t>
      </w:r>
      <w:r w:rsidRPr="003B65CF">
        <w:t xml:space="preserve"> </w:t>
      </w:r>
      <w:r w:rsidR="00C533D3">
        <w:t>person</w:t>
      </w:r>
      <w:r w:rsidRPr="003B65CF">
        <w:t xml:space="preserve"> </w:t>
      </w:r>
      <w:r w:rsidR="00C533D3">
        <w:t>(“P”)</w:t>
      </w:r>
      <w:r w:rsidRPr="003B65CF">
        <w:t xml:space="preserve"> </w:t>
      </w:r>
      <w:r w:rsidR="00C533D3">
        <w:t>is</w:t>
      </w:r>
      <w:r w:rsidRPr="003B65CF">
        <w:t xml:space="preserve"> </w:t>
      </w:r>
      <w:r w:rsidR="00C533D3">
        <w:t>guilty</w:t>
      </w:r>
      <w:r w:rsidRPr="003B65CF">
        <w:t xml:space="preserve"> </w:t>
      </w:r>
      <w:r w:rsidR="00C533D3">
        <w:t>of</w:t>
      </w:r>
      <w:r w:rsidRPr="003B65CF">
        <w:t xml:space="preserve"> </w:t>
      </w:r>
      <w:r w:rsidR="00C533D3">
        <w:t>an</w:t>
      </w:r>
      <w:r w:rsidRPr="003B65CF">
        <w:t xml:space="preserve"> </w:t>
      </w:r>
      <w:r w:rsidR="00C533D3">
        <w:t>offence</w:t>
      </w:r>
      <w:r w:rsidRPr="003B65CF">
        <w:t xml:space="preserve"> </w:t>
      </w:r>
      <w:r w:rsidR="00C533D3">
        <w:t>if</w:t>
      </w:r>
      <w:r w:rsidRPr="003B65CF">
        <w:t xml:space="preserve"> </w:t>
      </w:r>
      <w:r w:rsidR="00C533D3">
        <w:t>they—</w:t>
      </w:r>
    </w:p>
    <w:p w:rsidR="00C533D3" w:rsidRDefault="00C533D3" w:rsidP="00C533D3">
      <w:pPr>
        <w:pStyle w:val="N3"/>
      </w:pPr>
      <w:r>
        <w:t>obstruct</w:t>
      </w:r>
      <w:r w:rsidR="003B65CF" w:rsidRPr="003B65CF">
        <w:t xml:space="preserve"> </w:t>
      </w:r>
      <w:r>
        <w:t>any</w:t>
      </w:r>
      <w:r w:rsidR="003B65CF" w:rsidRPr="003B65CF">
        <w:t xml:space="preserve"> </w:t>
      </w:r>
      <w:r>
        <w:t>person</w:t>
      </w:r>
      <w:r w:rsidR="003B65CF" w:rsidRPr="003B65CF">
        <w:t xml:space="preserve"> </w:t>
      </w:r>
      <w:r>
        <w:t>(“O”)</w:t>
      </w:r>
      <w:r w:rsidR="003B65CF" w:rsidRPr="003B65CF">
        <w:t xml:space="preserve"> </w:t>
      </w:r>
      <w:r>
        <w:t>acting</w:t>
      </w:r>
      <w:r w:rsidR="003B65CF" w:rsidRPr="003B65CF">
        <w:t xml:space="preserve"> </w:t>
      </w:r>
      <w:r>
        <w:t>in</w:t>
      </w:r>
      <w:r w:rsidR="003B65CF" w:rsidRPr="003B65CF">
        <w:t xml:space="preserve"> </w:t>
      </w:r>
      <w:r>
        <w:t>the</w:t>
      </w:r>
      <w:r w:rsidR="003B65CF" w:rsidRPr="003B65CF">
        <w:t xml:space="preserve"> </w:t>
      </w:r>
      <w:r>
        <w:t>execution</w:t>
      </w:r>
      <w:r w:rsidR="003B65CF" w:rsidRPr="003B65CF">
        <w:t xml:space="preserve"> </w:t>
      </w:r>
      <w:r>
        <w:t>of</w:t>
      </w:r>
      <w:r w:rsidR="003B65CF" w:rsidRPr="003B65CF">
        <w:t xml:space="preserve"> </w:t>
      </w:r>
      <w:r>
        <w:t>these</w:t>
      </w:r>
      <w:r w:rsidR="003B65CF" w:rsidRPr="003B65CF">
        <w:t xml:space="preserve"> </w:t>
      </w:r>
      <w:r>
        <w:t>Regulations;</w:t>
      </w:r>
    </w:p>
    <w:p w:rsidR="00C533D3" w:rsidRDefault="00C533D3" w:rsidP="00C533D3">
      <w:pPr>
        <w:pStyle w:val="N3"/>
      </w:pPr>
      <w:r>
        <w:t>fail</w:t>
      </w:r>
      <w:r w:rsidR="003B65CF" w:rsidRPr="003B65CF">
        <w:t xml:space="preserve"> </w:t>
      </w:r>
      <w:r>
        <w:t>to</w:t>
      </w:r>
      <w:r w:rsidR="003B65CF" w:rsidRPr="003B65CF">
        <w:t xml:space="preserve"> </w:t>
      </w:r>
      <w:r>
        <w:t>give</w:t>
      </w:r>
      <w:r w:rsidR="003B65CF" w:rsidRPr="003B65CF">
        <w:t xml:space="preserve"> </w:t>
      </w:r>
      <w:r>
        <w:t>to</w:t>
      </w:r>
      <w:r w:rsidR="003B65CF" w:rsidRPr="003B65CF">
        <w:t xml:space="preserve"> </w:t>
      </w:r>
      <w:r>
        <w:t>O</w:t>
      </w:r>
      <w:r w:rsidR="003B65CF" w:rsidRPr="003B65CF">
        <w:t xml:space="preserve"> </w:t>
      </w:r>
      <w:r>
        <w:t>any</w:t>
      </w:r>
      <w:r w:rsidR="003B65CF" w:rsidRPr="003B65CF">
        <w:t xml:space="preserve"> </w:t>
      </w:r>
      <w:r>
        <w:t>assistance</w:t>
      </w:r>
      <w:r w:rsidR="003B65CF" w:rsidRPr="003B65CF">
        <w:t xml:space="preserve"> </w:t>
      </w:r>
      <w:r>
        <w:t>or</w:t>
      </w:r>
      <w:r w:rsidR="003B65CF" w:rsidRPr="003B65CF">
        <w:t xml:space="preserve"> </w:t>
      </w:r>
      <w:r>
        <w:t>information</w:t>
      </w:r>
      <w:r w:rsidR="003B65CF" w:rsidRPr="003B65CF">
        <w:t xml:space="preserve"> </w:t>
      </w:r>
      <w:r>
        <w:t>that</w:t>
      </w:r>
      <w:r w:rsidR="003B65CF" w:rsidRPr="003B65CF">
        <w:t xml:space="preserve"> </w:t>
      </w:r>
      <w:r>
        <w:t>O</w:t>
      </w:r>
      <w:r w:rsidR="003B65CF" w:rsidRPr="003B65CF">
        <w:t xml:space="preserve"> </w:t>
      </w:r>
      <w:r>
        <w:t>may</w:t>
      </w:r>
      <w:r w:rsidR="003B65CF" w:rsidRPr="003B65CF">
        <w:t xml:space="preserve"> </w:t>
      </w:r>
      <w:r>
        <w:t>reasonably</w:t>
      </w:r>
      <w:r w:rsidR="003B65CF" w:rsidRPr="003B65CF">
        <w:t xml:space="preserve"> </w:t>
      </w:r>
      <w:r>
        <w:t>require</w:t>
      </w:r>
      <w:r w:rsidR="003B65CF" w:rsidRPr="003B65CF">
        <w:t xml:space="preserve"> </w:t>
      </w:r>
      <w:r>
        <w:t>of</w:t>
      </w:r>
      <w:r w:rsidR="003B65CF" w:rsidRPr="003B65CF">
        <w:t xml:space="preserve"> </w:t>
      </w:r>
      <w:r>
        <w:t>P</w:t>
      </w:r>
      <w:r w:rsidR="003B65CF" w:rsidRPr="003B65CF">
        <w:t xml:space="preserve"> </w:t>
      </w:r>
      <w:r>
        <w:t>for</w:t>
      </w:r>
      <w:r w:rsidR="003B65CF" w:rsidRPr="003B65CF">
        <w:t xml:space="preserve"> </w:t>
      </w:r>
      <w:r>
        <w:t>the</w:t>
      </w:r>
      <w:r w:rsidR="003B65CF" w:rsidRPr="003B65CF">
        <w:t xml:space="preserve"> </w:t>
      </w:r>
      <w:r>
        <w:t>performance</w:t>
      </w:r>
      <w:r w:rsidR="003B65CF" w:rsidRPr="003B65CF">
        <w:t xml:space="preserve"> </w:t>
      </w:r>
      <w:r>
        <w:t>of</w:t>
      </w:r>
      <w:r w:rsidR="003B65CF" w:rsidRPr="003B65CF">
        <w:t xml:space="preserve"> </w:t>
      </w:r>
      <w:r>
        <w:t>O’s</w:t>
      </w:r>
      <w:r w:rsidR="003B65CF" w:rsidRPr="003B65CF">
        <w:t xml:space="preserve"> </w:t>
      </w:r>
      <w:r>
        <w:t>functions</w:t>
      </w:r>
      <w:r w:rsidR="003B65CF" w:rsidRPr="003B65CF">
        <w:t xml:space="preserve"> </w:t>
      </w:r>
      <w:r>
        <w:t>under</w:t>
      </w:r>
      <w:r w:rsidR="003B65CF" w:rsidRPr="003B65CF">
        <w:t xml:space="preserve"> </w:t>
      </w:r>
      <w:r>
        <w:t>these</w:t>
      </w:r>
      <w:r w:rsidR="003B65CF" w:rsidRPr="003B65CF">
        <w:t xml:space="preserve"> </w:t>
      </w:r>
      <w:r>
        <w:t>Regulations;</w:t>
      </w:r>
    </w:p>
    <w:p w:rsidR="00C533D3" w:rsidRDefault="00C533D3" w:rsidP="00C533D3">
      <w:pPr>
        <w:pStyle w:val="N3"/>
      </w:pPr>
      <w:r>
        <w:t>furnish</w:t>
      </w:r>
      <w:r w:rsidR="003B65CF" w:rsidRPr="003B65CF">
        <w:t xml:space="preserve"> </w:t>
      </w:r>
      <w:r>
        <w:t>any</w:t>
      </w:r>
      <w:r w:rsidR="003B65CF" w:rsidRPr="003B65CF">
        <w:t xml:space="preserve"> </w:t>
      </w:r>
      <w:r>
        <w:t>false</w:t>
      </w:r>
      <w:r w:rsidR="003B65CF" w:rsidRPr="003B65CF">
        <w:t xml:space="preserve"> </w:t>
      </w:r>
      <w:r>
        <w:t>or</w:t>
      </w:r>
      <w:r w:rsidR="003B65CF" w:rsidRPr="003B65CF">
        <w:t xml:space="preserve"> </w:t>
      </w:r>
      <w:r>
        <w:t>misleading</w:t>
      </w:r>
      <w:r w:rsidR="003B65CF" w:rsidRPr="003B65CF">
        <w:t xml:space="preserve"> </w:t>
      </w:r>
      <w:r>
        <w:t>information</w:t>
      </w:r>
      <w:r w:rsidR="003B65CF" w:rsidRPr="003B65CF">
        <w:t xml:space="preserve"> </w:t>
      </w:r>
      <w:r>
        <w:t>to</w:t>
      </w:r>
      <w:r w:rsidR="003B65CF" w:rsidRPr="003B65CF">
        <w:t xml:space="preserve"> </w:t>
      </w:r>
      <w:r>
        <w:t>O;</w:t>
      </w:r>
      <w:r w:rsidR="003B65CF" w:rsidRPr="003B65CF">
        <w:t xml:space="preserve"> </w:t>
      </w:r>
      <w:r>
        <w:t>or</w:t>
      </w:r>
    </w:p>
    <w:p w:rsidR="00C533D3" w:rsidRDefault="00C533D3" w:rsidP="00C533D3">
      <w:pPr>
        <w:pStyle w:val="N3"/>
      </w:pPr>
      <w:r>
        <w:t>fail</w:t>
      </w:r>
      <w:r w:rsidR="003B65CF" w:rsidRPr="003B65CF">
        <w:t xml:space="preserve"> </w:t>
      </w:r>
      <w:r>
        <w:t>to</w:t>
      </w:r>
      <w:r w:rsidR="003B65CF" w:rsidRPr="003B65CF">
        <w:t xml:space="preserve"> </w:t>
      </w:r>
      <w:r>
        <w:t>produce</w:t>
      </w:r>
      <w:r w:rsidR="003B65CF" w:rsidRPr="003B65CF">
        <w:t xml:space="preserve"> </w:t>
      </w:r>
      <w:r>
        <w:t>a</w:t>
      </w:r>
      <w:r w:rsidR="003B65CF" w:rsidRPr="003B65CF">
        <w:t xml:space="preserve"> </w:t>
      </w:r>
      <w:r>
        <w:t>record</w:t>
      </w:r>
      <w:r w:rsidR="003B65CF" w:rsidRPr="003B65CF">
        <w:t xml:space="preserve"> </w:t>
      </w:r>
      <w:r>
        <w:t>when</w:t>
      </w:r>
      <w:r w:rsidR="003B65CF" w:rsidRPr="003B65CF">
        <w:t xml:space="preserve"> </w:t>
      </w:r>
      <w:r>
        <w:t>required</w:t>
      </w:r>
      <w:r w:rsidR="003B65CF" w:rsidRPr="003B65CF">
        <w:t xml:space="preserve"> </w:t>
      </w:r>
      <w:r>
        <w:t>to</w:t>
      </w:r>
      <w:r w:rsidR="003B65CF" w:rsidRPr="003B65CF">
        <w:t xml:space="preserve"> </w:t>
      </w:r>
      <w:r>
        <w:t>do</w:t>
      </w:r>
      <w:r w:rsidR="003B65CF" w:rsidRPr="003B65CF">
        <w:t xml:space="preserve"> </w:t>
      </w:r>
      <w:r>
        <w:t>so</w:t>
      </w:r>
      <w:r w:rsidR="003B65CF" w:rsidRPr="003B65CF">
        <w:t xml:space="preserve"> </w:t>
      </w:r>
      <w:r>
        <w:t>by</w:t>
      </w:r>
      <w:r w:rsidR="003B65CF" w:rsidRPr="003B65CF">
        <w:t xml:space="preserve"> </w:t>
      </w:r>
      <w:r>
        <w:t>O.</w:t>
      </w:r>
    </w:p>
    <w:p w:rsidR="00C533D3" w:rsidRDefault="00C533D3" w:rsidP="00C533D3">
      <w:pPr>
        <w:pStyle w:val="H1"/>
      </w:pPr>
      <w:r w:rsidRPr="00C533D3">
        <w:t>Criminal</w:t>
      </w:r>
      <w:r w:rsidR="003B65CF" w:rsidRPr="003B65CF">
        <w:t xml:space="preserve"> </w:t>
      </w:r>
      <w:r w:rsidRPr="00C533D3">
        <w:t>offences:</w:t>
      </w:r>
      <w:r w:rsidR="003B65CF" w:rsidRPr="003B65CF">
        <w:t xml:space="preserve"> </w:t>
      </w:r>
      <w:r w:rsidRPr="00C533D3">
        <w:t>punishment</w:t>
      </w:r>
    </w:p>
    <w:p w:rsidR="003B65CF" w:rsidRDefault="00C533D3" w:rsidP="00C533D3">
      <w:pPr>
        <w:pStyle w:val="N1"/>
      </w:pPr>
      <w:r>
        <w:t>—</w:t>
      </w:r>
      <w:r>
        <w:fldChar w:fldCharType="begin"/>
      </w:r>
      <w:r>
        <w:instrText xml:space="preserve"> LISTNUM "SEQ1" \l 2 </w:instrText>
      </w:r>
      <w:r>
        <w:fldChar w:fldCharType="end">
          <w:numberingChange w:id="13" w:author="Boyd, Steve" w:date="2021-06-21T19:46:00Z" w:original="(1)"/>
        </w:fldChar>
      </w:r>
      <w:r w:rsidR="003B65CF" w:rsidRPr="003B65CF">
        <w:t> </w:t>
      </w:r>
      <w:r>
        <w:t>A</w:t>
      </w:r>
      <w:r w:rsidR="003B65CF" w:rsidRPr="003B65CF">
        <w:t xml:space="preserve"> </w:t>
      </w:r>
      <w:r>
        <w:t>person</w:t>
      </w:r>
      <w:r w:rsidR="003B65CF" w:rsidRPr="003B65CF">
        <w:t xml:space="preserve"> </w:t>
      </w:r>
      <w:r>
        <w:t>guilty</w:t>
      </w:r>
      <w:r w:rsidR="003B65CF" w:rsidRPr="003B65CF">
        <w:t xml:space="preserve"> </w:t>
      </w:r>
      <w:r>
        <w:t>of</w:t>
      </w:r>
      <w:r w:rsidR="003B65CF" w:rsidRPr="003B65CF">
        <w:t xml:space="preserve"> </w:t>
      </w:r>
      <w:r>
        <w:t>any</w:t>
      </w:r>
      <w:r w:rsidR="003B65CF" w:rsidRPr="003B65CF">
        <w:t xml:space="preserve"> </w:t>
      </w:r>
      <w:r>
        <w:t>offence</w:t>
      </w:r>
      <w:r w:rsidR="003B65CF" w:rsidRPr="003B65CF">
        <w:t xml:space="preserve"> </w:t>
      </w:r>
      <w:r>
        <w:t>under</w:t>
      </w:r>
      <w:r w:rsidR="003B65CF" w:rsidRPr="003B65CF">
        <w:t xml:space="preserve"> </w:t>
      </w:r>
      <w:r w:rsidR="00681B4E" w:rsidRPr="00681B4E">
        <w:t>regulation</w:t>
      </w:r>
      <w:r w:rsidR="003B65CF" w:rsidRPr="003B65CF">
        <w:t xml:space="preserve"> </w:t>
      </w:r>
      <w:r w:rsidR="00681B4E" w:rsidRPr="00681B4E">
        <w:t>3</w:t>
      </w:r>
      <w:r w:rsidR="002569F2">
        <w:t>(1)</w:t>
      </w:r>
      <w:r w:rsidR="003B65CF" w:rsidRPr="003B65CF">
        <w:t xml:space="preserve"> </w:t>
      </w:r>
      <w:r w:rsidR="00770456">
        <w:t>or</w:t>
      </w:r>
      <w:r w:rsidR="003B65CF" w:rsidRPr="003B65CF">
        <w:t xml:space="preserve"> </w:t>
      </w:r>
      <w:r w:rsidR="00770456">
        <w:t>(3)</w:t>
      </w:r>
      <w:r w:rsidR="00681B4E">
        <w:t>,</w:t>
      </w:r>
      <w:r w:rsidR="003B65CF" w:rsidRPr="003B65CF">
        <w:t xml:space="preserve"> </w:t>
      </w:r>
      <w:r w:rsidR="00681B4E" w:rsidRPr="00681B4E">
        <w:t>9</w:t>
      </w:r>
      <w:r w:rsidRPr="00681B4E">
        <w:t>(3)</w:t>
      </w:r>
      <w:r w:rsidR="003B65CF" w:rsidRPr="003B65CF">
        <w:t xml:space="preserve"> </w:t>
      </w:r>
      <w:r w:rsidRPr="00681B4E">
        <w:t>or</w:t>
      </w:r>
      <w:r w:rsidR="003B65CF" w:rsidRPr="003B65CF">
        <w:t xml:space="preserve"> </w:t>
      </w:r>
      <w:r w:rsidRPr="00681B4E">
        <w:t>(8),</w:t>
      </w:r>
      <w:r w:rsidR="003B65CF" w:rsidRPr="003B65CF">
        <w:t xml:space="preserve"> </w:t>
      </w:r>
      <w:r w:rsidR="00681B4E" w:rsidRPr="00681B4E">
        <w:t>11</w:t>
      </w:r>
      <w:r w:rsidRPr="00681B4E">
        <w:t>(2)</w:t>
      </w:r>
      <w:r w:rsidR="003B65CF" w:rsidRPr="003B65CF">
        <w:t xml:space="preserve"> </w:t>
      </w:r>
      <w:r w:rsidRPr="00681B4E">
        <w:t>or</w:t>
      </w:r>
      <w:r w:rsidR="003B65CF" w:rsidRPr="003B65CF">
        <w:t xml:space="preserve"> </w:t>
      </w:r>
      <w:r w:rsidR="00681B4E">
        <w:t>15</w:t>
      </w:r>
      <w:r>
        <w:t>,</w:t>
      </w:r>
      <w:r w:rsidR="003B65CF" w:rsidRPr="003B65CF">
        <w:t xml:space="preserve"> </w:t>
      </w:r>
      <w:r>
        <w:t>is</w:t>
      </w:r>
      <w:r w:rsidR="003B65CF" w:rsidRPr="003B65CF">
        <w:t xml:space="preserve"> </w:t>
      </w:r>
      <w:r>
        <w:t>liable—</w:t>
      </w:r>
    </w:p>
    <w:p w:rsidR="00C533D3" w:rsidRDefault="00C533D3" w:rsidP="00C533D3">
      <w:pPr>
        <w:pStyle w:val="N3"/>
      </w:pPr>
      <w:r>
        <w:t>on</w:t>
      </w:r>
      <w:r w:rsidR="003B65CF" w:rsidRPr="003B65CF">
        <w:t xml:space="preserve"> </w:t>
      </w:r>
      <w:r>
        <w:t>summary</w:t>
      </w:r>
      <w:r w:rsidR="003B65CF" w:rsidRPr="003B65CF">
        <w:t xml:space="preserve"> </w:t>
      </w:r>
      <w:r>
        <w:t>conviction,</w:t>
      </w:r>
      <w:r w:rsidR="003B65CF" w:rsidRPr="003B65CF">
        <w:t xml:space="preserve"> </w:t>
      </w:r>
      <w:r>
        <w:t>to</w:t>
      </w:r>
      <w:r w:rsidR="003B65CF" w:rsidRPr="003B65CF">
        <w:t xml:space="preserve"> </w:t>
      </w:r>
      <w:r>
        <w:t>a</w:t>
      </w:r>
      <w:r w:rsidR="003B65CF" w:rsidRPr="003B65CF">
        <w:t xml:space="preserve"> </w:t>
      </w:r>
      <w:r>
        <w:t>fine</w:t>
      </w:r>
      <w:r w:rsidR="003B65CF" w:rsidRPr="003B65CF">
        <w:t xml:space="preserve"> </w:t>
      </w:r>
      <w:r>
        <w:t>not</w:t>
      </w:r>
      <w:r w:rsidR="003B65CF" w:rsidRPr="003B65CF">
        <w:t xml:space="preserve"> </w:t>
      </w:r>
      <w:r>
        <w:t>exceeding</w:t>
      </w:r>
      <w:r w:rsidR="003B65CF" w:rsidRPr="003B65CF">
        <w:t xml:space="preserve"> </w:t>
      </w:r>
      <w:r>
        <w:t>the</w:t>
      </w:r>
      <w:r w:rsidR="003B65CF" w:rsidRPr="003B65CF">
        <w:t xml:space="preserve"> </w:t>
      </w:r>
      <w:r>
        <w:t>statutory</w:t>
      </w:r>
      <w:r w:rsidR="003B65CF" w:rsidRPr="003B65CF">
        <w:t xml:space="preserve"> </w:t>
      </w:r>
      <w:r>
        <w:t>maximum;</w:t>
      </w:r>
    </w:p>
    <w:p w:rsidR="00C533D3" w:rsidRDefault="00C533D3" w:rsidP="00C533D3">
      <w:pPr>
        <w:pStyle w:val="N3"/>
      </w:pPr>
      <w:r>
        <w:t>on</w:t>
      </w:r>
      <w:r w:rsidR="003B65CF" w:rsidRPr="003B65CF">
        <w:t xml:space="preserve"> </w:t>
      </w:r>
      <w:r>
        <w:t>conviction</w:t>
      </w:r>
      <w:r w:rsidR="003B65CF" w:rsidRPr="003B65CF">
        <w:t xml:space="preserve"> </w:t>
      </w:r>
      <w:r>
        <w:t>on</w:t>
      </w:r>
      <w:r w:rsidR="003B65CF" w:rsidRPr="003B65CF">
        <w:t xml:space="preserve"> </w:t>
      </w:r>
      <w:r>
        <w:t>indictment,</w:t>
      </w:r>
      <w:r w:rsidR="003B65CF" w:rsidRPr="003B65CF">
        <w:t xml:space="preserve"> </w:t>
      </w:r>
      <w:r>
        <w:t>to</w:t>
      </w:r>
      <w:r w:rsidR="003B65CF" w:rsidRPr="003B65CF">
        <w:t xml:space="preserve"> </w:t>
      </w:r>
      <w:r>
        <w:t>a</w:t>
      </w:r>
      <w:r w:rsidR="003B65CF" w:rsidRPr="003B65CF">
        <w:t xml:space="preserve"> </w:t>
      </w:r>
      <w:r>
        <w:t>fine.</w:t>
      </w:r>
    </w:p>
    <w:p w:rsidR="003B65CF" w:rsidRDefault="00C533D3" w:rsidP="00C533D3">
      <w:pPr>
        <w:pStyle w:val="N2"/>
      </w:pPr>
      <w:r>
        <w:t>A</w:t>
      </w:r>
      <w:r w:rsidR="003B65CF" w:rsidRPr="003B65CF">
        <w:t xml:space="preserve"> </w:t>
      </w:r>
      <w:r>
        <w:t>person</w:t>
      </w:r>
      <w:r w:rsidR="003B65CF" w:rsidRPr="003B65CF">
        <w:t xml:space="preserve"> </w:t>
      </w:r>
      <w:r>
        <w:t>guilty</w:t>
      </w:r>
      <w:r w:rsidR="003B65CF" w:rsidRPr="003B65CF">
        <w:t xml:space="preserve"> </w:t>
      </w:r>
      <w:r>
        <w:t>of</w:t>
      </w:r>
      <w:r w:rsidR="003B65CF" w:rsidRPr="003B65CF">
        <w:t xml:space="preserve"> </w:t>
      </w:r>
      <w:r>
        <w:t>an</w:t>
      </w:r>
      <w:r w:rsidR="003B65CF" w:rsidRPr="003B65CF">
        <w:t xml:space="preserve"> </w:t>
      </w:r>
      <w:r>
        <w:t>offence</w:t>
      </w:r>
      <w:r w:rsidR="003B65CF" w:rsidRPr="003B65CF">
        <w:t xml:space="preserve"> </w:t>
      </w:r>
      <w:r>
        <w:t>under</w:t>
      </w:r>
      <w:r w:rsidR="003B65CF" w:rsidRPr="003B65CF">
        <w:t xml:space="preserve"> </w:t>
      </w:r>
      <w:r w:rsidR="00681B4E" w:rsidRPr="00681B4E">
        <w:t>regulation</w:t>
      </w:r>
      <w:r w:rsidR="003B65CF" w:rsidRPr="003B65CF">
        <w:t xml:space="preserve"> </w:t>
      </w:r>
      <w:r w:rsidR="00681B4E" w:rsidRPr="00681B4E">
        <w:t>7</w:t>
      </w:r>
      <w:r w:rsidRPr="00681B4E">
        <w:t>(4)</w:t>
      </w:r>
      <w:r w:rsidR="003B65CF" w:rsidRPr="003B65CF">
        <w:t xml:space="preserve"> </w:t>
      </w:r>
      <w:r>
        <w:t>is</w:t>
      </w:r>
      <w:r w:rsidR="003B65CF" w:rsidRPr="003B65CF">
        <w:t xml:space="preserve"> </w:t>
      </w:r>
      <w:r>
        <w:t>liable—</w:t>
      </w:r>
    </w:p>
    <w:p w:rsidR="00C533D3" w:rsidRDefault="00C533D3" w:rsidP="00C533D3">
      <w:pPr>
        <w:pStyle w:val="N3"/>
      </w:pPr>
      <w:r>
        <w:t>on</w:t>
      </w:r>
      <w:r w:rsidR="003B65CF" w:rsidRPr="003B65CF">
        <w:t xml:space="preserve"> </w:t>
      </w:r>
      <w:r>
        <w:t>summary</w:t>
      </w:r>
      <w:r w:rsidR="003B65CF" w:rsidRPr="003B65CF">
        <w:t xml:space="preserve"> </w:t>
      </w:r>
      <w:r>
        <w:t>conviction,</w:t>
      </w:r>
      <w:r w:rsidR="003B65CF" w:rsidRPr="003B65CF">
        <w:t xml:space="preserve"> </w:t>
      </w:r>
      <w:r>
        <w:t>to</w:t>
      </w:r>
      <w:r w:rsidR="003B65CF" w:rsidRPr="003B65CF">
        <w:t xml:space="preserve"> </w:t>
      </w:r>
      <w:r>
        <w:t>a</w:t>
      </w:r>
      <w:r w:rsidR="003B65CF" w:rsidRPr="003B65CF">
        <w:t xml:space="preserve"> </w:t>
      </w:r>
      <w:r>
        <w:t>fine</w:t>
      </w:r>
      <w:r w:rsidR="003B65CF" w:rsidRPr="003B65CF">
        <w:t xml:space="preserve"> </w:t>
      </w:r>
      <w:r>
        <w:t>not</w:t>
      </w:r>
      <w:r w:rsidR="003B65CF" w:rsidRPr="003B65CF">
        <w:t xml:space="preserve"> </w:t>
      </w:r>
      <w:r>
        <w:t>exceeding</w:t>
      </w:r>
      <w:r w:rsidR="003B65CF" w:rsidRPr="003B65CF">
        <w:t xml:space="preserve"> </w:t>
      </w:r>
      <w:r>
        <w:t>the</w:t>
      </w:r>
      <w:r w:rsidR="003B65CF" w:rsidRPr="003B65CF">
        <w:t xml:space="preserve"> </w:t>
      </w:r>
      <w:r>
        <w:t>statutory</w:t>
      </w:r>
      <w:r w:rsidR="003B65CF" w:rsidRPr="003B65CF">
        <w:t xml:space="preserve"> </w:t>
      </w:r>
      <w:r>
        <w:t>maximum,</w:t>
      </w:r>
      <w:r w:rsidR="003B65CF" w:rsidRPr="003B65CF">
        <w:t xml:space="preserve"> </w:t>
      </w:r>
      <w:r>
        <w:t>to</w:t>
      </w:r>
      <w:r w:rsidR="003B65CF" w:rsidRPr="003B65CF">
        <w:t xml:space="preserve"> </w:t>
      </w:r>
      <w:r>
        <w:t>imprisonment</w:t>
      </w:r>
      <w:r w:rsidR="003B65CF" w:rsidRPr="003B65CF">
        <w:t xml:space="preserve"> </w:t>
      </w:r>
      <w:r>
        <w:t>for</w:t>
      </w:r>
      <w:r w:rsidR="003B65CF" w:rsidRPr="003B65CF">
        <w:t xml:space="preserve"> </w:t>
      </w:r>
      <w:r>
        <w:t>a</w:t>
      </w:r>
      <w:r w:rsidR="003B65CF" w:rsidRPr="003B65CF">
        <w:t xml:space="preserve"> </w:t>
      </w:r>
      <w:r>
        <w:t>term</w:t>
      </w:r>
      <w:r w:rsidR="003B65CF" w:rsidRPr="003B65CF">
        <w:t xml:space="preserve"> </w:t>
      </w:r>
      <w:r>
        <w:t>not</w:t>
      </w:r>
      <w:r w:rsidR="003B65CF" w:rsidRPr="003B65CF">
        <w:t xml:space="preserve"> </w:t>
      </w:r>
      <w:r>
        <w:t>exceeding</w:t>
      </w:r>
      <w:r w:rsidR="003B65CF" w:rsidRPr="003B65CF">
        <w:t xml:space="preserve"> </w:t>
      </w:r>
      <w:r>
        <w:t>three</w:t>
      </w:r>
      <w:r w:rsidR="003B65CF" w:rsidRPr="003B65CF">
        <w:t xml:space="preserve"> </w:t>
      </w:r>
      <w:r>
        <w:t>months,</w:t>
      </w:r>
      <w:r w:rsidR="003B65CF" w:rsidRPr="003B65CF">
        <w:t xml:space="preserve"> </w:t>
      </w:r>
      <w:r>
        <w:t>or</w:t>
      </w:r>
      <w:r w:rsidR="003B65CF" w:rsidRPr="003B65CF">
        <w:t xml:space="preserve"> </w:t>
      </w:r>
      <w:r>
        <w:t>to</w:t>
      </w:r>
      <w:r w:rsidR="003B65CF" w:rsidRPr="003B65CF">
        <w:t xml:space="preserve"> </w:t>
      </w:r>
      <w:r>
        <w:t>both;</w:t>
      </w:r>
    </w:p>
    <w:p w:rsidR="00C533D3" w:rsidRDefault="00C533D3" w:rsidP="00C533D3">
      <w:pPr>
        <w:pStyle w:val="N3"/>
      </w:pPr>
      <w:r>
        <w:t>on</w:t>
      </w:r>
      <w:r w:rsidR="003B65CF" w:rsidRPr="003B65CF">
        <w:t xml:space="preserve"> </w:t>
      </w:r>
      <w:r>
        <w:t>conviction</w:t>
      </w:r>
      <w:r w:rsidR="003B65CF" w:rsidRPr="003B65CF">
        <w:t xml:space="preserve"> </w:t>
      </w:r>
      <w:r>
        <w:t>on</w:t>
      </w:r>
      <w:r w:rsidR="003B65CF" w:rsidRPr="003B65CF">
        <w:t xml:space="preserve"> </w:t>
      </w:r>
      <w:r>
        <w:t>indictment,</w:t>
      </w:r>
      <w:r w:rsidR="003B65CF" w:rsidRPr="003B65CF">
        <w:t xml:space="preserve"> </w:t>
      </w:r>
      <w:r>
        <w:t>to</w:t>
      </w:r>
      <w:r w:rsidR="003B65CF" w:rsidRPr="003B65CF">
        <w:t xml:space="preserve"> </w:t>
      </w:r>
      <w:r>
        <w:t>imprisonment</w:t>
      </w:r>
      <w:r w:rsidR="003B65CF" w:rsidRPr="003B65CF">
        <w:t xml:space="preserve"> </w:t>
      </w:r>
      <w:r>
        <w:t>for</w:t>
      </w:r>
      <w:r w:rsidR="003B65CF" w:rsidRPr="003B65CF">
        <w:t xml:space="preserve"> </w:t>
      </w:r>
      <w:r>
        <w:t>a</w:t>
      </w:r>
      <w:r w:rsidR="003B65CF" w:rsidRPr="003B65CF">
        <w:t xml:space="preserve"> </w:t>
      </w:r>
      <w:r>
        <w:t>term</w:t>
      </w:r>
      <w:r w:rsidR="003B65CF" w:rsidRPr="003B65CF">
        <w:t xml:space="preserve"> </w:t>
      </w:r>
      <w:r>
        <w:t>not</w:t>
      </w:r>
      <w:r w:rsidR="003B65CF" w:rsidRPr="003B65CF">
        <w:t xml:space="preserve"> </w:t>
      </w:r>
      <w:r>
        <w:t>exceeding</w:t>
      </w:r>
      <w:r w:rsidR="003B65CF" w:rsidRPr="003B65CF">
        <w:t xml:space="preserve"> </w:t>
      </w:r>
      <w:r>
        <w:t>two</w:t>
      </w:r>
      <w:r w:rsidR="003B65CF" w:rsidRPr="003B65CF">
        <w:t xml:space="preserve"> </w:t>
      </w:r>
      <w:r>
        <w:t>years,</w:t>
      </w:r>
      <w:r w:rsidR="003B65CF" w:rsidRPr="003B65CF">
        <w:t xml:space="preserve"> </w:t>
      </w:r>
      <w:r>
        <w:t>to</w:t>
      </w:r>
      <w:r w:rsidR="003B65CF" w:rsidRPr="003B65CF">
        <w:t xml:space="preserve"> </w:t>
      </w:r>
      <w:r>
        <w:t>a</w:t>
      </w:r>
      <w:r w:rsidR="003B65CF" w:rsidRPr="003B65CF">
        <w:t xml:space="preserve"> </w:t>
      </w:r>
      <w:r>
        <w:t>fine,</w:t>
      </w:r>
      <w:r w:rsidR="003B65CF" w:rsidRPr="003B65CF">
        <w:t xml:space="preserve"> </w:t>
      </w:r>
      <w:r>
        <w:t>or</w:t>
      </w:r>
      <w:r w:rsidR="003B65CF" w:rsidRPr="003B65CF">
        <w:t xml:space="preserve"> </w:t>
      </w:r>
      <w:r>
        <w:t>to</w:t>
      </w:r>
      <w:r w:rsidR="003B65CF" w:rsidRPr="003B65CF">
        <w:t xml:space="preserve"> </w:t>
      </w:r>
      <w:r>
        <w:t>both.</w:t>
      </w:r>
    </w:p>
    <w:p w:rsidR="00C533D3" w:rsidRDefault="00C533D3" w:rsidP="00C533D3">
      <w:pPr>
        <w:pStyle w:val="H1"/>
      </w:pPr>
      <w:r w:rsidRPr="00C533D3">
        <w:t>Offences</w:t>
      </w:r>
      <w:r w:rsidR="003B65CF" w:rsidRPr="003B65CF">
        <w:t xml:space="preserve"> </w:t>
      </w:r>
      <w:r w:rsidRPr="00C533D3">
        <w:t>by</w:t>
      </w:r>
      <w:r w:rsidR="003B65CF" w:rsidRPr="003B65CF">
        <w:t xml:space="preserve"> </w:t>
      </w:r>
      <w:r w:rsidRPr="00C533D3">
        <w:t>bodies</w:t>
      </w:r>
      <w:r w:rsidR="003B65CF" w:rsidRPr="003B65CF">
        <w:t xml:space="preserve"> </w:t>
      </w:r>
      <w:r w:rsidRPr="00C533D3">
        <w:t>corporate</w:t>
      </w:r>
      <w:r w:rsidR="003B65CF" w:rsidRPr="003B65CF">
        <w:t xml:space="preserve"> </w:t>
      </w:r>
      <w:r w:rsidRPr="00C533D3">
        <w:t>etc.</w:t>
      </w:r>
    </w:p>
    <w:p w:rsidR="003B65CF" w:rsidRDefault="00C533D3" w:rsidP="00C533D3">
      <w:pPr>
        <w:pStyle w:val="N1"/>
      </w:pPr>
      <w:r>
        <w:t>—</w:t>
      </w:r>
      <w:r>
        <w:fldChar w:fldCharType="begin"/>
      </w:r>
      <w:r>
        <w:instrText xml:space="preserve"> LISTNUM "SEQ1" \l 2 </w:instrText>
      </w:r>
      <w:r>
        <w:fldChar w:fldCharType="end">
          <w:numberingChange w:id="14" w:author="Boyd, Steve" w:date="2021-06-21T19:46:00Z" w:original="(1)"/>
        </w:fldChar>
      </w:r>
      <w:r w:rsidR="003B65CF" w:rsidRPr="003B65CF">
        <w:t> </w:t>
      </w:r>
      <w:r>
        <w:t>Where</w:t>
      </w:r>
      <w:r w:rsidR="003B65CF" w:rsidRPr="003B65CF">
        <w:t xml:space="preserve"> </w:t>
      </w:r>
      <w:r>
        <w:t>an</w:t>
      </w:r>
      <w:r w:rsidR="003B65CF" w:rsidRPr="003B65CF">
        <w:t xml:space="preserve"> </w:t>
      </w:r>
      <w:r>
        <w:t>offence</w:t>
      </w:r>
      <w:r w:rsidR="003B65CF" w:rsidRPr="003B65CF">
        <w:t xml:space="preserve"> </w:t>
      </w:r>
      <w:r>
        <w:t>committed</w:t>
      </w:r>
      <w:r w:rsidR="003B65CF" w:rsidRPr="003B65CF">
        <w:t xml:space="preserve"> </w:t>
      </w:r>
      <w:r>
        <w:t>by</w:t>
      </w:r>
      <w:r w:rsidR="003B65CF" w:rsidRPr="003B65CF">
        <w:t xml:space="preserve"> </w:t>
      </w:r>
      <w:r>
        <w:t>a</w:t>
      </w:r>
      <w:r w:rsidR="003B65CF" w:rsidRPr="003B65CF">
        <w:t xml:space="preserve"> </w:t>
      </w:r>
      <w:r>
        <w:t>body</w:t>
      </w:r>
      <w:r w:rsidR="003B65CF" w:rsidRPr="003B65CF">
        <w:t xml:space="preserve"> </w:t>
      </w:r>
      <w:r>
        <w:t>corporate</w:t>
      </w:r>
      <w:r w:rsidR="003B65CF" w:rsidRPr="003B65CF">
        <w:t xml:space="preserve"> </w:t>
      </w:r>
      <w:r>
        <w:t>(other</w:t>
      </w:r>
      <w:r w:rsidR="003B65CF" w:rsidRPr="003B65CF">
        <w:t xml:space="preserve"> </w:t>
      </w:r>
      <w:r>
        <w:t>than</w:t>
      </w:r>
      <w:r w:rsidR="003B65CF" w:rsidRPr="003B65CF">
        <w:t xml:space="preserve"> </w:t>
      </w:r>
      <w:r>
        <w:t>a</w:t>
      </w:r>
      <w:r w:rsidR="003B65CF" w:rsidRPr="003B65CF">
        <w:t xml:space="preserve"> </w:t>
      </w:r>
      <w:r>
        <w:t>limited</w:t>
      </w:r>
      <w:r w:rsidR="003B65CF" w:rsidRPr="003B65CF">
        <w:t xml:space="preserve"> </w:t>
      </w:r>
      <w:r>
        <w:t>liability</w:t>
      </w:r>
      <w:r w:rsidR="003B65CF" w:rsidRPr="003B65CF">
        <w:t xml:space="preserve"> </w:t>
      </w:r>
      <w:r>
        <w:t>partnership</w:t>
      </w:r>
      <w:r w:rsidR="003B65CF" w:rsidRPr="003B65CF">
        <w:t xml:space="preserve"> </w:t>
      </w:r>
      <w:r>
        <w:t>or</w:t>
      </w:r>
      <w:r w:rsidR="003B65CF" w:rsidRPr="003B65CF">
        <w:t xml:space="preserve"> </w:t>
      </w:r>
      <w:r>
        <w:t>a</w:t>
      </w:r>
      <w:r w:rsidR="003B65CF" w:rsidRPr="003B65CF">
        <w:t xml:space="preserve"> </w:t>
      </w:r>
      <w:r>
        <w:t>Scottish</w:t>
      </w:r>
      <w:r w:rsidR="003B65CF" w:rsidRPr="003B65CF">
        <w:t xml:space="preserve"> </w:t>
      </w:r>
      <w:r>
        <w:t>partnership)</w:t>
      </w:r>
      <w:r w:rsidR="003B65CF" w:rsidRPr="003B65CF">
        <w:t xml:space="preserve"> </w:t>
      </w:r>
      <w:r>
        <w:t>is</w:t>
      </w:r>
      <w:r w:rsidR="003B65CF" w:rsidRPr="003B65CF">
        <w:t xml:space="preserve"> </w:t>
      </w:r>
      <w:r>
        <w:t>proved</w:t>
      </w:r>
      <w:r w:rsidR="003B65CF" w:rsidRPr="003B65CF">
        <w:t xml:space="preserve"> </w:t>
      </w:r>
      <w:r>
        <w:t>to</w:t>
      </w:r>
      <w:r w:rsidR="003B65CF" w:rsidRPr="003B65CF">
        <w:t xml:space="preserve"> </w:t>
      </w:r>
      <w:r>
        <w:t>have</w:t>
      </w:r>
      <w:r w:rsidR="003B65CF" w:rsidRPr="003B65CF">
        <w:t xml:space="preserve"> </w:t>
      </w:r>
      <w:r>
        <w:t>been</w:t>
      </w:r>
      <w:r w:rsidR="003B65CF" w:rsidRPr="003B65CF">
        <w:t xml:space="preserve"> </w:t>
      </w:r>
      <w:r>
        <w:t>committed</w:t>
      </w:r>
      <w:r w:rsidR="003B65CF" w:rsidRPr="003B65CF">
        <w:t xml:space="preserve"> </w:t>
      </w:r>
      <w:r>
        <w:t>with</w:t>
      </w:r>
      <w:r w:rsidR="003B65CF" w:rsidRPr="003B65CF">
        <w:t xml:space="preserve"> </w:t>
      </w:r>
      <w:r>
        <w:t>the</w:t>
      </w:r>
      <w:r w:rsidR="003B65CF" w:rsidRPr="003B65CF">
        <w:t xml:space="preserve"> </w:t>
      </w:r>
      <w:r>
        <w:t>consent</w:t>
      </w:r>
      <w:r w:rsidR="003B65CF" w:rsidRPr="003B65CF">
        <w:t xml:space="preserve"> </w:t>
      </w:r>
      <w:r>
        <w:t>or</w:t>
      </w:r>
      <w:r w:rsidR="003B65CF" w:rsidRPr="003B65CF">
        <w:t xml:space="preserve"> </w:t>
      </w:r>
      <w:r>
        <w:t>connivance</w:t>
      </w:r>
      <w:r w:rsidR="003B65CF" w:rsidRPr="003B65CF">
        <w:t xml:space="preserve"> </w:t>
      </w:r>
      <w:r>
        <w:t>of,</w:t>
      </w:r>
      <w:r w:rsidR="003B65CF" w:rsidRPr="003B65CF">
        <w:t xml:space="preserve"> </w:t>
      </w:r>
      <w:r>
        <w:t>or</w:t>
      </w:r>
      <w:r w:rsidR="003B65CF" w:rsidRPr="003B65CF">
        <w:t xml:space="preserve"> </w:t>
      </w:r>
      <w:r>
        <w:t>is</w:t>
      </w:r>
      <w:r w:rsidR="003B65CF" w:rsidRPr="003B65CF">
        <w:t xml:space="preserve"> </w:t>
      </w:r>
      <w:r>
        <w:t>attributable</w:t>
      </w:r>
      <w:r w:rsidR="003B65CF" w:rsidRPr="003B65CF">
        <w:t xml:space="preserve"> </w:t>
      </w:r>
      <w:r>
        <w:t>to</w:t>
      </w:r>
      <w:r w:rsidR="003B65CF" w:rsidRPr="003B65CF">
        <w:t xml:space="preserve"> </w:t>
      </w:r>
      <w:r>
        <w:t>the</w:t>
      </w:r>
      <w:r w:rsidR="003B65CF" w:rsidRPr="003B65CF">
        <w:t xml:space="preserve"> </w:t>
      </w:r>
      <w:r>
        <w:t>neglect</w:t>
      </w:r>
      <w:r w:rsidR="003B65CF" w:rsidRPr="003B65CF">
        <w:t xml:space="preserve"> </w:t>
      </w:r>
      <w:r>
        <w:t>of,</w:t>
      </w:r>
      <w:r w:rsidR="003B65CF" w:rsidRPr="003B65CF">
        <w:t xml:space="preserve"> </w:t>
      </w:r>
      <w:r>
        <w:t>an</w:t>
      </w:r>
      <w:r w:rsidR="003B65CF" w:rsidRPr="003B65CF">
        <w:t xml:space="preserve"> </w:t>
      </w:r>
      <w:r>
        <w:t>officer</w:t>
      </w:r>
      <w:r w:rsidR="003B65CF" w:rsidRPr="003B65CF">
        <w:t xml:space="preserve"> </w:t>
      </w:r>
      <w:r>
        <w:t>of</w:t>
      </w:r>
      <w:r w:rsidR="003B65CF" w:rsidRPr="003B65CF">
        <w:t xml:space="preserve"> </w:t>
      </w:r>
      <w:r>
        <w:t>the</w:t>
      </w:r>
      <w:r w:rsidR="003B65CF" w:rsidRPr="003B65CF">
        <w:t xml:space="preserve"> </w:t>
      </w:r>
      <w:r>
        <w:t>body</w:t>
      </w:r>
      <w:r w:rsidR="003B65CF" w:rsidRPr="003B65CF">
        <w:t xml:space="preserve"> </w:t>
      </w:r>
      <w:r>
        <w:t>corporate,</w:t>
      </w:r>
      <w:r w:rsidR="003B65CF" w:rsidRPr="003B65CF">
        <w:t xml:space="preserve"> </w:t>
      </w:r>
      <w:r>
        <w:t>or</w:t>
      </w:r>
      <w:r w:rsidR="003B65CF" w:rsidRPr="003B65CF">
        <w:t xml:space="preserve"> </w:t>
      </w:r>
      <w:r>
        <w:t>a</w:t>
      </w:r>
      <w:r w:rsidR="003B65CF" w:rsidRPr="003B65CF">
        <w:t xml:space="preserve"> </w:t>
      </w:r>
      <w:r>
        <w:t>person</w:t>
      </w:r>
      <w:r w:rsidR="003B65CF" w:rsidRPr="003B65CF">
        <w:t xml:space="preserve"> </w:t>
      </w:r>
      <w:r>
        <w:t>purporting</w:t>
      </w:r>
      <w:r w:rsidR="003B65CF" w:rsidRPr="003B65CF">
        <w:t xml:space="preserve"> </w:t>
      </w:r>
      <w:r>
        <w:t>to</w:t>
      </w:r>
      <w:r w:rsidR="003B65CF" w:rsidRPr="003B65CF">
        <w:t xml:space="preserve"> </w:t>
      </w:r>
      <w:r>
        <w:t>act</w:t>
      </w:r>
      <w:r w:rsidR="003B65CF" w:rsidRPr="003B65CF">
        <w:t xml:space="preserve"> </w:t>
      </w:r>
      <w:r>
        <w:t>in</w:t>
      </w:r>
      <w:r w:rsidR="003B65CF" w:rsidRPr="003B65CF">
        <w:t xml:space="preserve"> </w:t>
      </w:r>
      <w:r>
        <w:t>such</w:t>
      </w:r>
      <w:r w:rsidR="003B65CF" w:rsidRPr="003B65CF">
        <w:t xml:space="preserve"> </w:t>
      </w:r>
      <w:r>
        <w:t>a</w:t>
      </w:r>
      <w:r w:rsidR="003B65CF" w:rsidRPr="003B65CF">
        <w:t xml:space="preserve"> </w:t>
      </w:r>
      <w:r>
        <w:t>capacity,</w:t>
      </w:r>
      <w:r w:rsidR="003B65CF" w:rsidRPr="003B65CF">
        <w:t xml:space="preserve"> </w:t>
      </w:r>
      <w:r>
        <w:t>that</w:t>
      </w:r>
      <w:r w:rsidR="003B65CF" w:rsidRPr="003B65CF">
        <w:t xml:space="preserve"> </w:t>
      </w:r>
      <w:r>
        <w:t>officer</w:t>
      </w:r>
      <w:r w:rsidR="003B65CF" w:rsidRPr="003B65CF">
        <w:t xml:space="preserve"> </w:t>
      </w:r>
      <w:r>
        <w:t>or</w:t>
      </w:r>
      <w:r w:rsidR="003B65CF" w:rsidRPr="003B65CF">
        <w:t xml:space="preserve"> </w:t>
      </w:r>
      <w:r>
        <w:t>person</w:t>
      </w:r>
      <w:r w:rsidR="003B65CF" w:rsidRPr="003B65CF">
        <w:t xml:space="preserve"> </w:t>
      </w:r>
      <w:r>
        <w:t>(as</w:t>
      </w:r>
      <w:r w:rsidR="003B65CF" w:rsidRPr="003B65CF">
        <w:t xml:space="preserve"> </w:t>
      </w:r>
      <w:r>
        <w:t>well</w:t>
      </w:r>
      <w:r w:rsidR="003B65CF" w:rsidRPr="003B65CF">
        <w:t xml:space="preserve"> </w:t>
      </w:r>
      <w:r>
        <w:t>as</w:t>
      </w:r>
      <w:r w:rsidR="003B65CF" w:rsidRPr="003B65CF">
        <w:t xml:space="preserve"> </w:t>
      </w:r>
      <w:r>
        <w:t>the</w:t>
      </w:r>
      <w:r w:rsidR="003B65CF" w:rsidRPr="003B65CF">
        <w:t xml:space="preserve"> </w:t>
      </w:r>
      <w:r>
        <w:t>body</w:t>
      </w:r>
      <w:r w:rsidR="003B65CF" w:rsidRPr="003B65CF">
        <w:t xml:space="preserve"> </w:t>
      </w:r>
      <w:r>
        <w:t>corporate)</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the</w:t>
      </w:r>
      <w:r w:rsidR="003B65CF" w:rsidRPr="003B65CF">
        <w:t xml:space="preserve"> </w:t>
      </w:r>
      <w:r>
        <w:t>offence</w:t>
      </w:r>
      <w:r w:rsidR="003B65CF" w:rsidRPr="003B65CF">
        <w:t xml:space="preserve"> </w:t>
      </w:r>
      <w:r>
        <w:t>and</w:t>
      </w:r>
      <w:r w:rsidR="003B65CF" w:rsidRPr="003B65CF">
        <w:t xml:space="preserve"> </w:t>
      </w:r>
      <w:r>
        <w:t>is</w:t>
      </w:r>
      <w:r w:rsidR="003B65CF" w:rsidRPr="003B65CF">
        <w:t xml:space="preserve"> </w:t>
      </w:r>
      <w:r>
        <w:t>liable</w:t>
      </w:r>
      <w:r w:rsidR="003B65CF" w:rsidRPr="003B65CF">
        <w:t xml:space="preserve"> </w:t>
      </w:r>
      <w:r>
        <w:t>to</w:t>
      </w:r>
      <w:r w:rsidR="003B65CF" w:rsidRPr="003B65CF">
        <w:t xml:space="preserve"> </w:t>
      </w:r>
      <w:r>
        <w:t>be</w:t>
      </w:r>
      <w:r w:rsidR="003B65CF" w:rsidRPr="003B65CF">
        <w:t xml:space="preserve"> </w:t>
      </w:r>
      <w:r>
        <w:t>proceeded</w:t>
      </w:r>
      <w:r w:rsidR="003B65CF" w:rsidRPr="003B65CF">
        <w:t xml:space="preserve"> </w:t>
      </w:r>
      <w:r>
        <w:t>against</w:t>
      </w:r>
      <w:r w:rsidR="003B65CF" w:rsidRPr="003B65CF">
        <w:t xml:space="preserve"> </w:t>
      </w:r>
      <w:r>
        <w:t>and</w:t>
      </w:r>
      <w:r w:rsidR="003B65CF" w:rsidRPr="003B65CF">
        <w:t xml:space="preserve"> </w:t>
      </w:r>
      <w:r>
        <w:t>punished</w:t>
      </w:r>
      <w:r w:rsidR="003B65CF" w:rsidRPr="003B65CF">
        <w:t xml:space="preserve"> </w:t>
      </w:r>
      <w:r>
        <w:t>accordingly.</w:t>
      </w:r>
    </w:p>
    <w:p w:rsidR="003B65CF" w:rsidRDefault="00C533D3" w:rsidP="00C533D3">
      <w:pPr>
        <w:pStyle w:val="N2"/>
      </w:pPr>
      <w:r>
        <w:t>Where</w:t>
      </w:r>
      <w:r w:rsidR="003B65CF" w:rsidRPr="003B65CF">
        <w:t xml:space="preserve"> </w:t>
      </w:r>
      <w:r>
        <w:t>the</w:t>
      </w:r>
      <w:r w:rsidR="003B65CF" w:rsidRPr="003B65CF">
        <w:t xml:space="preserve"> </w:t>
      </w:r>
      <w:r>
        <w:t>affairs</w:t>
      </w:r>
      <w:r w:rsidR="003B65CF" w:rsidRPr="003B65CF">
        <w:t xml:space="preserve"> </w:t>
      </w:r>
      <w:r>
        <w:t>of</w:t>
      </w:r>
      <w:r w:rsidR="003B65CF" w:rsidRPr="003B65CF">
        <w:t xml:space="preserve"> </w:t>
      </w:r>
      <w:r>
        <w:t>a</w:t>
      </w:r>
      <w:r w:rsidR="003B65CF" w:rsidRPr="003B65CF">
        <w:t xml:space="preserve"> </w:t>
      </w:r>
      <w:r>
        <w:t>body</w:t>
      </w:r>
      <w:r w:rsidR="003B65CF" w:rsidRPr="003B65CF">
        <w:t xml:space="preserve"> </w:t>
      </w:r>
      <w:r>
        <w:t>corporate</w:t>
      </w:r>
      <w:r w:rsidR="003B65CF" w:rsidRPr="003B65CF">
        <w:t xml:space="preserve"> </w:t>
      </w:r>
      <w:r>
        <w:t>are</w:t>
      </w:r>
      <w:r w:rsidR="003B65CF" w:rsidRPr="003B65CF">
        <w:t xml:space="preserve"> </w:t>
      </w:r>
      <w:r>
        <w:t>managed</w:t>
      </w:r>
      <w:r w:rsidR="003B65CF" w:rsidRPr="003B65CF">
        <w:t xml:space="preserve"> </w:t>
      </w:r>
      <w:r>
        <w:t>by</w:t>
      </w:r>
      <w:r w:rsidR="003B65CF" w:rsidRPr="003B65CF">
        <w:t xml:space="preserve"> </w:t>
      </w:r>
      <w:r>
        <w:t>its</w:t>
      </w:r>
      <w:r w:rsidR="003B65CF" w:rsidRPr="003B65CF">
        <w:t xml:space="preserve"> </w:t>
      </w:r>
      <w:r>
        <w:t>members,</w:t>
      </w:r>
      <w:r w:rsidR="003B65CF" w:rsidRPr="003B65CF">
        <w:t xml:space="preserve"> </w:t>
      </w:r>
      <w:r>
        <w:t>paragraph</w:t>
      </w:r>
      <w:r w:rsidR="003B65CF" w:rsidRPr="003B65CF">
        <w:t xml:space="preserve"> </w:t>
      </w:r>
      <w:r>
        <w:t>(1)</w:t>
      </w:r>
      <w:r w:rsidR="003B65CF" w:rsidRPr="003B65CF">
        <w:t xml:space="preserve"> </w:t>
      </w:r>
      <w:r>
        <w:t>applies</w:t>
      </w:r>
      <w:r w:rsidR="003B65CF" w:rsidRPr="003B65CF">
        <w:t xml:space="preserve"> </w:t>
      </w:r>
      <w:r>
        <w:t>in</w:t>
      </w:r>
      <w:r w:rsidR="003B65CF" w:rsidRPr="003B65CF">
        <w:t xml:space="preserve"> </w:t>
      </w:r>
      <w:r>
        <w:t>relation</w:t>
      </w:r>
      <w:r w:rsidR="003B65CF" w:rsidRPr="003B65CF">
        <w:t xml:space="preserve"> </w:t>
      </w:r>
      <w:r>
        <w:t>to</w:t>
      </w:r>
      <w:r w:rsidR="003B65CF" w:rsidRPr="003B65CF">
        <w:t xml:space="preserve"> </w:t>
      </w:r>
      <w:r>
        <w:t>the</w:t>
      </w:r>
      <w:r w:rsidR="003B65CF" w:rsidRPr="003B65CF">
        <w:t xml:space="preserve"> </w:t>
      </w:r>
      <w:r>
        <w:t>acts</w:t>
      </w:r>
      <w:r w:rsidR="003B65CF" w:rsidRPr="003B65CF">
        <w:t xml:space="preserve"> </w:t>
      </w:r>
      <w:r>
        <w:t>and</w:t>
      </w:r>
      <w:r w:rsidR="003B65CF" w:rsidRPr="003B65CF">
        <w:t xml:space="preserve"> </w:t>
      </w:r>
      <w:r>
        <w:t>defaults</w:t>
      </w:r>
      <w:r w:rsidR="003B65CF" w:rsidRPr="003B65CF">
        <w:t xml:space="preserve"> </w:t>
      </w:r>
      <w:r>
        <w:t>of</w:t>
      </w:r>
      <w:r w:rsidR="003B65CF" w:rsidRPr="003B65CF">
        <w:t xml:space="preserve"> </w:t>
      </w:r>
      <w:r>
        <w:t>a</w:t>
      </w:r>
      <w:r w:rsidR="003B65CF" w:rsidRPr="003B65CF">
        <w:t xml:space="preserve"> </w:t>
      </w:r>
      <w:r>
        <w:t>member,</w:t>
      </w:r>
      <w:r w:rsidR="003B65CF" w:rsidRPr="003B65CF">
        <w:t xml:space="preserve"> </w:t>
      </w:r>
      <w:r>
        <w:t>and</w:t>
      </w:r>
      <w:r w:rsidR="003B65CF" w:rsidRPr="003B65CF">
        <w:t xml:space="preserve"> </w:t>
      </w:r>
      <w:r>
        <w:t>a</w:t>
      </w:r>
      <w:r w:rsidR="003B65CF" w:rsidRPr="003B65CF">
        <w:t xml:space="preserve"> </w:t>
      </w:r>
      <w:r>
        <w:t>person</w:t>
      </w:r>
      <w:r w:rsidR="003B65CF" w:rsidRPr="003B65CF">
        <w:t xml:space="preserve"> </w:t>
      </w:r>
      <w:r>
        <w:t>purporting</w:t>
      </w:r>
      <w:r w:rsidR="003B65CF" w:rsidRPr="003B65CF">
        <w:t xml:space="preserve"> </w:t>
      </w:r>
      <w:r>
        <w:t>to</w:t>
      </w:r>
      <w:r w:rsidR="003B65CF" w:rsidRPr="003B65CF">
        <w:t xml:space="preserve"> </w:t>
      </w:r>
      <w:r>
        <w:t>act</w:t>
      </w:r>
      <w:r w:rsidR="003B65CF" w:rsidRPr="003B65CF">
        <w:t xml:space="preserve"> </w:t>
      </w:r>
      <w:r>
        <w:t>in</w:t>
      </w:r>
      <w:r w:rsidR="003B65CF" w:rsidRPr="003B65CF">
        <w:t xml:space="preserve"> </w:t>
      </w:r>
      <w:r>
        <w:t>such</w:t>
      </w:r>
      <w:r w:rsidR="003B65CF" w:rsidRPr="003B65CF">
        <w:t xml:space="preserve"> </w:t>
      </w:r>
      <w:r>
        <w:t>a</w:t>
      </w:r>
      <w:r w:rsidR="003B65CF" w:rsidRPr="003B65CF">
        <w:t xml:space="preserve"> </w:t>
      </w:r>
      <w:r>
        <w:t>capacity,</w:t>
      </w:r>
      <w:r w:rsidR="003B65CF" w:rsidRPr="003B65CF">
        <w:t xml:space="preserve"> </w:t>
      </w:r>
      <w:r>
        <w:t>in</w:t>
      </w:r>
      <w:r w:rsidR="003B65CF" w:rsidRPr="003B65CF">
        <w:t xml:space="preserve"> </w:t>
      </w:r>
      <w:r>
        <w:lastRenderedPageBreak/>
        <w:t>connection</w:t>
      </w:r>
      <w:r w:rsidR="003B65CF" w:rsidRPr="003B65CF">
        <w:t xml:space="preserve"> </w:t>
      </w:r>
      <w:r>
        <w:t>with</w:t>
      </w:r>
      <w:r w:rsidR="003B65CF" w:rsidRPr="003B65CF">
        <w:t xml:space="preserve"> </w:t>
      </w:r>
      <w:r>
        <w:t>the</w:t>
      </w:r>
      <w:r w:rsidR="003B65CF" w:rsidRPr="003B65CF">
        <w:t xml:space="preserve"> </w:t>
      </w:r>
      <w:r>
        <w:t>member’s</w:t>
      </w:r>
      <w:r w:rsidR="003B65CF" w:rsidRPr="003B65CF">
        <w:t xml:space="preserve"> </w:t>
      </w:r>
      <w:r>
        <w:t>functions</w:t>
      </w:r>
      <w:r w:rsidR="003B65CF" w:rsidRPr="003B65CF">
        <w:t xml:space="preserve"> </w:t>
      </w:r>
      <w:r>
        <w:t>of</w:t>
      </w:r>
      <w:r w:rsidR="003B65CF" w:rsidRPr="003B65CF">
        <w:t xml:space="preserve"> </w:t>
      </w:r>
      <w:r>
        <w:t>management</w:t>
      </w:r>
      <w:r w:rsidR="003B65CF" w:rsidRPr="003B65CF">
        <w:t xml:space="preserve"> </w:t>
      </w:r>
      <w:r>
        <w:t>as</w:t>
      </w:r>
      <w:r w:rsidR="003B65CF" w:rsidRPr="003B65CF">
        <w:t xml:space="preserve"> </w:t>
      </w:r>
      <w:r>
        <w:t>it</w:t>
      </w:r>
      <w:r w:rsidR="003B65CF" w:rsidRPr="003B65CF">
        <w:t xml:space="preserve"> </w:t>
      </w:r>
      <w:r>
        <w:t>applies</w:t>
      </w:r>
      <w:r w:rsidR="003B65CF" w:rsidRPr="003B65CF">
        <w:t xml:space="preserve"> </w:t>
      </w:r>
      <w:r>
        <w:t>to</w:t>
      </w:r>
      <w:r w:rsidR="003B65CF" w:rsidRPr="003B65CF">
        <w:t xml:space="preserve"> </w:t>
      </w:r>
      <w:r>
        <w:t>an</w:t>
      </w:r>
      <w:r w:rsidR="003B65CF" w:rsidRPr="003B65CF">
        <w:t xml:space="preserve"> </w:t>
      </w:r>
      <w:r>
        <w:t>officer</w:t>
      </w:r>
      <w:r w:rsidR="003B65CF" w:rsidRPr="003B65CF">
        <w:t xml:space="preserve"> </w:t>
      </w:r>
      <w:r>
        <w:t>of</w:t>
      </w:r>
      <w:r w:rsidR="003B65CF" w:rsidRPr="003B65CF">
        <w:t xml:space="preserve"> </w:t>
      </w:r>
      <w:r>
        <w:t>a</w:t>
      </w:r>
      <w:r w:rsidR="003B65CF" w:rsidRPr="003B65CF">
        <w:t xml:space="preserve"> </w:t>
      </w:r>
      <w:r>
        <w:t>body</w:t>
      </w:r>
      <w:r w:rsidR="003B65CF" w:rsidRPr="003B65CF">
        <w:t xml:space="preserve"> </w:t>
      </w:r>
      <w:r>
        <w:t>corporate.</w:t>
      </w:r>
    </w:p>
    <w:p w:rsidR="003B65CF" w:rsidRDefault="00C533D3" w:rsidP="00C533D3">
      <w:pPr>
        <w:pStyle w:val="N2"/>
      </w:pPr>
      <w:r>
        <w:t>Where</w:t>
      </w:r>
      <w:r w:rsidR="003B65CF" w:rsidRPr="003B65CF">
        <w:t xml:space="preserve"> </w:t>
      </w:r>
      <w:r>
        <w:t>an</w:t>
      </w:r>
      <w:r w:rsidR="003B65CF" w:rsidRPr="003B65CF">
        <w:t xml:space="preserve"> </w:t>
      </w:r>
      <w:r>
        <w:t>offence</w:t>
      </w:r>
      <w:r w:rsidR="003B65CF" w:rsidRPr="003B65CF">
        <w:t xml:space="preserve"> </w:t>
      </w:r>
      <w:r>
        <w:t>committed</w:t>
      </w:r>
      <w:r w:rsidR="003B65CF" w:rsidRPr="003B65CF">
        <w:t xml:space="preserve"> </w:t>
      </w:r>
      <w:r>
        <w:t>by</w:t>
      </w:r>
      <w:r w:rsidR="003B65CF" w:rsidRPr="003B65CF">
        <w:t xml:space="preserve"> </w:t>
      </w:r>
      <w:r>
        <w:t>an</w:t>
      </w:r>
      <w:r w:rsidR="003B65CF" w:rsidRPr="003B65CF">
        <w:t xml:space="preserve"> </w:t>
      </w:r>
      <w:r>
        <w:t>unincorporated</w:t>
      </w:r>
      <w:r w:rsidR="003B65CF" w:rsidRPr="003B65CF">
        <w:t xml:space="preserve"> </w:t>
      </w:r>
      <w:r>
        <w:t>body</w:t>
      </w:r>
      <w:r w:rsidR="003B65CF" w:rsidRPr="003B65CF">
        <w:t xml:space="preserve"> </w:t>
      </w:r>
      <w:r>
        <w:t>(other</w:t>
      </w:r>
      <w:r w:rsidR="003B65CF" w:rsidRPr="003B65CF">
        <w:t xml:space="preserve"> </w:t>
      </w:r>
      <w:r>
        <w:t>than</w:t>
      </w:r>
      <w:r w:rsidR="003B65CF" w:rsidRPr="003B65CF">
        <w:t xml:space="preserve"> </w:t>
      </w:r>
      <w:r>
        <w:t>an</w:t>
      </w:r>
      <w:r w:rsidR="003B65CF" w:rsidRPr="003B65CF">
        <w:t xml:space="preserve"> </w:t>
      </w:r>
      <w:r>
        <w:t>unincorporated</w:t>
      </w:r>
      <w:r w:rsidR="003B65CF" w:rsidRPr="003B65CF">
        <w:t xml:space="preserve"> </w:t>
      </w:r>
      <w:r>
        <w:t>partnership)</w:t>
      </w:r>
      <w:r w:rsidR="003B65CF" w:rsidRPr="003B65CF">
        <w:t xml:space="preserve"> </w:t>
      </w:r>
      <w:r>
        <w:t>is</w:t>
      </w:r>
      <w:r w:rsidR="003B65CF" w:rsidRPr="003B65CF">
        <w:t xml:space="preserve"> </w:t>
      </w:r>
      <w:r>
        <w:t>proved</w:t>
      </w:r>
      <w:r w:rsidR="003B65CF" w:rsidRPr="003B65CF">
        <w:t xml:space="preserve"> </w:t>
      </w:r>
      <w:r>
        <w:t>to</w:t>
      </w:r>
      <w:r w:rsidR="003B65CF" w:rsidRPr="003B65CF">
        <w:t xml:space="preserve"> </w:t>
      </w:r>
      <w:r>
        <w:t>have</w:t>
      </w:r>
      <w:r w:rsidR="003B65CF" w:rsidRPr="003B65CF">
        <w:t xml:space="preserve"> </w:t>
      </w:r>
      <w:r>
        <w:t>been</w:t>
      </w:r>
      <w:r w:rsidR="003B65CF" w:rsidRPr="003B65CF">
        <w:t xml:space="preserve"> </w:t>
      </w:r>
      <w:r>
        <w:t>committed</w:t>
      </w:r>
      <w:r w:rsidR="003B65CF" w:rsidRPr="003B65CF">
        <w:t xml:space="preserve"> </w:t>
      </w:r>
      <w:r>
        <w:t>with</w:t>
      </w:r>
      <w:r w:rsidR="003B65CF" w:rsidRPr="003B65CF">
        <w:t xml:space="preserve"> </w:t>
      </w:r>
      <w:r>
        <w:t>the</w:t>
      </w:r>
      <w:r w:rsidR="003B65CF" w:rsidRPr="003B65CF">
        <w:t xml:space="preserve"> </w:t>
      </w:r>
      <w:r>
        <w:t>consent</w:t>
      </w:r>
      <w:r w:rsidR="003B65CF" w:rsidRPr="003B65CF">
        <w:t xml:space="preserve"> </w:t>
      </w:r>
      <w:r>
        <w:t>or</w:t>
      </w:r>
      <w:r w:rsidR="003B65CF" w:rsidRPr="003B65CF">
        <w:t xml:space="preserve"> </w:t>
      </w:r>
      <w:r>
        <w:t>connivance</w:t>
      </w:r>
      <w:r w:rsidR="003B65CF" w:rsidRPr="003B65CF">
        <w:t xml:space="preserve"> </w:t>
      </w:r>
      <w:r>
        <w:t>of,</w:t>
      </w:r>
      <w:r w:rsidR="003B65CF" w:rsidRPr="003B65CF">
        <w:t xml:space="preserve"> </w:t>
      </w:r>
      <w:r>
        <w:t>or</w:t>
      </w:r>
      <w:r w:rsidR="003B65CF" w:rsidRPr="003B65CF">
        <w:t xml:space="preserve"> </w:t>
      </w:r>
      <w:r>
        <w:t>is</w:t>
      </w:r>
      <w:r w:rsidR="003B65CF" w:rsidRPr="003B65CF">
        <w:t xml:space="preserve"> </w:t>
      </w:r>
      <w:r>
        <w:t>attributable</w:t>
      </w:r>
      <w:r w:rsidR="003B65CF" w:rsidRPr="003B65CF">
        <w:t xml:space="preserve"> </w:t>
      </w:r>
      <w:r>
        <w:t>to</w:t>
      </w:r>
      <w:r w:rsidR="003B65CF" w:rsidRPr="003B65CF">
        <w:t xml:space="preserve"> </w:t>
      </w:r>
      <w:r>
        <w:t>the</w:t>
      </w:r>
      <w:r w:rsidR="003B65CF" w:rsidRPr="003B65CF">
        <w:t xml:space="preserve"> </w:t>
      </w:r>
      <w:r>
        <w:t>neglect</w:t>
      </w:r>
      <w:r w:rsidR="003B65CF" w:rsidRPr="003B65CF">
        <w:t xml:space="preserve"> </w:t>
      </w:r>
      <w:r>
        <w:t>on</w:t>
      </w:r>
      <w:r w:rsidR="003B65CF" w:rsidRPr="003B65CF">
        <w:t xml:space="preserve"> </w:t>
      </w:r>
      <w:r>
        <w:t>the</w:t>
      </w:r>
      <w:r w:rsidR="003B65CF" w:rsidRPr="003B65CF">
        <w:t xml:space="preserve"> </w:t>
      </w:r>
      <w:r>
        <w:t>part</w:t>
      </w:r>
      <w:r w:rsidR="003B65CF" w:rsidRPr="003B65CF">
        <w:t xml:space="preserve"> </w:t>
      </w:r>
      <w:r>
        <w:t>of,</w:t>
      </w:r>
      <w:r w:rsidR="003B65CF" w:rsidRPr="003B65CF">
        <w:t xml:space="preserve"> </w:t>
      </w:r>
      <w:r>
        <w:t>any</w:t>
      </w:r>
      <w:r w:rsidR="003B65CF" w:rsidRPr="003B65CF">
        <w:t xml:space="preserve"> </w:t>
      </w:r>
      <w:r>
        <w:t>officer</w:t>
      </w:r>
      <w:r w:rsidR="003B65CF" w:rsidRPr="003B65CF">
        <w:t xml:space="preserve"> </w:t>
      </w:r>
      <w:r>
        <w:t>of</w:t>
      </w:r>
      <w:r w:rsidR="003B65CF" w:rsidRPr="003B65CF">
        <w:t xml:space="preserve"> </w:t>
      </w:r>
      <w:r>
        <w:t>that</w:t>
      </w:r>
      <w:r w:rsidR="003B65CF" w:rsidRPr="003B65CF">
        <w:t xml:space="preserve"> </w:t>
      </w:r>
      <w:r>
        <w:t>body</w:t>
      </w:r>
      <w:r w:rsidR="003B65CF" w:rsidRPr="003B65CF">
        <w:t xml:space="preserve"> </w:t>
      </w:r>
      <w:r>
        <w:t>or</w:t>
      </w:r>
      <w:r w:rsidR="003B65CF" w:rsidRPr="003B65CF">
        <w:t xml:space="preserve"> </w:t>
      </w:r>
      <w:r>
        <w:t>a</w:t>
      </w:r>
      <w:r w:rsidR="003B65CF" w:rsidRPr="003B65CF">
        <w:t xml:space="preserve"> </w:t>
      </w:r>
      <w:r>
        <w:t>person</w:t>
      </w:r>
      <w:r w:rsidR="003B65CF" w:rsidRPr="003B65CF">
        <w:t xml:space="preserve"> </w:t>
      </w:r>
      <w:r>
        <w:t>purporting</w:t>
      </w:r>
      <w:r w:rsidR="003B65CF" w:rsidRPr="003B65CF">
        <w:t xml:space="preserve"> </w:t>
      </w:r>
      <w:r>
        <w:t>to</w:t>
      </w:r>
      <w:r w:rsidR="003B65CF" w:rsidRPr="003B65CF">
        <w:t xml:space="preserve"> </w:t>
      </w:r>
      <w:r>
        <w:t>act</w:t>
      </w:r>
      <w:r w:rsidR="003B65CF" w:rsidRPr="003B65CF">
        <w:t xml:space="preserve"> </w:t>
      </w:r>
      <w:r>
        <w:t>in</w:t>
      </w:r>
      <w:r w:rsidR="003B65CF" w:rsidRPr="003B65CF">
        <w:t xml:space="preserve"> </w:t>
      </w:r>
      <w:r>
        <w:t>such</w:t>
      </w:r>
      <w:r w:rsidR="003B65CF" w:rsidRPr="003B65CF">
        <w:t xml:space="preserve"> </w:t>
      </w:r>
      <w:r>
        <w:t>a</w:t>
      </w:r>
      <w:r w:rsidR="003B65CF" w:rsidRPr="003B65CF">
        <w:t xml:space="preserve"> </w:t>
      </w:r>
      <w:r>
        <w:t>capacity,</w:t>
      </w:r>
      <w:r w:rsidR="003B65CF" w:rsidRPr="003B65CF">
        <w:t xml:space="preserve"> </w:t>
      </w:r>
      <w:r>
        <w:t>that</w:t>
      </w:r>
      <w:r w:rsidR="003B65CF" w:rsidRPr="003B65CF">
        <w:t xml:space="preserve"> </w:t>
      </w:r>
      <w:r>
        <w:t>officer</w:t>
      </w:r>
      <w:r w:rsidR="003B65CF" w:rsidRPr="003B65CF">
        <w:t xml:space="preserve"> </w:t>
      </w:r>
      <w:r>
        <w:t>or</w:t>
      </w:r>
      <w:r w:rsidR="003B65CF" w:rsidRPr="003B65CF">
        <w:t xml:space="preserve"> </w:t>
      </w:r>
      <w:r>
        <w:t>person</w:t>
      </w:r>
      <w:r w:rsidR="003B65CF" w:rsidRPr="003B65CF">
        <w:t xml:space="preserve"> </w:t>
      </w:r>
      <w:r>
        <w:t>(as</w:t>
      </w:r>
      <w:r w:rsidR="003B65CF" w:rsidRPr="003B65CF">
        <w:t xml:space="preserve"> </w:t>
      </w:r>
      <w:r>
        <w:t>well</w:t>
      </w:r>
      <w:r w:rsidR="003B65CF" w:rsidRPr="003B65CF">
        <w:t xml:space="preserve"> </w:t>
      </w:r>
      <w:r>
        <w:t>as</w:t>
      </w:r>
      <w:r w:rsidR="003B65CF" w:rsidRPr="003B65CF">
        <w:t xml:space="preserve"> </w:t>
      </w:r>
      <w:r>
        <w:t>the</w:t>
      </w:r>
      <w:r w:rsidR="003B65CF" w:rsidRPr="003B65CF">
        <w:t xml:space="preserve"> </w:t>
      </w:r>
      <w:r>
        <w:t>unincorporated</w:t>
      </w:r>
      <w:r w:rsidR="003B65CF" w:rsidRPr="003B65CF">
        <w:t xml:space="preserve"> </w:t>
      </w:r>
      <w:r>
        <w:t>body)</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the</w:t>
      </w:r>
      <w:r w:rsidR="003B65CF" w:rsidRPr="003B65CF">
        <w:t xml:space="preserve"> </w:t>
      </w:r>
      <w:r>
        <w:t>offence</w:t>
      </w:r>
      <w:r w:rsidR="003B65CF" w:rsidRPr="003B65CF">
        <w:t xml:space="preserve"> </w:t>
      </w:r>
      <w:r>
        <w:t>and</w:t>
      </w:r>
      <w:r w:rsidR="003B65CF" w:rsidRPr="003B65CF">
        <w:t xml:space="preserve"> </w:t>
      </w:r>
      <w:r>
        <w:t>liable</w:t>
      </w:r>
      <w:r w:rsidR="003B65CF" w:rsidRPr="003B65CF">
        <w:t xml:space="preserve"> </w:t>
      </w:r>
      <w:r>
        <w:t>to</w:t>
      </w:r>
      <w:r w:rsidR="003B65CF" w:rsidRPr="003B65CF">
        <w:t xml:space="preserve"> </w:t>
      </w:r>
      <w:r>
        <w:t>be</w:t>
      </w:r>
      <w:r w:rsidR="003B65CF" w:rsidRPr="003B65CF">
        <w:t xml:space="preserve"> </w:t>
      </w:r>
      <w:r>
        <w:t>proceeded</w:t>
      </w:r>
      <w:r w:rsidR="003B65CF" w:rsidRPr="003B65CF">
        <w:t xml:space="preserve"> </w:t>
      </w:r>
      <w:r>
        <w:t>against</w:t>
      </w:r>
      <w:r w:rsidR="003B65CF" w:rsidRPr="003B65CF">
        <w:t xml:space="preserve"> </w:t>
      </w:r>
      <w:r>
        <w:t>and</w:t>
      </w:r>
      <w:r w:rsidR="003B65CF" w:rsidRPr="003B65CF">
        <w:t xml:space="preserve"> </w:t>
      </w:r>
      <w:r>
        <w:t>punished</w:t>
      </w:r>
      <w:r w:rsidR="003B65CF" w:rsidRPr="003B65CF">
        <w:t xml:space="preserve"> </w:t>
      </w:r>
      <w:r>
        <w:t>accordingly.</w:t>
      </w:r>
    </w:p>
    <w:p w:rsidR="003B65CF" w:rsidRDefault="00C533D3" w:rsidP="00C533D3">
      <w:pPr>
        <w:pStyle w:val="N2"/>
      </w:pPr>
      <w:r>
        <w:t>Where</w:t>
      </w:r>
      <w:r w:rsidR="003B65CF" w:rsidRPr="003B65CF">
        <w:t xml:space="preserve"> </w:t>
      </w:r>
      <w:r>
        <w:t>an</w:t>
      </w:r>
      <w:r w:rsidR="003B65CF" w:rsidRPr="003B65CF">
        <w:t xml:space="preserve"> </w:t>
      </w:r>
      <w:r>
        <w:t>offence</w:t>
      </w:r>
      <w:r w:rsidR="003B65CF" w:rsidRPr="003B65CF">
        <w:t xml:space="preserve"> </w:t>
      </w:r>
      <w:r>
        <w:t>committed</w:t>
      </w:r>
      <w:r w:rsidR="003B65CF" w:rsidRPr="003B65CF">
        <w:t xml:space="preserve"> </w:t>
      </w:r>
      <w:r>
        <w:t>by</w:t>
      </w:r>
      <w:r w:rsidR="003B65CF" w:rsidRPr="003B65CF">
        <w:t xml:space="preserve"> </w:t>
      </w:r>
      <w:r>
        <w:t>a</w:t>
      </w:r>
      <w:r w:rsidR="003B65CF" w:rsidRPr="003B65CF">
        <w:t xml:space="preserve"> </w:t>
      </w:r>
      <w:r>
        <w:t>partnership</w:t>
      </w:r>
      <w:r w:rsidR="003B65CF" w:rsidRPr="003B65CF">
        <w:t xml:space="preserve"> </w:t>
      </w:r>
      <w:r>
        <w:t>(including</w:t>
      </w:r>
      <w:r w:rsidR="003B65CF" w:rsidRPr="003B65CF">
        <w:t xml:space="preserve"> </w:t>
      </w:r>
      <w:r>
        <w:t>a</w:t>
      </w:r>
      <w:r w:rsidR="003B65CF" w:rsidRPr="003B65CF">
        <w:t xml:space="preserve"> </w:t>
      </w:r>
      <w:r>
        <w:t>limited</w:t>
      </w:r>
      <w:r w:rsidR="003B65CF" w:rsidRPr="003B65CF">
        <w:t xml:space="preserve"> </w:t>
      </w:r>
      <w:r>
        <w:t>liability</w:t>
      </w:r>
      <w:r w:rsidR="003B65CF" w:rsidRPr="003B65CF">
        <w:t xml:space="preserve"> </w:t>
      </w:r>
      <w:r>
        <w:t>partnership</w:t>
      </w:r>
      <w:r w:rsidR="003B65CF" w:rsidRPr="003B65CF">
        <w:t xml:space="preserve"> </w:t>
      </w:r>
      <w:r>
        <w:t>and</w:t>
      </w:r>
      <w:r w:rsidR="003B65CF" w:rsidRPr="003B65CF">
        <w:t xml:space="preserve"> </w:t>
      </w:r>
      <w:r>
        <w:t>a</w:t>
      </w:r>
      <w:r w:rsidR="003B65CF" w:rsidRPr="003B65CF">
        <w:t xml:space="preserve"> </w:t>
      </w:r>
      <w:r>
        <w:t>Scottish</w:t>
      </w:r>
      <w:r w:rsidR="003B65CF" w:rsidRPr="003B65CF">
        <w:t xml:space="preserve"> </w:t>
      </w:r>
      <w:r>
        <w:t>partnership)</w:t>
      </w:r>
      <w:r w:rsidR="003B65CF" w:rsidRPr="003B65CF">
        <w:t xml:space="preserve"> </w:t>
      </w:r>
      <w:r>
        <w:t>is</w:t>
      </w:r>
      <w:r w:rsidR="003B65CF" w:rsidRPr="003B65CF">
        <w:t xml:space="preserve"> </w:t>
      </w:r>
      <w:r>
        <w:t>proved</w:t>
      </w:r>
      <w:r w:rsidR="003B65CF" w:rsidRPr="003B65CF">
        <w:t xml:space="preserve"> </w:t>
      </w:r>
      <w:r>
        <w:t>to</w:t>
      </w:r>
      <w:r w:rsidR="003B65CF" w:rsidRPr="003B65CF">
        <w:t xml:space="preserve"> </w:t>
      </w:r>
      <w:r>
        <w:t>have</w:t>
      </w:r>
      <w:r w:rsidR="003B65CF" w:rsidRPr="003B65CF">
        <w:t xml:space="preserve"> </w:t>
      </w:r>
      <w:r>
        <w:t>been</w:t>
      </w:r>
      <w:r w:rsidR="003B65CF" w:rsidRPr="003B65CF">
        <w:t xml:space="preserve"> </w:t>
      </w:r>
      <w:r>
        <w:t>committed</w:t>
      </w:r>
      <w:r w:rsidR="003B65CF" w:rsidRPr="003B65CF">
        <w:t xml:space="preserve"> </w:t>
      </w:r>
      <w:r>
        <w:t>with</w:t>
      </w:r>
      <w:r w:rsidR="003B65CF" w:rsidRPr="003B65CF">
        <w:t xml:space="preserve"> </w:t>
      </w:r>
      <w:r>
        <w:t>the</w:t>
      </w:r>
      <w:r w:rsidR="003B65CF" w:rsidRPr="003B65CF">
        <w:t xml:space="preserve"> </w:t>
      </w:r>
      <w:r>
        <w:t>consent</w:t>
      </w:r>
      <w:r w:rsidR="003B65CF" w:rsidRPr="003B65CF">
        <w:t xml:space="preserve"> </w:t>
      </w:r>
      <w:r>
        <w:t>or</w:t>
      </w:r>
      <w:r w:rsidR="003B65CF" w:rsidRPr="003B65CF">
        <w:t xml:space="preserve"> </w:t>
      </w:r>
      <w:r>
        <w:t>connivance</w:t>
      </w:r>
      <w:r w:rsidR="003B65CF" w:rsidRPr="003B65CF">
        <w:t xml:space="preserve"> </w:t>
      </w:r>
      <w:r>
        <w:t>of,</w:t>
      </w:r>
      <w:r w:rsidR="003B65CF" w:rsidRPr="003B65CF">
        <w:t xml:space="preserve"> </w:t>
      </w:r>
      <w:r>
        <w:t>or</w:t>
      </w:r>
      <w:r w:rsidR="003B65CF" w:rsidRPr="003B65CF">
        <w:t xml:space="preserve"> </w:t>
      </w:r>
      <w:r>
        <w:t>is</w:t>
      </w:r>
      <w:r w:rsidR="003B65CF" w:rsidRPr="003B65CF">
        <w:t xml:space="preserve"> </w:t>
      </w:r>
      <w:r>
        <w:t>attributable</w:t>
      </w:r>
      <w:r w:rsidR="003B65CF" w:rsidRPr="003B65CF">
        <w:t xml:space="preserve"> </w:t>
      </w:r>
      <w:r>
        <w:t>to</w:t>
      </w:r>
      <w:r w:rsidR="003B65CF" w:rsidRPr="003B65CF">
        <w:t xml:space="preserve"> </w:t>
      </w:r>
      <w:r>
        <w:t>the</w:t>
      </w:r>
      <w:r w:rsidR="003B65CF" w:rsidRPr="003B65CF">
        <w:t xml:space="preserve"> </w:t>
      </w:r>
      <w:r>
        <w:t>neglect</w:t>
      </w:r>
      <w:r w:rsidR="003B65CF" w:rsidRPr="003B65CF">
        <w:t xml:space="preserve"> </w:t>
      </w:r>
      <w:r>
        <w:t>of</w:t>
      </w:r>
      <w:r w:rsidR="003B65CF" w:rsidRPr="003B65CF">
        <w:t xml:space="preserve"> </w:t>
      </w:r>
      <w:r>
        <w:t>a</w:t>
      </w:r>
      <w:r w:rsidR="003B65CF" w:rsidRPr="003B65CF">
        <w:t xml:space="preserve"> </w:t>
      </w:r>
      <w:r>
        <w:t>partner,</w:t>
      </w:r>
      <w:r w:rsidR="003B65CF" w:rsidRPr="003B65CF">
        <w:t xml:space="preserve"> </w:t>
      </w:r>
      <w:r>
        <w:t>or</w:t>
      </w:r>
      <w:r w:rsidR="003B65CF" w:rsidRPr="003B65CF">
        <w:t xml:space="preserve"> </w:t>
      </w:r>
      <w:r>
        <w:t>a</w:t>
      </w:r>
      <w:r w:rsidR="003B65CF" w:rsidRPr="003B65CF">
        <w:t xml:space="preserve"> </w:t>
      </w:r>
      <w:r>
        <w:t>person</w:t>
      </w:r>
      <w:r w:rsidR="003B65CF" w:rsidRPr="003B65CF">
        <w:t xml:space="preserve"> </w:t>
      </w:r>
      <w:r>
        <w:t>purporting</w:t>
      </w:r>
      <w:r w:rsidR="003B65CF" w:rsidRPr="003B65CF">
        <w:t xml:space="preserve"> </w:t>
      </w:r>
      <w:r>
        <w:t>to</w:t>
      </w:r>
      <w:r w:rsidR="003B65CF" w:rsidRPr="003B65CF">
        <w:t xml:space="preserve"> </w:t>
      </w:r>
      <w:r>
        <w:t>act</w:t>
      </w:r>
      <w:r w:rsidR="003B65CF" w:rsidRPr="003B65CF">
        <w:t xml:space="preserve"> </w:t>
      </w:r>
      <w:r>
        <w:t>in</w:t>
      </w:r>
      <w:r w:rsidR="003B65CF" w:rsidRPr="003B65CF">
        <w:t xml:space="preserve"> </w:t>
      </w:r>
      <w:r>
        <w:t>such</w:t>
      </w:r>
      <w:r w:rsidR="003B65CF" w:rsidRPr="003B65CF">
        <w:t xml:space="preserve"> </w:t>
      </w:r>
      <w:r>
        <w:t>a</w:t>
      </w:r>
      <w:r w:rsidR="003B65CF" w:rsidRPr="003B65CF">
        <w:t xml:space="preserve"> </w:t>
      </w:r>
      <w:r>
        <w:t>capacity,</w:t>
      </w:r>
      <w:r w:rsidR="003B65CF" w:rsidRPr="003B65CF">
        <w:t xml:space="preserve"> </w:t>
      </w:r>
      <w:r>
        <w:t>the</w:t>
      </w:r>
      <w:r w:rsidR="003B65CF" w:rsidRPr="003B65CF">
        <w:t xml:space="preserve"> </w:t>
      </w:r>
      <w:r>
        <w:t>partner</w:t>
      </w:r>
      <w:r w:rsidR="003B65CF" w:rsidRPr="003B65CF">
        <w:t xml:space="preserve"> </w:t>
      </w:r>
      <w:r>
        <w:t>or</w:t>
      </w:r>
      <w:r w:rsidR="003B65CF" w:rsidRPr="003B65CF">
        <w:t xml:space="preserve"> </w:t>
      </w:r>
      <w:r>
        <w:t>person</w:t>
      </w:r>
      <w:r w:rsidR="003B65CF" w:rsidRPr="003B65CF">
        <w:t xml:space="preserve"> </w:t>
      </w:r>
      <w:r>
        <w:t>(as</w:t>
      </w:r>
      <w:r w:rsidR="003B65CF" w:rsidRPr="003B65CF">
        <w:t xml:space="preserve"> </w:t>
      </w:r>
      <w:r>
        <w:t>well</w:t>
      </w:r>
      <w:r w:rsidR="003B65CF" w:rsidRPr="003B65CF">
        <w:t xml:space="preserve"> </w:t>
      </w:r>
      <w:r>
        <w:t>as</w:t>
      </w:r>
      <w:r w:rsidR="003B65CF" w:rsidRPr="003B65CF">
        <w:t xml:space="preserve"> </w:t>
      </w:r>
      <w:r>
        <w:t>the</w:t>
      </w:r>
      <w:r w:rsidR="003B65CF" w:rsidRPr="003B65CF">
        <w:t xml:space="preserve"> </w:t>
      </w:r>
      <w:r>
        <w:t>partnership)</w:t>
      </w:r>
      <w:r w:rsidR="003B65CF" w:rsidRPr="003B65CF">
        <w:t xml:space="preserve"> </w:t>
      </w:r>
      <w:r>
        <w:t>is</w:t>
      </w:r>
      <w:r w:rsidR="003B65CF" w:rsidRPr="003B65CF">
        <w:t xml:space="preserve"> </w:t>
      </w:r>
      <w:r>
        <w:t>guilty</w:t>
      </w:r>
      <w:r w:rsidR="003B65CF" w:rsidRPr="003B65CF">
        <w:t xml:space="preserve"> </w:t>
      </w:r>
      <w:r>
        <w:t>of</w:t>
      </w:r>
      <w:r w:rsidR="003B65CF" w:rsidRPr="003B65CF">
        <w:t xml:space="preserve"> </w:t>
      </w:r>
      <w:r>
        <w:t>the</w:t>
      </w:r>
      <w:r w:rsidR="003B65CF" w:rsidRPr="003B65CF">
        <w:t xml:space="preserve"> </w:t>
      </w:r>
      <w:r>
        <w:t>offence</w:t>
      </w:r>
      <w:r w:rsidR="003B65CF" w:rsidRPr="003B65CF">
        <w:t xml:space="preserve"> </w:t>
      </w:r>
      <w:r>
        <w:t>and</w:t>
      </w:r>
      <w:r w:rsidR="003B65CF" w:rsidRPr="003B65CF">
        <w:t xml:space="preserve"> </w:t>
      </w:r>
      <w:r>
        <w:t>liable</w:t>
      </w:r>
      <w:r w:rsidR="003B65CF" w:rsidRPr="003B65CF">
        <w:t xml:space="preserve"> </w:t>
      </w:r>
      <w:r>
        <w:t>to</w:t>
      </w:r>
      <w:r w:rsidR="003B65CF" w:rsidRPr="003B65CF">
        <w:t xml:space="preserve"> </w:t>
      </w:r>
      <w:r>
        <w:t>be</w:t>
      </w:r>
      <w:r w:rsidR="003B65CF" w:rsidRPr="003B65CF">
        <w:t xml:space="preserve"> </w:t>
      </w:r>
      <w:r>
        <w:t>proceeded</w:t>
      </w:r>
      <w:r w:rsidR="003B65CF" w:rsidRPr="003B65CF">
        <w:t xml:space="preserve"> </w:t>
      </w:r>
      <w:r>
        <w:t>against</w:t>
      </w:r>
      <w:r w:rsidR="003B65CF" w:rsidRPr="003B65CF">
        <w:t xml:space="preserve"> </w:t>
      </w:r>
      <w:r>
        <w:t>and</w:t>
      </w:r>
      <w:r w:rsidR="003B65CF" w:rsidRPr="003B65CF">
        <w:t xml:space="preserve"> </w:t>
      </w:r>
      <w:r>
        <w:t>punished</w:t>
      </w:r>
      <w:r w:rsidR="003B65CF" w:rsidRPr="003B65CF">
        <w:t xml:space="preserve"> </w:t>
      </w:r>
      <w:r>
        <w:t>accordingly.</w:t>
      </w:r>
    </w:p>
    <w:p w:rsidR="00C533D3" w:rsidRDefault="00C533D3" w:rsidP="00C533D3">
      <w:pPr>
        <w:pStyle w:val="N2"/>
      </w:pPr>
      <w:r>
        <w:t>In</w:t>
      </w:r>
      <w:r w:rsidR="003B65CF" w:rsidRPr="003B65CF">
        <w:t xml:space="preserve"> </w:t>
      </w:r>
      <w:r>
        <w:t>this</w:t>
      </w:r>
      <w:r w:rsidR="003B65CF" w:rsidRPr="003B65CF">
        <w:t xml:space="preserve"> </w:t>
      </w:r>
      <w:r>
        <w:t>regulation</w:t>
      </w:r>
      <w:r w:rsidR="003B65CF" w:rsidRPr="003B65CF">
        <w:t xml:space="preserve"> </w:t>
      </w:r>
      <w:r>
        <w:t>“offence”</w:t>
      </w:r>
      <w:r w:rsidR="003B65CF" w:rsidRPr="003B65CF">
        <w:t xml:space="preserve"> </w:t>
      </w:r>
      <w:r>
        <w:t>means</w:t>
      </w:r>
      <w:r w:rsidR="003B65CF" w:rsidRPr="003B65CF">
        <w:t xml:space="preserve"> </w:t>
      </w:r>
      <w:r>
        <w:t>an</w:t>
      </w:r>
      <w:r w:rsidR="003B65CF" w:rsidRPr="003B65CF">
        <w:t xml:space="preserve"> </w:t>
      </w:r>
      <w:r>
        <w:t>offence</w:t>
      </w:r>
      <w:r w:rsidR="003B65CF" w:rsidRPr="003B65CF">
        <w:t xml:space="preserve"> </w:t>
      </w:r>
      <w:r>
        <w:t>under</w:t>
      </w:r>
      <w:r w:rsidR="003B65CF" w:rsidRPr="003B65CF">
        <w:t xml:space="preserve"> </w:t>
      </w:r>
      <w:r>
        <w:t>these</w:t>
      </w:r>
      <w:r w:rsidR="003B65CF" w:rsidRPr="003B65CF">
        <w:t xml:space="preserve"> </w:t>
      </w:r>
      <w:r>
        <w:t>Regulations.</w:t>
      </w:r>
    </w:p>
    <w:p w:rsidR="00C533D3" w:rsidRDefault="00C533D3" w:rsidP="00C533D3">
      <w:pPr>
        <w:pStyle w:val="H1"/>
      </w:pPr>
      <w:r w:rsidRPr="00C533D3">
        <w:t>Default</w:t>
      </w:r>
      <w:r w:rsidR="003B65CF" w:rsidRPr="003B65CF">
        <w:t xml:space="preserve"> </w:t>
      </w:r>
      <w:r w:rsidRPr="00C533D3">
        <w:t>of</w:t>
      </w:r>
      <w:r w:rsidR="003B65CF" w:rsidRPr="003B65CF">
        <w:t xml:space="preserve"> </w:t>
      </w:r>
      <w:r w:rsidRPr="00C533D3">
        <w:t>third</w:t>
      </w:r>
      <w:r w:rsidR="003B65CF" w:rsidRPr="003B65CF">
        <w:t xml:space="preserve"> </w:t>
      </w:r>
      <w:r w:rsidRPr="00C533D3">
        <w:t>person</w:t>
      </w:r>
    </w:p>
    <w:p w:rsidR="00C533D3" w:rsidRDefault="003B65CF" w:rsidP="00C533D3">
      <w:pPr>
        <w:pStyle w:val="N1"/>
      </w:pPr>
      <w:r>
        <w:t> </w:t>
      </w:r>
      <w:r w:rsidR="00C533D3" w:rsidRPr="00C533D3">
        <w:t>Where</w:t>
      </w:r>
      <w:r w:rsidRPr="003B65CF">
        <w:t xml:space="preserve"> </w:t>
      </w:r>
      <w:r w:rsidR="00C533D3" w:rsidRPr="00C533D3">
        <w:t>the</w:t>
      </w:r>
      <w:r w:rsidRPr="003B65CF">
        <w:t xml:space="preserve"> </w:t>
      </w:r>
      <w:r w:rsidR="00C533D3" w:rsidRPr="00C533D3">
        <w:t>commission</w:t>
      </w:r>
      <w:r w:rsidRPr="003B65CF">
        <w:t xml:space="preserve"> </w:t>
      </w:r>
      <w:r w:rsidR="00C533D3" w:rsidRPr="00C533D3">
        <w:t>by</w:t>
      </w:r>
      <w:r w:rsidRPr="003B65CF">
        <w:t xml:space="preserve"> </w:t>
      </w:r>
      <w:r w:rsidR="00C533D3" w:rsidRPr="00C533D3">
        <w:t>one</w:t>
      </w:r>
      <w:r w:rsidRPr="003B65CF">
        <w:t xml:space="preserve"> </w:t>
      </w:r>
      <w:r w:rsidR="00C533D3" w:rsidRPr="00C533D3">
        <w:t>person</w:t>
      </w:r>
      <w:r w:rsidRPr="003B65CF">
        <w:t xml:space="preserve"> </w:t>
      </w:r>
      <w:r w:rsidR="00C533D3" w:rsidRPr="00C533D3">
        <w:t>(“A”)</w:t>
      </w:r>
      <w:r w:rsidRPr="003B65CF">
        <w:t xml:space="preserve"> </w:t>
      </w:r>
      <w:r w:rsidR="00C533D3" w:rsidRPr="00C533D3">
        <w:t>of</w:t>
      </w:r>
      <w:r w:rsidRPr="003B65CF">
        <w:t xml:space="preserve"> </w:t>
      </w:r>
      <w:r w:rsidR="00C533D3" w:rsidRPr="00C533D3">
        <w:t>an</w:t>
      </w:r>
      <w:r w:rsidRPr="003B65CF">
        <w:t xml:space="preserve"> </w:t>
      </w:r>
      <w:r w:rsidR="00C533D3" w:rsidRPr="00C533D3">
        <w:t>offence</w:t>
      </w:r>
      <w:r w:rsidRPr="003B65CF">
        <w:t xml:space="preserve"> </w:t>
      </w:r>
      <w:r w:rsidR="00C533D3" w:rsidRPr="00C533D3">
        <w:t>under</w:t>
      </w:r>
      <w:r w:rsidRPr="003B65CF">
        <w:t xml:space="preserve"> </w:t>
      </w:r>
      <w:r w:rsidR="00C533D3" w:rsidRPr="00C533D3">
        <w:t>these</w:t>
      </w:r>
      <w:r w:rsidRPr="003B65CF">
        <w:t xml:space="preserve"> </w:t>
      </w:r>
      <w:r w:rsidR="00C533D3" w:rsidRPr="00C533D3">
        <w:t>Regulations</w:t>
      </w:r>
      <w:r w:rsidRPr="003B65CF">
        <w:t xml:space="preserve"> </w:t>
      </w:r>
      <w:r w:rsidR="00C533D3" w:rsidRPr="00C533D3">
        <w:t>is</w:t>
      </w:r>
      <w:r w:rsidRPr="003B65CF">
        <w:t xml:space="preserve"> </w:t>
      </w:r>
      <w:r w:rsidR="00C533D3" w:rsidRPr="00C533D3">
        <w:t>due</w:t>
      </w:r>
      <w:r w:rsidRPr="003B65CF">
        <w:t xml:space="preserve"> </w:t>
      </w:r>
      <w:r w:rsidR="00C533D3" w:rsidRPr="00C533D3">
        <w:t>to</w:t>
      </w:r>
      <w:r w:rsidRPr="003B65CF">
        <w:t xml:space="preserve"> </w:t>
      </w:r>
      <w:r w:rsidR="00C533D3" w:rsidRPr="00C533D3">
        <w:t>the</w:t>
      </w:r>
      <w:r w:rsidRPr="003B65CF">
        <w:t xml:space="preserve"> </w:t>
      </w:r>
      <w:r w:rsidR="00C533D3" w:rsidRPr="00C533D3">
        <w:t>act</w:t>
      </w:r>
      <w:r w:rsidRPr="003B65CF">
        <w:t xml:space="preserve"> </w:t>
      </w:r>
      <w:r w:rsidR="00C533D3" w:rsidRPr="00C533D3">
        <w:t>or</w:t>
      </w:r>
      <w:r w:rsidRPr="003B65CF">
        <w:t xml:space="preserve"> </w:t>
      </w:r>
      <w:r w:rsidR="00C533D3" w:rsidRPr="00C533D3">
        <w:t>default</w:t>
      </w:r>
      <w:r w:rsidRPr="003B65CF">
        <w:t xml:space="preserve"> </w:t>
      </w:r>
      <w:r w:rsidR="00C533D3" w:rsidRPr="00C533D3">
        <w:t>of</w:t>
      </w:r>
      <w:r w:rsidRPr="003B65CF">
        <w:t xml:space="preserve"> </w:t>
      </w:r>
      <w:r w:rsidR="00C533D3" w:rsidRPr="00C533D3">
        <w:t>another</w:t>
      </w:r>
      <w:r w:rsidRPr="003B65CF">
        <w:t xml:space="preserve"> </w:t>
      </w:r>
      <w:r w:rsidR="00C533D3" w:rsidRPr="00C533D3">
        <w:t>(“B”),</w:t>
      </w:r>
      <w:r w:rsidRPr="003B65CF">
        <w:t xml:space="preserve"> </w:t>
      </w:r>
      <w:r w:rsidR="00C533D3" w:rsidRPr="00C533D3">
        <w:t>B</w:t>
      </w:r>
      <w:r w:rsidRPr="003B65CF">
        <w:t xml:space="preserve"> </w:t>
      </w:r>
      <w:r w:rsidR="00C533D3" w:rsidRPr="00C533D3">
        <w:t>also</w:t>
      </w:r>
      <w:r w:rsidRPr="003B65CF">
        <w:t xml:space="preserve"> </w:t>
      </w:r>
      <w:r w:rsidR="00C533D3" w:rsidRPr="00C533D3">
        <w:t>commits</w:t>
      </w:r>
      <w:r w:rsidRPr="003B65CF">
        <w:t xml:space="preserve"> </w:t>
      </w:r>
      <w:r w:rsidR="00C533D3" w:rsidRPr="00C533D3">
        <w:t>the</w:t>
      </w:r>
      <w:r w:rsidRPr="003B65CF">
        <w:t xml:space="preserve"> </w:t>
      </w:r>
      <w:r w:rsidR="00C533D3" w:rsidRPr="00C533D3">
        <w:t>offence,</w:t>
      </w:r>
      <w:r w:rsidRPr="003B65CF">
        <w:t xml:space="preserve"> </w:t>
      </w:r>
      <w:r w:rsidR="00C533D3" w:rsidRPr="00C533D3">
        <w:t>and</w:t>
      </w:r>
      <w:r w:rsidRPr="003B65CF">
        <w:t xml:space="preserve"> </w:t>
      </w:r>
      <w:r w:rsidR="00C533D3" w:rsidRPr="00C533D3">
        <w:t>B</w:t>
      </w:r>
      <w:r w:rsidRPr="003B65CF">
        <w:t xml:space="preserve"> </w:t>
      </w:r>
      <w:r w:rsidR="00C533D3" w:rsidRPr="00C533D3">
        <w:t>may</w:t>
      </w:r>
      <w:r w:rsidRPr="003B65CF">
        <w:t xml:space="preserve"> </w:t>
      </w:r>
      <w:r w:rsidR="00C533D3" w:rsidRPr="00C533D3">
        <w:t>be</w:t>
      </w:r>
      <w:r w:rsidRPr="003B65CF">
        <w:t xml:space="preserve"> </w:t>
      </w:r>
      <w:r w:rsidR="00C533D3" w:rsidRPr="00C533D3">
        <w:t>charged</w:t>
      </w:r>
      <w:r w:rsidRPr="003B65CF">
        <w:t xml:space="preserve"> </w:t>
      </w:r>
      <w:r w:rsidR="00C533D3" w:rsidRPr="00C533D3">
        <w:t>with</w:t>
      </w:r>
      <w:r w:rsidRPr="003B65CF">
        <w:t xml:space="preserve"> </w:t>
      </w:r>
      <w:r w:rsidR="00C533D3" w:rsidRPr="00C533D3">
        <w:t>and</w:t>
      </w:r>
      <w:r w:rsidRPr="003B65CF">
        <w:t xml:space="preserve"> </w:t>
      </w:r>
      <w:r w:rsidR="00C533D3" w:rsidRPr="00C533D3">
        <w:t>convicted</w:t>
      </w:r>
      <w:r w:rsidRPr="003B65CF">
        <w:t xml:space="preserve"> </w:t>
      </w:r>
      <w:r w:rsidR="00C533D3" w:rsidRPr="00C533D3">
        <w:t>of</w:t>
      </w:r>
      <w:r w:rsidRPr="003B65CF">
        <w:t xml:space="preserve"> </w:t>
      </w:r>
      <w:r w:rsidR="00C533D3" w:rsidRPr="00C533D3">
        <w:t>the</w:t>
      </w:r>
      <w:r w:rsidRPr="003B65CF">
        <w:t xml:space="preserve"> </w:t>
      </w:r>
      <w:r w:rsidR="00C533D3" w:rsidRPr="00C533D3">
        <w:t>offence</w:t>
      </w:r>
      <w:r w:rsidRPr="003B65CF">
        <w:t xml:space="preserve"> </w:t>
      </w:r>
      <w:r w:rsidR="00C533D3" w:rsidRPr="00C533D3">
        <w:t>by</w:t>
      </w:r>
      <w:r w:rsidRPr="003B65CF">
        <w:t xml:space="preserve"> </w:t>
      </w:r>
      <w:r w:rsidR="00C533D3" w:rsidRPr="00C533D3">
        <w:t>virtue</w:t>
      </w:r>
      <w:r w:rsidRPr="003B65CF">
        <w:t xml:space="preserve"> </w:t>
      </w:r>
      <w:r w:rsidR="00C533D3" w:rsidRPr="00C533D3">
        <w:t>of</w:t>
      </w:r>
      <w:r w:rsidRPr="003B65CF">
        <w:t xml:space="preserve"> </w:t>
      </w:r>
      <w:r w:rsidR="00C533D3" w:rsidRPr="00C533D3">
        <w:t>this</w:t>
      </w:r>
      <w:r w:rsidRPr="003B65CF">
        <w:t xml:space="preserve"> </w:t>
      </w:r>
      <w:r w:rsidR="00C533D3" w:rsidRPr="00C533D3">
        <w:t>paragraph</w:t>
      </w:r>
      <w:r w:rsidRPr="003B65CF">
        <w:t xml:space="preserve"> </w:t>
      </w:r>
      <w:r w:rsidR="00C533D3" w:rsidRPr="00C533D3">
        <w:t>whether</w:t>
      </w:r>
      <w:r w:rsidRPr="003B65CF">
        <w:t xml:space="preserve"> </w:t>
      </w:r>
      <w:r w:rsidR="00C533D3" w:rsidRPr="00C533D3">
        <w:t>or</w:t>
      </w:r>
      <w:r w:rsidRPr="003B65CF">
        <w:t xml:space="preserve"> </w:t>
      </w:r>
      <w:r w:rsidR="00C533D3" w:rsidRPr="00C533D3">
        <w:t>not</w:t>
      </w:r>
      <w:r w:rsidRPr="003B65CF">
        <w:t xml:space="preserve"> </w:t>
      </w:r>
      <w:r w:rsidR="00C533D3" w:rsidRPr="00C533D3">
        <w:t>proceedings</w:t>
      </w:r>
      <w:r w:rsidRPr="003B65CF">
        <w:t xml:space="preserve"> </w:t>
      </w:r>
      <w:r w:rsidR="00C533D3" w:rsidRPr="00C533D3">
        <w:t>are</w:t>
      </w:r>
      <w:r w:rsidRPr="003B65CF">
        <w:t xml:space="preserve"> </w:t>
      </w:r>
      <w:r w:rsidR="00C533D3" w:rsidRPr="00C533D3">
        <w:t>taken</w:t>
      </w:r>
      <w:r w:rsidRPr="003B65CF">
        <w:t xml:space="preserve"> </w:t>
      </w:r>
      <w:r w:rsidR="00C533D3" w:rsidRPr="00C533D3">
        <w:t>against</w:t>
      </w:r>
      <w:r w:rsidRPr="003B65CF">
        <w:t xml:space="preserve"> </w:t>
      </w:r>
      <w:r w:rsidR="00C533D3" w:rsidRPr="00C533D3">
        <w:t>A</w:t>
      </w:r>
      <w:r w:rsidR="00C533D3">
        <w:t>.</w:t>
      </w:r>
    </w:p>
    <w:p w:rsidR="009D2F65" w:rsidRDefault="009D2F65" w:rsidP="009D2F65">
      <w:pPr>
        <w:pStyle w:val="H1"/>
      </w:pPr>
      <w:r w:rsidRPr="009D2F65">
        <w:t>Defences</w:t>
      </w:r>
    </w:p>
    <w:p w:rsidR="003B65CF" w:rsidRDefault="009D2F65" w:rsidP="009D2F65">
      <w:pPr>
        <w:pStyle w:val="N1"/>
      </w:pPr>
      <w:r>
        <w:t>—</w:t>
      </w:r>
      <w:r>
        <w:fldChar w:fldCharType="begin"/>
      </w:r>
      <w:r>
        <w:instrText xml:space="preserve"> LISTNUM "SEQ1" \l 2 </w:instrText>
      </w:r>
      <w:r>
        <w:fldChar w:fldCharType="end">
          <w:numberingChange w:id="15" w:author="Boyd, Steve" w:date="2021-06-21T19:46:00Z" w:original="(1)"/>
        </w:fldChar>
      </w:r>
      <w:r w:rsidR="003B65CF" w:rsidRPr="003B65CF">
        <w:t> </w:t>
      </w:r>
      <w:r>
        <w:t>It</w:t>
      </w:r>
      <w:r w:rsidR="003B65CF" w:rsidRPr="003B65CF">
        <w:t xml:space="preserve"> </w:t>
      </w:r>
      <w:r>
        <w:t>is</w:t>
      </w:r>
      <w:r w:rsidR="003B65CF" w:rsidRPr="003B65CF">
        <w:t xml:space="preserve"> </w:t>
      </w:r>
      <w:r>
        <w:t>a</w:t>
      </w:r>
      <w:r w:rsidR="003B65CF" w:rsidRPr="003B65CF">
        <w:t xml:space="preserve"> </w:t>
      </w:r>
      <w:r>
        <w:t>defence</w:t>
      </w:r>
      <w:r w:rsidR="003B65CF" w:rsidRPr="003B65CF">
        <w:t xml:space="preserve"> </w:t>
      </w:r>
      <w:r>
        <w:t>for</w:t>
      </w:r>
      <w:r w:rsidR="003B65CF" w:rsidRPr="003B65CF">
        <w:t xml:space="preserve"> </w:t>
      </w:r>
      <w:r>
        <w:t>a</w:t>
      </w:r>
      <w:r w:rsidR="003B65CF" w:rsidRPr="003B65CF">
        <w:t xml:space="preserve"> </w:t>
      </w:r>
      <w:r>
        <w:t>person</w:t>
      </w:r>
      <w:r w:rsidR="003B65CF" w:rsidRPr="003B65CF">
        <w:t xml:space="preserve"> </w:t>
      </w:r>
      <w:r>
        <w:t>charged</w:t>
      </w:r>
      <w:r w:rsidR="003B65CF" w:rsidRPr="003B65CF">
        <w:t xml:space="preserve"> </w:t>
      </w:r>
      <w:r>
        <w:t>with</w:t>
      </w:r>
      <w:r w:rsidR="003B65CF" w:rsidRPr="003B65CF">
        <w:t xml:space="preserve"> </w:t>
      </w:r>
      <w:r>
        <w:t>an</w:t>
      </w:r>
      <w:r w:rsidR="003B65CF" w:rsidRPr="003B65CF">
        <w:t xml:space="preserve"> </w:t>
      </w:r>
      <w:r>
        <w:t>offence</w:t>
      </w:r>
      <w:r w:rsidR="003B65CF" w:rsidRPr="003B65CF">
        <w:t xml:space="preserve"> </w:t>
      </w:r>
      <w:r>
        <w:t>under</w:t>
      </w:r>
      <w:r w:rsidR="003B65CF" w:rsidRPr="003B65CF">
        <w:t xml:space="preserve"> </w:t>
      </w:r>
      <w:r>
        <w:t>these</w:t>
      </w:r>
      <w:r w:rsidR="003B65CF" w:rsidRPr="003B65CF">
        <w:t xml:space="preserve"> </w:t>
      </w:r>
      <w:r>
        <w:t>Regulations</w:t>
      </w:r>
      <w:r w:rsidR="003B65CF" w:rsidRPr="003B65CF">
        <w:t xml:space="preserve"> </w:t>
      </w:r>
      <w:r>
        <w:t>to</w:t>
      </w:r>
      <w:r w:rsidR="003B65CF" w:rsidRPr="003B65CF">
        <w:t xml:space="preserve"> </w:t>
      </w:r>
      <w:r>
        <w:t>prove</w:t>
      </w:r>
      <w:r w:rsidR="003B65CF" w:rsidRPr="003B65CF">
        <w:t xml:space="preserve"> </w:t>
      </w:r>
      <w:r>
        <w:t>that</w:t>
      </w:r>
      <w:r w:rsidR="003B65CF" w:rsidRPr="003B65CF">
        <w:t xml:space="preserve"> </w:t>
      </w:r>
      <w:r>
        <w:t>they</w:t>
      </w:r>
      <w:r w:rsidR="003B65CF" w:rsidRPr="003B65CF">
        <w:t xml:space="preserve"> </w:t>
      </w:r>
      <w:r>
        <w:t>took</w:t>
      </w:r>
      <w:r w:rsidR="003B65CF" w:rsidRPr="003B65CF">
        <w:t xml:space="preserve"> </w:t>
      </w:r>
      <w:r>
        <w:t>all</w:t>
      </w:r>
      <w:r w:rsidR="003B65CF" w:rsidRPr="003B65CF">
        <w:t xml:space="preserve"> </w:t>
      </w:r>
      <w:r>
        <w:t>reasonable</w:t>
      </w:r>
      <w:r w:rsidR="003B65CF" w:rsidRPr="003B65CF">
        <w:t xml:space="preserve"> </w:t>
      </w:r>
      <w:r>
        <w:t>steps</w:t>
      </w:r>
      <w:r w:rsidR="003B65CF" w:rsidRPr="003B65CF">
        <w:t xml:space="preserve"> </w:t>
      </w:r>
      <w:r>
        <w:t>and</w:t>
      </w:r>
      <w:r w:rsidR="003B65CF" w:rsidRPr="003B65CF">
        <w:t xml:space="preserve"> </w:t>
      </w:r>
      <w:r>
        <w:t>exercised</w:t>
      </w:r>
      <w:r w:rsidR="003B65CF" w:rsidRPr="003B65CF">
        <w:t xml:space="preserve"> </w:t>
      </w:r>
      <w:r>
        <w:t>all</w:t>
      </w:r>
      <w:r w:rsidR="003B65CF" w:rsidRPr="003B65CF">
        <w:t xml:space="preserve"> </w:t>
      </w:r>
      <w:r>
        <w:t>due</w:t>
      </w:r>
      <w:r w:rsidR="003B65CF" w:rsidRPr="003B65CF">
        <w:t xml:space="preserve"> </w:t>
      </w:r>
      <w:r>
        <w:t>diligence</w:t>
      </w:r>
      <w:r w:rsidR="003B65CF" w:rsidRPr="003B65CF">
        <w:t xml:space="preserve"> </w:t>
      </w:r>
      <w:r>
        <w:t>to</w:t>
      </w:r>
      <w:r w:rsidR="003B65CF" w:rsidRPr="003B65CF">
        <w:t xml:space="preserve"> </w:t>
      </w:r>
      <w:r>
        <w:t>avoid</w:t>
      </w:r>
      <w:r w:rsidR="003B65CF" w:rsidRPr="003B65CF">
        <w:t xml:space="preserve"> </w:t>
      </w:r>
      <w:r>
        <w:t>committing</w:t>
      </w:r>
      <w:r w:rsidR="003B65CF" w:rsidRPr="003B65CF">
        <w:t xml:space="preserve"> </w:t>
      </w:r>
      <w:r>
        <w:t>the</w:t>
      </w:r>
      <w:r w:rsidR="003B65CF" w:rsidRPr="003B65CF">
        <w:t xml:space="preserve"> </w:t>
      </w:r>
      <w:r>
        <w:t>offence.</w:t>
      </w:r>
    </w:p>
    <w:p w:rsidR="003B65CF" w:rsidRDefault="009D2F65" w:rsidP="009D2F65">
      <w:pPr>
        <w:pStyle w:val="N2"/>
      </w:pPr>
      <w:r>
        <w:t>A</w:t>
      </w:r>
      <w:r w:rsidR="003B65CF" w:rsidRPr="003B65CF">
        <w:t xml:space="preserve"> </w:t>
      </w:r>
      <w:r>
        <w:t>may</w:t>
      </w:r>
      <w:r w:rsidR="003B65CF" w:rsidRPr="003B65CF">
        <w:t xml:space="preserve"> </w:t>
      </w:r>
      <w:r>
        <w:t>not</w:t>
      </w:r>
      <w:r w:rsidR="003B65CF" w:rsidRPr="003B65CF">
        <w:t xml:space="preserve"> </w:t>
      </w:r>
      <w:r>
        <w:t>rely</w:t>
      </w:r>
      <w:r w:rsidR="003B65CF" w:rsidRPr="003B65CF">
        <w:t xml:space="preserve"> </w:t>
      </w:r>
      <w:r>
        <w:t>on</w:t>
      </w:r>
      <w:r w:rsidR="003B65CF" w:rsidRPr="003B65CF">
        <w:t xml:space="preserve"> </w:t>
      </w:r>
      <w:r>
        <w:t>a</w:t>
      </w:r>
      <w:r w:rsidR="003B65CF" w:rsidRPr="003B65CF">
        <w:t xml:space="preserve"> </w:t>
      </w:r>
      <w:r>
        <w:t>defence</w:t>
      </w:r>
      <w:r w:rsidR="003B65CF" w:rsidRPr="003B65CF">
        <w:t xml:space="preserve"> </w:t>
      </w:r>
      <w:r>
        <w:t>that</w:t>
      </w:r>
      <w:r w:rsidR="003B65CF" w:rsidRPr="003B65CF">
        <w:t xml:space="preserve"> </w:t>
      </w:r>
      <w:r>
        <w:t>involves</w:t>
      </w:r>
      <w:r w:rsidR="003B65CF" w:rsidRPr="003B65CF">
        <w:t xml:space="preserve"> </w:t>
      </w:r>
      <w:r>
        <w:t>an</w:t>
      </w:r>
      <w:r w:rsidR="003B65CF" w:rsidRPr="003B65CF">
        <w:t xml:space="preserve"> </w:t>
      </w:r>
      <w:r>
        <w:t>allegation</w:t>
      </w:r>
      <w:r w:rsidR="003B65CF" w:rsidRPr="003B65CF">
        <w:t xml:space="preserve"> </w:t>
      </w:r>
      <w:r>
        <w:t>that</w:t>
      </w:r>
      <w:r w:rsidR="003B65CF" w:rsidRPr="003B65CF">
        <w:t xml:space="preserve"> </w:t>
      </w:r>
      <w:r>
        <w:t>the</w:t>
      </w:r>
      <w:r w:rsidR="003B65CF" w:rsidRPr="003B65CF">
        <w:t xml:space="preserve"> </w:t>
      </w:r>
      <w:r>
        <w:t>commission</w:t>
      </w:r>
      <w:r w:rsidR="003B65CF" w:rsidRPr="003B65CF">
        <w:t xml:space="preserve"> </w:t>
      </w:r>
      <w:r>
        <w:t>of</w:t>
      </w:r>
      <w:r w:rsidR="003B65CF" w:rsidRPr="003B65CF">
        <w:t xml:space="preserve"> </w:t>
      </w:r>
      <w:r>
        <w:t>the</w:t>
      </w:r>
      <w:r w:rsidR="003B65CF" w:rsidRPr="003B65CF">
        <w:t xml:space="preserve"> </w:t>
      </w:r>
      <w:r>
        <w:t>offence</w:t>
      </w:r>
      <w:r w:rsidR="003B65CF" w:rsidRPr="003B65CF">
        <w:t xml:space="preserve"> </w:t>
      </w:r>
      <w:r>
        <w:t>was</w:t>
      </w:r>
      <w:r w:rsidR="003B65CF" w:rsidRPr="003B65CF">
        <w:t xml:space="preserve"> </w:t>
      </w:r>
      <w:r>
        <w:t>due</w:t>
      </w:r>
      <w:r w:rsidR="003B65CF" w:rsidRPr="003B65CF">
        <w:t xml:space="preserve"> </w:t>
      </w:r>
      <w:r>
        <w:t>to</w:t>
      </w:r>
      <w:r w:rsidR="003B65CF" w:rsidRPr="003B65CF">
        <w:t xml:space="preserve"> </w:t>
      </w:r>
      <w:r>
        <w:t>the</w:t>
      </w:r>
      <w:r w:rsidR="003B65CF" w:rsidRPr="003B65CF">
        <w:t xml:space="preserve"> </w:t>
      </w:r>
      <w:r>
        <w:t>act</w:t>
      </w:r>
      <w:r w:rsidR="003B65CF" w:rsidRPr="003B65CF">
        <w:t xml:space="preserve"> </w:t>
      </w:r>
      <w:r>
        <w:t>or</w:t>
      </w:r>
      <w:r w:rsidR="003B65CF" w:rsidRPr="003B65CF">
        <w:t xml:space="preserve"> </w:t>
      </w:r>
      <w:r>
        <w:t>default</w:t>
      </w:r>
      <w:r w:rsidR="003B65CF" w:rsidRPr="003B65CF">
        <w:t xml:space="preserve"> </w:t>
      </w:r>
      <w:r>
        <w:t>of</w:t>
      </w:r>
      <w:r w:rsidR="003B65CF" w:rsidRPr="003B65CF">
        <w:t xml:space="preserve"> </w:t>
      </w:r>
      <w:r>
        <w:t>B</w:t>
      </w:r>
      <w:r w:rsidR="003B65CF" w:rsidRPr="003B65CF">
        <w:t xml:space="preserve"> </w:t>
      </w:r>
      <w:r>
        <w:t>unless—</w:t>
      </w:r>
    </w:p>
    <w:p w:rsidR="009D2F65" w:rsidRDefault="009D2F65" w:rsidP="009D2F65">
      <w:pPr>
        <w:pStyle w:val="N3"/>
      </w:pPr>
      <w:r>
        <w:t>at</w:t>
      </w:r>
      <w:r w:rsidR="003B65CF" w:rsidRPr="003B65CF">
        <w:t xml:space="preserve"> </w:t>
      </w:r>
      <w:r>
        <w:t>least</w:t>
      </w:r>
      <w:r w:rsidR="003B65CF" w:rsidRPr="003B65CF">
        <w:t xml:space="preserve"> </w:t>
      </w:r>
      <w:r>
        <w:t>seven</w:t>
      </w:r>
      <w:r w:rsidR="003B65CF" w:rsidRPr="003B65CF">
        <w:t xml:space="preserve"> </w:t>
      </w:r>
      <w:r>
        <w:t>clear</w:t>
      </w:r>
      <w:r w:rsidR="003B65CF" w:rsidRPr="003B65CF">
        <w:t xml:space="preserve"> </w:t>
      </w:r>
      <w:r>
        <w:t>days</w:t>
      </w:r>
      <w:r w:rsidR="003B65CF" w:rsidRPr="003B65CF">
        <w:t xml:space="preserve"> </w:t>
      </w:r>
      <w:r>
        <w:t>before</w:t>
      </w:r>
      <w:r w:rsidR="003B65CF" w:rsidRPr="003B65CF">
        <w:t xml:space="preserve"> </w:t>
      </w:r>
      <w:r>
        <w:t>the</w:t>
      </w:r>
      <w:r w:rsidR="003B65CF" w:rsidRPr="003B65CF">
        <w:t xml:space="preserve"> </w:t>
      </w:r>
      <w:r>
        <w:t>hearing</w:t>
      </w:r>
      <w:r w:rsidR="003B65CF" w:rsidRPr="003B65CF">
        <w:t xml:space="preserve"> </w:t>
      </w:r>
      <w:r>
        <w:t>A</w:t>
      </w:r>
      <w:r w:rsidR="003B65CF" w:rsidRPr="003B65CF">
        <w:t xml:space="preserve"> </w:t>
      </w:r>
      <w:r>
        <w:t>has</w:t>
      </w:r>
      <w:r w:rsidR="003B65CF" w:rsidRPr="003B65CF">
        <w:t xml:space="preserve"> </w:t>
      </w:r>
      <w:r>
        <w:t>given</w:t>
      </w:r>
      <w:r w:rsidR="003B65CF" w:rsidRPr="003B65CF">
        <w:t xml:space="preserve"> </w:t>
      </w:r>
      <w:r>
        <w:t>to</w:t>
      </w:r>
      <w:r w:rsidR="003B65CF" w:rsidRPr="003B65CF">
        <w:t xml:space="preserve"> </w:t>
      </w:r>
      <w:r>
        <w:t>the</w:t>
      </w:r>
      <w:r w:rsidR="003B65CF" w:rsidRPr="003B65CF">
        <w:t xml:space="preserve"> </w:t>
      </w:r>
      <w:r>
        <w:t>prosecutor</w:t>
      </w:r>
      <w:r w:rsidR="003B65CF" w:rsidRPr="003B65CF">
        <w:t xml:space="preserve"> </w:t>
      </w:r>
      <w:r>
        <w:t>a</w:t>
      </w:r>
      <w:r w:rsidR="003B65CF" w:rsidRPr="003B65CF">
        <w:t xml:space="preserve"> </w:t>
      </w:r>
      <w:r>
        <w:t>notice</w:t>
      </w:r>
      <w:r w:rsidR="003B65CF" w:rsidRPr="003B65CF">
        <w:t xml:space="preserve"> </w:t>
      </w:r>
      <w:r>
        <w:t>in</w:t>
      </w:r>
      <w:r w:rsidR="003B65CF" w:rsidRPr="003B65CF">
        <w:t xml:space="preserve"> </w:t>
      </w:r>
      <w:r>
        <w:t>writing</w:t>
      </w:r>
      <w:r w:rsidR="003B65CF" w:rsidRPr="003B65CF">
        <w:t xml:space="preserve"> </w:t>
      </w:r>
      <w:r>
        <w:t>giving</w:t>
      </w:r>
      <w:r w:rsidR="003B65CF" w:rsidRPr="003B65CF">
        <w:t xml:space="preserve"> </w:t>
      </w:r>
      <w:r>
        <w:t>such</w:t>
      </w:r>
      <w:r w:rsidR="003B65CF" w:rsidRPr="003B65CF">
        <w:t xml:space="preserve"> </w:t>
      </w:r>
      <w:r>
        <w:t>information</w:t>
      </w:r>
      <w:r w:rsidR="003B65CF" w:rsidRPr="003B65CF">
        <w:t xml:space="preserve"> </w:t>
      </w:r>
      <w:r>
        <w:t>identifying</w:t>
      </w:r>
      <w:r w:rsidR="003B65CF" w:rsidRPr="003B65CF">
        <w:t xml:space="preserve"> </w:t>
      </w:r>
      <w:r>
        <w:t>or</w:t>
      </w:r>
      <w:r w:rsidR="003B65CF" w:rsidRPr="003B65CF">
        <w:t xml:space="preserve"> </w:t>
      </w:r>
      <w:r>
        <w:t>assisting</w:t>
      </w:r>
      <w:r w:rsidR="003B65CF" w:rsidRPr="003B65CF">
        <w:t xml:space="preserve"> </w:t>
      </w:r>
      <w:r>
        <w:t>in</w:t>
      </w:r>
      <w:r w:rsidR="003B65CF" w:rsidRPr="003B65CF">
        <w:t xml:space="preserve"> </w:t>
      </w:r>
      <w:r>
        <w:t>the</w:t>
      </w:r>
      <w:r w:rsidR="003B65CF" w:rsidRPr="003B65CF">
        <w:t xml:space="preserve"> </w:t>
      </w:r>
      <w:r>
        <w:t>identification</w:t>
      </w:r>
      <w:r w:rsidR="003B65CF" w:rsidRPr="003B65CF">
        <w:t xml:space="preserve"> </w:t>
      </w:r>
      <w:r>
        <w:t>of</w:t>
      </w:r>
      <w:r w:rsidR="003B65CF" w:rsidRPr="003B65CF">
        <w:t xml:space="preserve"> </w:t>
      </w:r>
      <w:r>
        <w:t>B</w:t>
      </w:r>
      <w:r w:rsidR="003B65CF" w:rsidRPr="003B65CF">
        <w:t xml:space="preserve"> </w:t>
      </w:r>
      <w:r>
        <w:t>as</w:t>
      </w:r>
      <w:r w:rsidR="003B65CF" w:rsidRPr="003B65CF">
        <w:t xml:space="preserve"> </w:t>
      </w:r>
      <w:r>
        <w:t>was</w:t>
      </w:r>
      <w:r w:rsidR="003B65CF" w:rsidRPr="003B65CF">
        <w:t xml:space="preserve"> </w:t>
      </w:r>
      <w:r>
        <w:t>then</w:t>
      </w:r>
      <w:r w:rsidR="003B65CF" w:rsidRPr="003B65CF">
        <w:t xml:space="preserve"> </w:t>
      </w:r>
      <w:r>
        <w:t>in</w:t>
      </w:r>
      <w:r w:rsidR="003B65CF" w:rsidRPr="003B65CF">
        <w:t xml:space="preserve"> </w:t>
      </w:r>
      <w:r>
        <w:t>their</w:t>
      </w:r>
      <w:r w:rsidR="003B65CF" w:rsidRPr="003B65CF">
        <w:t xml:space="preserve"> </w:t>
      </w:r>
      <w:r>
        <w:t>possession</w:t>
      </w:r>
      <w:r w:rsidR="004F2532">
        <w:t>,</w:t>
      </w:r>
      <w:r w:rsidR="003B65CF" w:rsidRPr="003B65CF">
        <w:t xml:space="preserve"> </w:t>
      </w:r>
      <w:r>
        <w:t>or</w:t>
      </w:r>
    </w:p>
    <w:p w:rsidR="009D2F65" w:rsidRDefault="009D2F65" w:rsidP="009D2F65">
      <w:pPr>
        <w:pStyle w:val="N3"/>
      </w:pPr>
      <w:r>
        <w:t>the</w:t>
      </w:r>
      <w:r w:rsidR="003B65CF" w:rsidRPr="003B65CF">
        <w:t xml:space="preserve"> </w:t>
      </w:r>
      <w:r>
        <w:t>court</w:t>
      </w:r>
      <w:r w:rsidR="003B65CF" w:rsidRPr="003B65CF">
        <w:t xml:space="preserve"> </w:t>
      </w:r>
      <w:r>
        <w:t>grants</w:t>
      </w:r>
      <w:r w:rsidR="003B65CF" w:rsidRPr="003B65CF">
        <w:t xml:space="preserve"> </w:t>
      </w:r>
      <w:r>
        <w:t>them</w:t>
      </w:r>
      <w:r w:rsidR="003B65CF" w:rsidRPr="003B65CF">
        <w:t xml:space="preserve"> </w:t>
      </w:r>
      <w:r>
        <w:t>leave.</w:t>
      </w:r>
    </w:p>
    <w:p w:rsidR="003B65CF" w:rsidRDefault="009D2F65" w:rsidP="009D2F65">
      <w:pPr>
        <w:pStyle w:val="N2"/>
      </w:pPr>
      <w:r>
        <w:t>In</w:t>
      </w:r>
      <w:r w:rsidR="003B65CF" w:rsidRPr="003B65CF">
        <w:t xml:space="preserve"> </w:t>
      </w:r>
      <w:r>
        <w:t>proceedings</w:t>
      </w:r>
      <w:r w:rsidR="003B65CF" w:rsidRPr="003B65CF">
        <w:t xml:space="preserve"> </w:t>
      </w:r>
      <w:r>
        <w:t>f</w:t>
      </w:r>
      <w:r w:rsidR="002C1149">
        <w:t>or</w:t>
      </w:r>
      <w:r w:rsidR="003B65CF" w:rsidRPr="003B65CF">
        <w:t xml:space="preserve"> </w:t>
      </w:r>
      <w:r w:rsidR="002C1149">
        <w:t>an</w:t>
      </w:r>
      <w:r w:rsidR="003B65CF" w:rsidRPr="003B65CF">
        <w:t xml:space="preserve"> </w:t>
      </w:r>
      <w:r w:rsidR="002C1149">
        <w:t>offence</w:t>
      </w:r>
      <w:r w:rsidR="003B65CF" w:rsidRPr="003B65CF">
        <w:t xml:space="preserve"> </w:t>
      </w:r>
      <w:r w:rsidR="002C1149">
        <w:t>under</w:t>
      </w:r>
      <w:r w:rsidR="003B65CF" w:rsidRPr="003B65CF">
        <w:t xml:space="preserve"> </w:t>
      </w:r>
      <w:r w:rsidR="002C1149">
        <w:t>regulation</w:t>
      </w:r>
      <w:r w:rsidR="003B65CF" w:rsidRPr="003B65CF">
        <w:t xml:space="preserve"> </w:t>
      </w:r>
      <w:r w:rsidR="002C1149">
        <w:t>3</w:t>
      </w:r>
      <w:r>
        <w:t>(1)</w:t>
      </w:r>
      <w:r w:rsidR="003B65CF" w:rsidRPr="003B65CF">
        <w:t xml:space="preserve"> </w:t>
      </w:r>
      <w:r>
        <w:t>as</w:t>
      </w:r>
      <w:r w:rsidR="003B65CF" w:rsidRPr="003B65CF">
        <w:t xml:space="preserve"> </w:t>
      </w:r>
      <w:r>
        <w:t>read</w:t>
      </w:r>
      <w:r w:rsidR="003B65CF" w:rsidRPr="003B65CF">
        <w:t xml:space="preserve"> </w:t>
      </w:r>
      <w:r>
        <w:t>with</w:t>
      </w:r>
      <w:r w:rsidR="003B65CF" w:rsidRPr="003B65CF">
        <w:t xml:space="preserve"> </w:t>
      </w:r>
      <w:r>
        <w:t>the</w:t>
      </w:r>
      <w:r w:rsidR="003B65CF" w:rsidRPr="003B65CF">
        <w:t xml:space="preserve"> </w:t>
      </w:r>
      <w:r>
        <w:t>provisions</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r w:rsidR="003B65CF" w:rsidRPr="003B65CF">
        <w:t xml:space="preserve"> </w:t>
      </w:r>
      <w:r>
        <w:t>mentioned</w:t>
      </w:r>
      <w:r w:rsidR="003B65CF" w:rsidRPr="003B65CF">
        <w:t xml:space="preserve"> </w:t>
      </w:r>
      <w:r>
        <w:t>in</w:t>
      </w:r>
      <w:r w:rsidR="003B65CF" w:rsidRPr="003B65CF">
        <w:t xml:space="preserve"> </w:t>
      </w:r>
      <w:r>
        <w:t>Part</w:t>
      </w:r>
      <w:r w:rsidR="003B65CF" w:rsidRPr="003B65CF">
        <w:t xml:space="preserve"> </w:t>
      </w:r>
      <w:r>
        <w:t>2</w:t>
      </w:r>
      <w:r w:rsidR="003B65CF" w:rsidRPr="003B65CF">
        <w:t xml:space="preserve"> </w:t>
      </w:r>
      <w:r>
        <w:t>of</w:t>
      </w:r>
      <w:r w:rsidR="003B65CF" w:rsidRPr="003B65CF">
        <w:t xml:space="preserve"> </w:t>
      </w:r>
      <w:r>
        <w:t>Schedule</w:t>
      </w:r>
      <w:r w:rsidR="003B65CF" w:rsidRPr="003B65CF">
        <w:t xml:space="preserve"> </w:t>
      </w:r>
      <w:r>
        <w:t>1</w:t>
      </w:r>
      <w:r w:rsidR="003B65CF" w:rsidRPr="003B65CF">
        <w:t xml:space="preserve"> </w:t>
      </w:r>
      <w:r>
        <w:t>insofar</w:t>
      </w:r>
      <w:r w:rsidR="003B65CF" w:rsidRPr="003B65CF">
        <w:t xml:space="preserve"> </w:t>
      </w:r>
      <w:r>
        <w:t>as</w:t>
      </w:r>
      <w:r w:rsidR="003B65CF" w:rsidRPr="003B65CF">
        <w:t xml:space="preserve"> </w:t>
      </w:r>
      <w:r>
        <w:t>they</w:t>
      </w:r>
      <w:r w:rsidR="003B65CF" w:rsidRPr="003B65CF">
        <w:t xml:space="preserve"> </w:t>
      </w:r>
      <w:r>
        <w:t>apply</w:t>
      </w:r>
      <w:r w:rsidR="003B65CF" w:rsidRPr="003B65CF">
        <w:t xml:space="preserve"> </w:t>
      </w:r>
      <w:r>
        <w:t>to</w:t>
      </w:r>
      <w:r w:rsidR="003B65CF" w:rsidRPr="003B65CF">
        <w:t xml:space="preserve"> </w:t>
      </w:r>
      <w:r>
        <w:t>the</w:t>
      </w:r>
      <w:r w:rsidR="003B65CF" w:rsidRPr="003B65CF">
        <w:t xml:space="preserve"> </w:t>
      </w:r>
      <w:r w:rsidR="002569F2">
        <w:t>advertisement</w:t>
      </w:r>
      <w:r w:rsidR="003B65CF" w:rsidRPr="003B65CF">
        <w:t xml:space="preserve"> </w:t>
      </w:r>
      <w:r w:rsidR="002569F2">
        <w:t>of</w:t>
      </w:r>
      <w:r w:rsidR="003B65CF" w:rsidRPr="003B65CF">
        <w:t xml:space="preserve"> </w:t>
      </w:r>
      <w:r w:rsidR="002569F2">
        <w:t>spirit</w:t>
      </w:r>
      <w:r w:rsidR="003B65CF" w:rsidRPr="003B65CF">
        <w:t xml:space="preserve"> </w:t>
      </w:r>
      <w:r w:rsidR="002569F2">
        <w:t>drinks</w:t>
      </w:r>
      <w:r>
        <w:t>,</w:t>
      </w:r>
      <w:r w:rsidR="003B65CF" w:rsidRPr="003B65CF">
        <w:t xml:space="preserve"> </w:t>
      </w:r>
      <w:r>
        <w:t>it</w:t>
      </w:r>
      <w:r w:rsidR="003B65CF" w:rsidRPr="003B65CF">
        <w:t xml:space="preserve"> </w:t>
      </w:r>
      <w:r>
        <w:t>is</w:t>
      </w:r>
      <w:r w:rsidR="003B65CF" w:rsidRPr="003B65CF">
        <w:t xml:space="preserve"> </w:t>
      </w:r>
      <w:r>
        <w:t>a</w:t>
      </w:r>
      <w:r w:rsidR="003B65CF" w:rsidRPr="003B65CF">
        <w:t xml:space="preserve"> </w:t>
      </w:r>
      <w:r>
        <w:t>defence</w:t>
      </w:r>
      <w:r w:rsidR="003B65CF" w:rsidRPr="003B65CF">
        <w:t xml:space="preserve"> </w:t>
      </w:r>
      <w:r>
        <w:t>for</w:t>
      </w:r>
      <w:r w:rsidR="003B65CF" w:rsidRPr="003B65CF">
        <w:t xml:space="preserve"> </w:t>
      </w:r>
      <w:r>
        <w:t>the</w:t>
      </w:r>
      <w:r w:rsidR="003B65CF" w:rsidRPr="003B65CF">
        <w:t xml:space="preserve"> </w:t>
      </w:r>
      <w:r>
        <w:t>person</w:t>
      </w:r>
      <w:r w:rsidR="003B65CF" w:rsidRPr="003B65CF">
        <w:t xml:space="preserve"> </w:t>
      </w:r>
      <w:r>
        <w:t>charged</w:t>
      </w:r>
      <w:r w:rsidR="003B65CF" w:rsidRPr="003B65CF">
        <w:t xml:space="preserve"> </w:t>
      </w:r>
      <w:r>
        <w:t>with</w:t>
      </w:r>
      <w:r w:rsidR="003B65CF" w:rsidRPr="003B65CF">
        <w:t xml:space="preserve"> </w:t>
      </w:r>
      <w:r>
        <w:t>the</w:t>
      </w:r>
      <w:r w:rsidR="003B65CF" w:rsidRPr="003B65CF">
        <w:t xml:space="preserve"> </w:t>
      </w:r>
      <w:r>
        <w:t>offence</w:t>
      </w:r>
      <w:r w:rsidR="003B65CF" w:rsidRPr="003B65CF">
        <w:t xml:space="preserve"> </w:t>
      </w:r>
      <w:r>
        <w:t>to</w:t>
      </w:r>
      <w:r w:rsidR="003B65CF" w:rsidRPr="003B65CF">
        <w:t xml:space="preserve"> </w:t>
      </w:r>
      <w:r>
        <w:t>prove</w:t>
      </w:r>
      <w:r w:rsidR="003B65CF" w:rsidRPr="003B65CF">
        <w:t xml:space="preserve"> </w:t>
      </w:r>
      <w:r>
        <w:t>that—</w:t>
      </w:r>
    </w:p>
    <w:p w:rsidR="009D2F65" w:rsidRDefault="009D2F65" w:rsidP="009D2F65">
      <w:pPr>
        <w:pStyle w:val="N3"/>
      </w:pPr>
      <w:r>
        <w:t>at</w:t>
      </w:r>
      <w:r w:rsidR="003B65CF" w:rsidRPr="003B65CF">
        <w:t xml:space="preserve"> </w:t>
      </w:r>
      <w:r>
        <w:t>the</w:t>
      </w:r>
      <w:r w:rsidR="003B65CF" w:rsidRPr="003B65CF">
        <w:t xml:space="preserve"> </w:t>
      </w:r>
      <w:r>
        <w:t>time</w:t>
      </w:r>
      <w:r w:rsidR="003B65CF" w:rsidRPr="003B65CF">
        <w:t xml:space="preserve"> </w:t>
      </w:r>
      <w:r>
        <w:t>of</w:t>
      </w:r>
      <w:r w:rsidR="003B65CF" w:rsidRPr="003B65CF">
        <w:t xml:space="preserve"> </w:t>
      </w:r>
      <w:r>
        <w:t>the</w:t>
      </w:r>
      <w:r w:rsidR="003B65CF" w:rsidRPr="003B65CF">
        <w:t xml:space="preserve"> </w:t>
      </w:r>
      <w:r>
        <w:t>alleged</w:t>
      </w:r>
      <w:r w:rsidR="003B65CF" w:rsidRPr="003B65CF">
        <w:t xml:space="preserve"> </w:t>
      </w:r>
      <w:r>
        <w:t>offence</w:t>
      </w:r>
      <w:r w:rsidR="003B65CF" w:rsidRPr="003B65CF">
        <w:t xml:space="preserve"> </w:t>
      </w:r>
      <w:r>
        <w:t>they</w:t>
      </w:r>
      <w:r w:rsidR="003B65CF" w:rsidRPr="003B65CF">
        <w:t xml:space="preserve"> </w:t>
      </w:r>
      <w:r>
        <w:t>were</w:t>
      </w:r>
      <w:r w:rsidR="003B65CF" w:rsidRPr="003B65CF">
        <w:t xml:space="preserve"> </w:t>
      </w:r>
      <w:r>
        <w:t>a</w:t>
      </w:r>
      <w:r w:rsidR="003B65CF" w:rsidRPr="003B65CF">
        <w:t xml:space="preserve"> </w:t>
      </w:r>
      <w:r>
        <w:t>person</w:t>
      </w:r>
      <w:r w:rsidR="003B65CF" w:rsidRPr="003B65CF">
        <w:t xml:space="preserve"> </w:t>
      </w:r>
      <w:r>
        <w:t>whose</w:t>
      </w:r>
      <w:r w:rsidR="003B65CF" w:rsidRPr="003B65CF">
        <w:t xml:space="preserve"> </w:t>
      </w:r>
      <w:r>
        <w:t>business</w:t>
      </w:r>
      <w:r w:rsidR="003B65CF" w:rsidRPr="003B65CF">
        <w:t xml:space="preserve"> </w:t>
      </w:r>
      <w:r>
        <w:t>it</w:t>
      </w:r>
      <w:r w:rsidR="003B65CF" w:rsidRPr="003B65CF">
        <w:t xml:space="preserve"> </w:t>
      </w:r>
      <w:r>
        <w:t>was</w:t>
      </w:r>
      <w:r w:rsidR="003B65CF" w:rsidRPr="003B65CF">
        <w:t xml:space="preserve"> </w:t>
      </w:r>
      <w:r>
        <w:t>to</w:t>
      </w:r>
      <w:r w:rsidR="003B65CF" w:rsidRPr="003B65CF">
        <w:t xml:space="preserve"> </w:t>
      </w:r>
      <w:r>
        <w:t>publish</w:t>
      </w:r>
      <w:r w:rsidR="003B65CF" w:rsidRPr="003B65CF">
        <w:t xml:space="preserve"> </w:t>
      </w:r>
      <w:r>
        <w:t>or</w:t>
      </w:r>
      <w:r w:rsidR="003B65CF" w:rsidRPr="003B65CF">
        <w:t xml:space="preserve"> </w:t>
      </w:r>
      <w:r>
        <w:t>arrange</w:t>
      </w:r>
      <w:r w:rsidR="003B65CF" w:rsidRPr="003B65CF">
        <w:t xml:space="preserve"> </w:t>
      </w:r>
      <w:r>
        <w:t>for</w:t>
      </w:r>
      <w:r w:rsidR="003B65CF" w:rsidRPr="003B65CF">
        <w:t xml:space="preserve"> </w:t>
      </w:r>
      <w:r>
        <w:t>the</w:t>
      </w:r>
      <w:r w:rsidR="003B65CF" w:rsidRPr="003B65CF">
        <w:t xml:space="preserve"> </w:t>
      </w:r>
      <w:r>
        <w:t>publication</w:t>
      </w:r>
      <w:r w:rsidR="003B65CF" w:rsidRPr="003B65CF">
        <w:t xml:space="preserve"> </w:t>
      </w:r>
      <w:r>
        <w:t>of</w:t>
      </w:r>
      <w:r w:rsidR="003B65CF" w:rsidRPr="003B65CF">
        <w:t xml:space="preserve"> </w:t>
      </w:r>
      <w:r>
        <w:t>advertisements</w:t>
      </w:r>
      <w:r w:rsidR="00714719">
        <w:t>,</w:t>
      </w:r>
    </w:p>
    <w:p w:rsidR="009D2F65" w:rsidRDefault="009D2F65" w:rsidP="009D2F65">
      <w:pPr>
        <w:pStyle w:val="N3"/>
      </w:pPr>
      <w:r>
        <w:t>they</w:t>
      </w:r>
      <w:r w:rsidR="003B65CF" w:rsidRPr="003B65CF">
        <w:t xml:space="preserve"> </w:t>
      </w:r>
      <w:r>
        <w:t>received</w:t>
      </w:r>
      <w:r w:rsidR="003B65CF" w:rsidRPr="003B65CF">
        <w:t xml:space="preserve"> </w:t>
      </w:r>
      <w:r>
        <w:t>the</w:t>
      </w:r>
      <w:r w:rsidR="003B65CF" w:rsidRPr="003B65CF">
        <w:t xml:space="preserve"> </w:t>
      </w:r>
      <w:r>
        <w:t>advertisement</w:t>
      </w:r>
      <w:r w:rsidR="003B65CF" w:rsidRPr="003B65CF">
        <w:t xml:space="preserve"> </w:t>
      </w:r>
      <w:r>
        <w:t>for</w:t>
      </w:r>
      <w:r w:rsidR="003B65CF" w:rsidRPr="003B65CF">
        <w:t xml:space="preserve"> </w:t>
      </w:r>
      <w:r>
        <w:t>publication</w:t>
      </w:r>
      <w:r w:rsidR="003B65CF" w:rsidRPr="003B65CF">
        <w:t xml:space="preserve"> </w:t>
      </w:r>
      <w:r>
        <w:t>in</w:t>
      </w:r>
      <w:r w:rsidR="003B65CF" w:rsidRPr="003B65CF">
        <w:t xml:space="preserve"> </w:t>
      </w:r>
      <w:r>
        <w:t>the</w:t>
      </w:r>
      <w:r w:rsidR="003B65CF" w:rsidRPr="003B65CF">
        <w:t xml:space="preserve"> </w:t>
      </w:r>
      <w:r>
        <w:t>ordinary</w:t>
      </w:r>
      <w:r w:rsidR="003B65CF" w:rsidRPr="003B65CF">
        <w:t xml:space="preserve"> </w:t>
      </w:r>
      <w:r>
        <w:t>course</w:t>
      </w:r>
      <w:r w:rsidR="003B65CF" w:rsidRPr="003B65CF">
        <w:t xml:space="preserve"> </w:t>
      </w:r>
      <w:r>
        <w:t>of</w:t>
      </w:r>
      <w:r w:rsidR="003B65CF" w:rsidRPr="003B65CF">
        <w:t xml:space="preserve"> </w:t>
      </w:r>
      <w:r>
        <w:t>business</w:t>
      </w:r>
      <w:r w:rsidR="00714719">
        <w:t>,</w:t>
      </w:r>
      <w:r w:rsidR="003B65CF" w:rsidRPr="003B65CF">
        <w:t xml:space="preserve"> </w:t>
      </w:r>
      <w:r>
        <w:t>and</w:t>
      </w:r>
    </w:p>
    <w:p w:rsidR="009D2F65" w:rsidRDefault="009D2F65" w:rsidP="009D2F65">
      <w:pPr>
        <w:pStyle w:val="N3"/>
      </w:pPr>
      <w:r>
        <w:t>they</w:t>
      </w:r>
      <w:r w:rsidR="003B65CF" w:rsidRPr="003B65CF">
        <w:t xml:space="preserve"> </w:t>
      </w:r>
      <w:r>
        <w:t>did</w:t>
      </w:r>
      <w:r w:rsidR="003B65CF" w:rsidRPr="003B65CF">
        <w:t xml:space="preserve"> </w:t>
      </w:r>
      <w:r>
        <w:t>not</w:t>
      </w:r>
      <w:r w:rsidR="003B65CF" w:rsidRPr="003B65CF">
        <w:t xml:space="preserve"> </w:t>
      </w:r>
      <w:r>
        <w:t>know,</w:t>
      </w:r>
      <w:r w:rsidR="003B65CF" w:rsidRPr="003B65CF">
        <w:t xml:space="preserve"> </w:t>
      </w:r>
      <w:r>
        <w:t>and</w:t>
      </w:r>
      <w:r w:rsidR="003B65CF" w:rsidRPr="003B65CF">
        <w:t xml:space="preserve"> </w:t>
      </w:r>
      <w:r>
        <w:t>had</w:t>
      </w:r>
      <w:r w:rsidR="003B65CF" w:rsidRPr="003B65CF">
        <w:t xml:space="preserve"> </w:t>
      </w:r>
      <w:r>
        <w:t>no</w:t>
      </w:r>
      <w:r w:rsidR="003B65CF" w:rsidRPr="003B65CF">
        <w:t xml:space="preserve"> </w:t>
      </w:r>
      <w:r>
        <w:t>reason</w:t>
      </w:r>
      <w:r w:rsidR="003B65CF" w:rsidRPr="003B65CF">
        <w:t xml:space="preserve"> </w:t>
      </w:r>
      <w:r>
        <w:t>to</w:t>
      </w:r>
      <w:r w:rsidR="003B65CF" w:rsidRPr="003B65CF">
        <w:t xml:space="preserve"> </w:t>
      </w:r>
      <w:r>
        <w:t>suspect,</w:t>
      </w:r>
      <w:r w:rsidR="003B65CF" w:rsidRPr="003B65CF">
        <w:t xml:space="preserve"> </w:t>
      </w:r>
      <w:r>
        <w:t>that</w:t>
      </w:r>
      <w:r w:rsidR="003B65CF" w:rsidRPr="003B65CF">
        <w:t xml:space="preserve"> </w:t>
      </w:r>
      <w:r>
        <w:t>publication</w:t>
      </w:r>
      <w:r w:rsidR="003B65CF" w:rsidRPr="003B65CF">
        <w:t xml:space="preserve"> </w:t>
      </w:r>
      <w:r>
        <w:t>of</w:t>
      </w:r>
      <w:r w:rsidR="003B65CF" w:rsidRPr="003B65CF">
        <w:t xml:space="preserve"> </w:t>
      </w:r>
      <w:r>
        <w:t>the</w:t>
      </w:r>
      <w:r w:rsidR="003B65CF" w:rsidRPr="003B65CF">
        <w:t xml:space="preserve"> </w:t>
      </w:r>
      <w:r>
        <w:t>advertisement</w:t>
      </w:r>
      <w:r w:rsidR="003B65CF" w:rsidRPr="003B65CF">
        <w:t xml:space="preserve"> </w:t>
      </w:r>
      <w:r>
        <w:t>would</w:t>
      </w:r>
      <w:r w:rsidR="003B65CF" w:rsidRPr="003B65CF">
        <w:t xml:space="preserve"> </w:t>
      </w:r>
      <w:r>
        <w:t>constitute</w:t>
      </w:r>
      <w:r w:rsidR="003B65CF" w:rsidRPr="003B65CF">
        <w:t xml:space="preserve"> </w:t>
      </w:r>
      <w:r>
        <w:t>an</w:t>
      </w:r>
      <w:r w:rsidR="003B65CF" w:rsidRPr="003B65CF">
        <w:t xml:space="preserve"> </w:t>
      </w:r>
      <w:r>
        <w:t>offence</w:t>
      </w:r>
      <w:r w:rsidR="003B65CF" w:rsidRPr="003B65CF">
        <w:t xml:space="preserve"> </w:t>
      </w:r>
      <w:r>
        <w:t>under</w:t>
      </w:r>
      <w:r w:rsidR="003B65CF" w:rsidRPr="003B65CF">
        <w:t xml:space="preserve"> </w:t>
      </w:r>
      <w:r>
        <w:t>these</w:t>
      </w:r>
      <w:r w:rsidR="003B65CF" w:rsidRPr="003B65CF">
        <w:t xml:space="preserve"> </w:t>
      </w:r>
      <w:r>
        <w:t>Regulations.</w:t>
      </w:r>
    </w:p>
    <w:p w:rsidR="003B65CF" w:rsidRDefault="009D2F65" w:rsidP="009D2F65">
      <w:pPr>
        <w:pStyle w:val="N2"/>
      </w:pPr>
      <w:r>
        <w:t>It</w:t>
      </w:r>
      <w:r w:rsidR="003B65CF" w:rsidRPr="003B65CF">
        <w:t xml:space="preserve"> </w:t>
      </w:r>
      <w:r>
        <w:t>is</w:t>
      </w:r>
      <w:r w:rsidR="003B65CF" w:rsidRPr="003B65CF">
        <w:t xml:space="preserve"> </w:t>
      </w:r>
      <w:r>
        <w:t>a</w:t>
      </w:r>
      <w:r w:rsidR="003B65CF" w:rsidRPr="003B65CF">
        <w:t xml:space="preserve"> </w:t>
      </w:r>
      <w:r>
        <w:t>defence</w:t>
      </w:r>
      <w:r w:rsidR="003B65CF" w:rsidRPr="003B65CF">
        <w:t xml:space="preserve"> </w:t>
      </w:r>
      <w:r>
        <w:t>for</w:t>
      </w:r>
      <w:r w:rsidR="003B65CF" w:rsidRPr="003B65CF">
        <w:t xml:space="preserve"> </w:t>
      </w:r>
      <w:r>
        <w:t>a</w:t>
      </w:r>
      <w:r w:rsidR="003B65CF" w:rsidRPr="003B65CF">
        <w:t xml:space="preserve"> </w:t>
      </w:r>
      <w:r>
        <w:t>person</w:t>
      </w:r>
      <w:r w:rsidR="003B65CF" w:rsidRPr="003B65CF">
        <w:t xml:space="preserve"> </w:t>
      </w:r>
      <w:r>
        <w:t>charged</w:t>
      </w:r>
      <w:r w:rsidR="003B65CF" w:rsidRPr="003B65CF">
        <w:t xml:space="preserve"> </w:t>
      </w:r>
      <w:r>
        <w:t>wi</w:t>
      </w:r>
      <w:r w:rsidR="002C1149">
        <w:t>th</w:t>
      </w:r>
      <w:r w:rsidR="003B65CF" w:rsidRPr="003B65CF">
        <w:t xml:space="preserve"> </w:t>
      </w:r>
      <w:r w:rsidR="002C1149">
        <w:t>an</w:t>
      </w:r>
      <w:r w:rsidR="003B65CF" w:rsidRPr="003B65CF">
        <w:t xml:space="preserve"> </w:t>
      </w:r>
      <w:r w:rsidR="002C1149">
        <w:t>offence</w:t>
      </w:r>
      <w:r w:rsidR="003B65CF" w:rsidRPr="003B65CF">
        <w:t xml:space="preserve"> </w:t>
      </w:r>
      <w:r w:rsidR="002C1149">
        <w:t>under</w:t>
      </w:r>
      <w:r w:rsidR="003B65CF" w:rsidRPr="003B65CF">
        <w:t xml:space="preserve"> </w:t>
      </w:r>
      <w:r w:rsidR="002C1149">
        <w:t>regulation</w:t>
      </w:r>
      <w:r w:rsidR="003B65CF" w:rsidRPr="003B65CF">
        <w:t xml:space="preserve"> </w:t>
      </w:r>
      <w:r w:rsidR="002C1149">
        <w:t>7</w:t>
      </w:r>
      <w:r>
        <w:t>(4)</w:t>
      </w:r>
      <w:r w:rsidR="003B65CF" w:rsidRPr="003B65CF">
        <w:t xml:space="preserve"> </w:t>
      </w:r>
      <w:r>
        <w:t>to</w:t>
      </w:r>
      <w:r w:rsidR="003B65CF" w:rsidRPr="003B65CF">
        <w:t xml:space="preserve"> </w:t>
      </w:r>
      <w:r>
        <w:t>prove</w:t>
      </w:r>
      <w:r w:rsidR="003B65CF" w:rsidRPr="003B65CF">
        <w:t xml:space="preserve"> </w:t>
      </w:r>
      <w:r>
        <w:t>that</w:t>
      </w:r>
      <w:r w:rsidR="003B65CF" w:rsidRPr="003B65CF">
        <w:t xml:space="preserve"> </w:t>
      </w:r>
      <w:r>
        <w:t>they</w:t>
      </w:r>
      <w:r w:rsidR="003B65CF" w:rsidRPr="003B65CF">
        <w:t xml:space="preserve"> </w:t>
      </w:r>
      <w:r>
        <w:t>reasonably</w:t>
      </w:r>
      <w:r w:rsidR="003B65CF" w:rsidRPr="003B65CF">
        <w:t xml:space="preserve"> </w:t>
      </w:r>
      <w:r>
        <w:t>believed—</w:t>
      </w:r>
    </w:p>
    <w:p w:rsidR="009D2F65" w:rsidRDefault="009D2F65" w:rsidP="009D2F65">
      <w:pPr>
        <w:pStyle w:val="N3"/>
      </w:pPr>
      <w:r>
        <w:t>that</w:t>
      </w:r>
      <w:r w:rsidR="003B65CF" w:rsidRPr="003B65CF">
        <w:t xml:space="preserve"> </w:t>
      </w:r>
      <w:r>
        <w:t>it</w:t>
      </w:r>
      <w:r w:rsidR="003B65CF" w:rsidRPr="003B65CF">
        <w:t xml:space="preserve"> </w:t>
      </w:r>
      <w:r>
        <w:t>was</w:t>
      </w:r>
      <w:r w:rsidR="003B65CF" w:rsidRPr="003B65CF">
        <w:t xml:space="preserve"> </w:t>
      </w:r>
      <w:r>
        <w:t>lawful</w:t>
      </w:r>
      <w:r w:rsidR="003B65CF" w:rsidRPr="003B65CF">
        <w:t xml:space="preserve"> </w:t>
      </w:r>
      <w:r>
        <w:t>to</w:t>
      </w:r>
      <w:r w:rsidR="003B65CF" w:rsidRPr="003B65CF">
        <w:t xml:space="preserve"> </w:t>
      </w:r>
      <w:r>
        <w:t>disclose</w:t>
      </w:r>
      <w:r w:rsidR="003B65CF" w:rsidRPr="003B65CF">
        <w:t xml:space="preserve"> </w:t>
      </w:r>
      <w:r>
        <w:t>the</w:t>
      </w:r>
      <w:r w:rsidR="003B65CF" w:rsidRPr="003B65CF">
        <w:t xml:space="preserve"> </w:t>
      </w:r>
      <w:r>
        <w:t>information</w:t>
      </w:r>
      <w:r w:rsidR="003B65CF" w:rsidRPr="003B65CF">
        <w:t xml:space="preserve"> </w:t>
      </w:r>
      <w:r>
        <w:t>disclosed</w:t>
      </w:r>
      <w:r w:rsidR="00714719">
        <w:t>,</w:t>
      </w:r>
      <w:r w:rsidR="003B65CF" w:rsidRPr="003B65CF">
        <w:t xml:space="preserve"> </w:t>
      </w:r>
      <w:r>
        <w:t>or</w:t>
      </w:r>
    </w:p>
    <w:p w:rsidR="009D2F65" w:rsidRDefault="009D2F65" w:rsidP="009D2F65">
      <w:pPr>
        <w:pStyle w:val="N3"/>
      </w:pPr>
      <w:r>
        <w:t>that</w:t>
      </w:r>
      <w:r w:rsidR="003B65CF" w:rsidRPr="003B65CF">
        <w:t xml:space="preserve"> </w:t>
      </w:r>
      <w:r>
        <w:t>the</w:t>
      </w:r>
      <w:r w:rsidR="003B65CF" w:rsidRPr="003B65CF">
        <w:t xml:space="preserve"> </w:t>
      </w:r>
      <w:r>
        <w:t>information</w:t>
      </w:r>
      <w:r w:rsidR="003B65CF" w:rsidRPr="003B65CF">
        <w:t xml:space="preserve"> </w:t>
      </w:r>
      <w:r>
        <w:t>disclosed</w:t>
      </w:r>
      <w:r w:rsidR="003B65CF" w:rsidRPr="003B65CF">
        <w:t xml:space="preserve"> </w:t>
      </w:r>
      <w:r>
        <w:t>had</w:t>
      </w:r>
      <w:r w:rsidR="003B65CF" w:rsidRPr="003B65CF">
        <w:t xml:space="preserve"> </w:t>
      </w:r>
      <w:r>
        <w:t>already</w:t>
      </w:r>
      <w:r w:rsidR="003B65CF" w:rsidRPr="003B65CF">
        <w:t xml:space="preserve"> </w:t>
      </w:r>
      <w:r>
        <w:t>and</w:t>
      </w:r>
      <w:r w:rsidR="003B65CF" w:rsidRPr="003B65CF">
        <w:t xml:space="preserve"> </w:t>
      </w:r>
      <w:r>
        <w:t>lawfully</w:t>
      </w:r>
      <w:r w:rsidR="003B65CF" w:rsidRPr="003B65CF">
        <w:t xml:space="preserve"> </w:t>
      </w:r>
      <w:r>
        <w:t>been</w:t>
      </w:r>
      <w:r w:rsidR="003B65CF" w:rsidRPr="003B65CF">
        <w:t xml:space="preserve"> </w:t>
      </w:r>
      <w:r>
        <w:t>made</w:t>
      </w:r>
      <w:r w:rsidR="003B65CF" w:rsidRPr="003B65CF">
        <w:t xml:space="preserve"> </w:t>
      </w:r>
      <w:r>
        <w:t>available</w:t>
      </w:r>
      <w:r w:rsidR="003B65CF" w:rsidRPr="003B65CF">
        <w:t xml:space="preserve"> </w:t>
      </w:r>
      <w:r>
        <w:t>to</w:t>
      </w:r>
      <w:r w:rsidR="003B65CF" w:rsidRPr="003B65CF">
        <w:t xml:space="preserve"> </w:t>
      </w:r>
      <w:r>
        <w:t>the</w:t>
      </w:r>
      <w:r w:rsidR="003B65CF" w:rsidRPr="003B65CF">
        <w:t xml:space="preserve"> </w:t>
      </w:r>
      <w:r>
        <w:t>public.</w:t>
      </w:r>
    </w:p>
    <w:p w:rsidR="00BA763C" w:rsidRDefault="00BA763C" w:rsidP="00BA763C">
      <w:pPr>
        <w:pStyle w:val="H1"/>
      </w:pPr>
      <w:r>
        <w:t>Giving</w:t>
      </w:r>
      <w:r w:rsidR="003B65CF" w:rsidRPr="003B65CF">
        <w:t xml:space="preserve"> </w:t>
      </w:r>
      <w:r>
        <w:t>of</w:t>
      </w:r>
      <w:r w:rsidR="003B65CF" w:rsidRPr="003B65CF">
        <w:t xml:space="preserve"> </w:t>
      </w:r>
      <w:r>
        <w:t>a</w:t>
      </w:r>
      <w:r w:rsidR="003B65CF" w:rsidRPr="003B65CF">
        <w:t xml:space="preserve"> </w:t>
      </w:r>
      <w:r>
        <w:t>penalty</w:t>
      </w:r>
      <w:r w:rsidR="003B65CF" w:rsidRPr="003B65CF">
        <w:t xml:space="preserve"> </w:t>
      </w:r>
      <w:r>
        <w:t>notice</w:t>
      </w:r>
      <w:r w:rsidR="003B65CF" w:rsidRPr="003B65CF">
        <w:t xml:space="preserve"> </w:t>
      </w:r>
      <w:r>
        <w:t>for</w:t>
      </w:r>
      <w:r w:rsidR="003B65CF" w:rsidRPr="003B65CF">
        <w:t xml:space="preserve"> </w:t>
      </w:r>
      <w:r>
        <w:t>penalty</w:t>
      </w:r>
      <w:r w:rsidR="003B65CF" w:rsidRPr="003B65CF">
        <w:t xml:space="preserve"> </w:t>
      </w:r>
      <w:r>
        <w:t>offence</w:t>
      </w:r>
    </w:p>
    <w:p w:rsidR="00BA763C" w:rsidRDefault="003B65CF" w:rsidP="00BA763C">
      <w:pPr>
        <w:pStyle w:val="N1"/>
      </w:pPr>
      <w:r>
        <w:t> </w:t>
      </w:r>
      <w:r w:rsidR="00BA763C" w:rsidRPr="00BA763C">
        <w:t>An</w:t>
      </w:r>
      <w:r w:rsidRPr="003B65CF">
        <w:t xml:space="preserve"> </w:t>
      </w:r>
      <w:r w:rsidR="00BA763C" w:rsidRPr="00BA763C">
        <w:t>enforcement</w:t>
      </w:r>
      <w:r w:rsidRPr="003B65CF">
        <w:t xml:space="preserve"> </w:t>
      </w:r>
      <w:r w:rsidR="00BA763C" w:rsidRPr="00BA763C">
        <w:t>authority</w:t>
      </w:r>
      <w:r w:rsidRPr="003B65CF">
        <w:t xml:space="preserve"> </w:t>
      </w:r>
      <w:r w:rsidR="00BA763C" w:rsidRPr="00BA763C">
        <w:t>may</w:t>
      </w:r>
      <w:r w:rsidRPr="003B65CF">
        <w:t xml:space="preserve"> </w:t>
      </w:r>
      <w:r w:rsidR="00BA763C" w:rsidRPr="00BA763C">
        <w:t>give</w:t>
      </w:r>
      <w:r w:rsidRPr="003B65CF">
        <w:t xml:space="preserve"> </w:t>
      </w:r>
      <w:r w:rsidR="00BA763C" w:rsidRPr="00BA763C">
        <w:t>a</w:t>
      </w:r>
      <w:r w:rsidRPr="003B65CF">
        <w:t xml:space="preserve"> </w:t>
      </w:r>
      <w:r w:rsidR="00BA763C" w:rsidRPr="00BA763C">
        <w:t>penalty</w:t>
      </w:r>
      <w:r w:rsidRPr="003B65CF">
        <w:t xml:space="preserve"> </w:t>
      </w:r>
      <w:r w:rsidR="00BA763C" w:rsidRPr="00BA763C">
        <w:t>notice</w:t>
      </w:r>
      <w:r w:rsidRPr="003B65CF">
        <w:t xml:space="preserve"> </w:t>
      </w:r>
      <w:r w:rsidR="00BA763C" w:rsidRPr="00BA763C">
        <w:t>to</w:t>
      </w:r>
      <w:r w:rsidRPr="003B65CF">
        <w:t xml:space="preserve"> </w:t>
      </w:r>
      <w:r w:rsidR="00BA763C" w:rsidRPr="00BA763C">
        <w:t>a</w:t>
      </w:r>
      <w:r w:rsidRPr="003B65CF">
        <w:t xml:space="preserve"> </w:t>
      </w:r>
      <w:r w:rsidR="00BA763C" w:rsidRPr="00BA763C">
        <w:t>person</w:t>
      </w:r>
      <w:r w:rsidRPr="003B65CF">
        <w:t xml:space="preserve"> </w:t>
      </w:r>
      <w:r w:rsidR="00BA763C" w:rsidRPr="00BA763C">
        <w:t>(“P”)</w:t>
      </w:r>
      <w:r w:rsidRPr="003B65CF">
        <w:t xml:space="preserve"> </w:t>
      </w:r>
      <w:r w:rsidR="00BA763C" w:rsidRPr="00BA763C">
        <w:t>where</w:t>
      </w:r>
      <w:r w:rsidRPr="003B65CF">
        <w:t xml:space="preserve"> </w:t>
      </w:r>
      <w:r w:rsidR="00BA763C" w:rsidRPr="00BA763C">
        <w:t>the</w:t>
      </w:r>
      <w:r w:rsidRPr="003B65CF">
        <w:t xml:space="preserve"> </w:t>
      </w:r>
      <w:r w:rsidR="00BA763C" w:rsidRPr="00BA763C">
        <w:t>authority</w:t>
      </w:r>
      <w:r w:rsidRPr="003B65CF">
        <w:t xml:space="preserve"> </w:t>
      </w:r>
      <w:r w:rsidR="00BA763C" w:rsidRPr="00BA763C">
        <w:t>h</w:t>
      </w:r>
      <w:r w:rsidR="00BA763C">
        <w:t>as</w:t>
      </w:r>
      <w:r w:rsidRPr="003B65CF">
        <w:t xml:space="preserve"> </w:t>
      </w:r>
      <w:r w:rsidR="00BA763C">
        <w:t>reason</w:t>
      </w:r>
      <w:r w:rsidRPr="003B65CF">
        <w:t xml:space="preserve"> </w:t>
      </w:r>
      <w:r w:rsidR="00BA763C">
        <w:t>to</w:t>
      </w:r>
      <w:r w:rsidRPr="003B65CF">
        <w:t xml:space="preserve"> </w:t>
      </w:r>
      <w:r w:rsidR="00BA763C">
        <w:t>believe</w:t>
      </w:r>
      <w:r w:rsidRPr="003B65CF">
        <w:t xml:space="preserve"> </w:t>
      </w:r>
      <w:r w:rsidR="00BA763C">
        <w:t>that</w:t>
      </w:r>
      <w:r w:rsidRPr="003B65CF">
        <w:t xml:space="preserve"> </w:t>
      </w:r>
      <w:r w:rsidR="00BA763C">
        <w:t>P</w:t>
      </w:r>
      <w:r w:rsidRPr="003B65CF">
        <w:t xml:space="preserve"> </w:t>
      </w:r>
      <w:r w:rsidR="00BA763C">
        <w:t>has</w:t>
      </w:r>
      <w:r w:rsidRPr="003B65CF">
        <w:t xml:space="preserve"> </w:t>
      </w:r>
      <w:r w:rsidR="00BA763C" w:rsidRPr="00BA763C">
        <w:t>committed</w:t>
      </w:r>
      <w:r w:rsidRPr="003B65CF">
        <w:t xml:space="preserve"> </w:t>
      </w:r>
      <w:r w:rsidR="00BA763C" w:rsidRPr="00BA763C">
        <w:t>an</w:t>
      </w:r>
      <w:r w:rsidRPr="003B65CF">
        <w:t xml:space="preserve"> </w:t>
      </w:r>
      <w:r w:rsidR="00BA763C" w:rsidRPr="00BA763C">
        <w:t>offence</w:t>
      </w:r>
      <w:r w:rsidRPr="003B65CF">
        <w:t xml:space="preserve"> </w:t>
      </w:r>
      <w:r w:rsidR="00BA763C" w:rsidRPr="00BA763C">
        <w:t>under</w:t>
      </w:r>
      <w:r w:rsidRPr="003B65CF">
        <w:t xml:space="preserve"> </w:t>
      </w:r>
      <w:r w:rsidR="00BA763C" w:rsidRPr="00BA763C">
        <w:t>regulation</w:t>
      </w:r>
      <w:r w:rsidRPr="003B65CF">
        <w:t xml:space="preserve"> </w:t>
      </w:r>
      <w:r w:rsidR="00BA763C">
        <w:t>3</w:t>
      </w:r>
      <w:r w:rsidR="00BA763C" w:rsidRPr="00BA763C">
        <w:t>(1)</w:t>
      </w:r>
      <w:r w:rsidRPr="003B65CF">
        <w:t xml:space="preserve"> </w:t>
      </w:r>
      <w:r w:rsidR="00BA763C" w:rsidRPr="00BA763C">
        <w:t>by</w:t>
      </w:r>
      <w:r w:rsidRPr="003B65CF">
        <w:t xml:space="preserve"> </w:t>
      </w:r>
      <w:r w:rsidR="00BA763C" w:rsidRPr="00BA763C">
        <w:t>contravening</w:t>
      </w:r>
      <w:r w:rsidRPr="003B65CF">
        <w:t xml:space="preserve"> </w:t>
      </w:r>
      <w:r w:rsidR="00BA763C" w:rsidRPr="00BA763C">
        <w:t>a</w:t>
      </w:r>
      <w:r w:rsidRPr="003B65CF">
        <w:t xml:space="preserve"> </w:t>
      </w:r>
      <w:r w:rsidR="00BA763C" w:rsidRPr="00BA763C">
        <w:t>provision</w:t>
      </w:r>
      <w:r w:rsidRPr="003B65CF">
        <w:t xml:space="preserve"> </w:t>
      </w:r>
      <w:r w:rsidR="00BA763C" w:rsidRPr="00BA763C">
        <w:t>of</w:t>
      </w:r>
      <w:r w:rsidRPr="003B65CF">
        <w:t xml:space="preserve"> </w:t>
      </w:r>
      <w:r w:rsidR="00BA763C" w:rsidRPr="00BA763C">
        <w:t>Regulation</w:t>
      </w:r>
      <w:r w:rsidRPr="003B65CF">
        <w:t xml:space="preserve"> </w:t>
      </w:r>
      <w:r w:rsidR="00BA763C" w:rsidRPr="00770456">
        <w:t>(EU)</w:t>
      </w:r>
      <w:r w:rsidRPr="003B65CF">
        <w:t xml:space="preserve"> </w:t>
      </w:r>
      <w:r w:rsidR="00BA763C" w:rsidRPr="00770456">
        <w:t>2019/787</w:t>
      </w:r>
      <w:r w:rsidRPr="003B65CF">
        <w:t xml:space="preserve"> </w:t>
      </w:r>
      <w:r w:rsidR="00887657">
        <w:t>mentioned</w:t>
      </w:r>
      <w:r w:rsidRPr="003B65CF">
        <w:t xml:space="preserve"> </w:t>
      </w:r>
      <w:r w:rsidR="00887657">
        <w:t>in</w:t>
      </w:r>
      <w:r w:rsidRPr="003B65CF">
        <w:t xml:space="preserve"> </w:t>
      </w:r>
      <w:r w:rsidR="00887657" w:rsidRPr="009A40A5">
        <w:t>Schedule</w:t>
      </w:r>
      <w:r w:rsidRPr="003B65CF">
        <w:t xml:space="preserve"> </w:t>
      </w:r>
      <w:r w:rsidR="00887657" w:rsidRPr="009A40A5">
        <w:t>2</w:t>
      </w:r>
      <w:r w:rsidR="00BA763C" w:rsidRPr="009A40A5">
        <w:t>.</w:t>
      </w:r>
    </w:p>
    <w:p w:rsidR="00BA763C" w:rsidRDefault="00BA763C" w:rsidP="00BA763C">
      <w:pPr>
        <w:pStyle w:val="H1"/>
      </w:pPr>
      <w:r>
        <w:t>Contents</w:t>
      </w:r>
      <w:r w:rsidR="003B65CF" w:rsidRPr="003B65CF">
        <w:t xml:space="preserve"> </w:t>
      </w:r>
      <w:r>
        <w:t>of</w:t>
      </w:r>
      <w:r w:rsidR="003B65CF" w:rsidRPr="003B65CF">
        <w:t xml:space="preserve"> </w:t>
      </w:r>
      <w:r>
        <w:t>penalty</w:t>
      </w:r>
      <w:r w:rsidR="003B65CF" w:rsidRPr="003B65CF">
        <w:t xml:space="preserve"> </w:t>
      </w:r>
      <w:r>
        <w:t>notice</w:t>
      </w:r>
    </w:p>
    <w:p w:rsidR="00BA763C" w:rsidRDefault="003B65CF" w:rsidP="00BA763C">
      <w:pPr>
        <w:pStyle w:val="N1"/>
      </w:pPr>
      <w:r>
        <w:t> </w:t>
      </w:r>
      <w:r w:rsidR="00BA763C" w:rsidRPr="00BA763C">
        <w:t>A</w:t>
      </w:r>
      <w:r w:rsidRPr="003B65CF">
        <w:t xml:space="preserve"> </w:t>
      </w:r>
      <w:r w:rsidR="00BA763C" w:rsidRPr="00BA763C">
        <w:t>penalty</w:t>
      </w:r>
      <w:r w:rsidRPr="003B65CF">
        <w:t xml:space="preserve"> </w:t>
      </w:r>
      <w:r w:rsidR="00BA763C" w:rsidRPr="00BA763C">
        <w:t>notice</w:t>
      </w:r>
      <w:r w:rsidRPr="003B65CF">
        <w:t xml:space="preserve"> </w:t>
      </w:r>
      <w:r w:rsidR="00BA763C" w:rsidRPr="00BA763C">
        <w:t>given</w:t>
      </w:r>
      <w:r w:rsidRPr="003B65CF">
        <w:t xml:space="preserve"> </w:t>
      </w:r>
      <w:r w:rsidR="00BA763C" w:rsidRPr="00BA763C">
        <w:t>by</w:t>
      </w:r>
      <w:r w:rsidRPr="003B65CF">
        <w:t xml:space="preserve"> </w:t>
      </w:r>
      <w:r w:rsidR="00BA763C" w:rsidRPr="00BA763C">
        <w:t>an</w:t>
      </w:r>
      <w:r w:rsidRPr="003B65CF">
        <w:t xml:space="preserve"> </w:t>
      </w:r>
      <w:r w:rsidR="00BA763C" w:rsidRPr="00BA763C">
        <w:t>enforcement</w:t>
      </w:r>
      <w:r w:rsidRPr="003B65CF">
        <w:t xml:space="preserve"> </w:t>
      </w:r>
      <w:r w:rsidR="00BA763C" w:rsidRPr="00BA763C">
        <w:t>authority</w:t>
      </w:r>
      <w:r w:rsidRPr="003B65CF">
        <w:t xml:space="preserve"> </w:t>
      </w:r>
      <w:r w:rsidR="00BA763C" w:rsidRPr="00BA763C">
        <w:t>must—</w:t>
      </w:r>
    </w:p>
    <w:p w:rsidR="00BA763C" w:rsidRPr="00BA763C" w:rsidRDefault="00BA763C" w:rsidP="00BA763C">
      <w:pPr>
        <w:pStyle w:val="N3"/>
      </w:pPr>
      <w:r w:rsidRPr="00BA763C">
        <w:lastRenderedPageBreak/>
        <w:t>give</w:t>
      </w:r>
      <w:r w:rsidR="003B65CF" w:rsidRPr="003B65CF">
        <w:t xml:space="preserve"> </w:t>
      </w:r>
      <w:r w:rsidRPr="00BA763C">
        <w:t>such</w:t>
      </w:r>
      <w:r w:rsidR="003B65CF" w:rsidRPr="003B65CF">
        <w:t xml:space="preserve"> </w:t>
      </w:r>
      <w:r w:rsidRPr="00BA763C">
        <w:t>particulars</w:t>
      </w:r>
      <w:r w:rsidR="003B65CF" w:rsidRPr="003B65CF">
        <w:t xml:space="preserve"> </w:t>
      </w:r>
      <w:r w:rsidRPr="00BA763C">
        <w:t>of</w:t>
      </w:r>
      <w:r w:rsidR="003B65CF" w:rsidRPr="003B65CF">
        <w:t xml:space="preserve"> </w:t>
      </w:r>
      <w:r w:rsidRPr="00BA763C">
        <w:t>the</w:t>
      </w:r>
      <w:r w:rsidR="003B65CF" w:rsidRPr="003B65CF">
        <w:t xml:space="preserve"> </w:t>
      </w:r>
      <w:r w:rsidRPr="00BA763C">
        <w:t>circumstances</w:t>
      </w:r>
      <w:r w:rsidR="003B65CF" w:rsidRPr="003B65CF">
        <w:t xml:space="preserve"> </w:t>
      </w:r>
      <w:r w:rsidRPr="00BA763C">
        <w:t>alleged</w:t>
      </w:r>
      <w:r w:rsidR="003B65CF" w:rsidRPr="003B65CF">
        <w:t xml:space="preserve"> </w:t>
      </w:r>
      <w:r w:rsidRPr="00BA763C">
        <w:t>to</w:t>
      </w:r>
      <w:r w:rsidR="003B65CF" w:rsidRPr="003B65CF">
        <w:t xml:space="preserve"> </w:t>
      </w:r>
      <w:r w:rsidRPr="00BA763C">
        <w:t>constitute</w:t>
      </w:r>
      <w:r w:rsidR="003B65CF" w:rsidRPr="003B65CF">
        <w:t xml:space="preserve"> </w:t>
      </w:r>
      <w:r w:rsidRPr="00BA763C">
        <w:t>the</w:t>
      </w:r>
      <w:r w:rsidR="003B65CF" w:rsidRPr="003B65CF">
        <w:t xml:space="preserve"> </w:t>
      </w:r>
      <w:r w:rsidRPr="00BA763C">
        <w:t>offence</w:t>
      </w:r>
      <w:r w:rsidR="003B65CF" w:rsidRPr="003B65CF">
        <w:t xml:space="preserve"> </w:t>
      </w:r>
      <w:r w:rsidRPr="00BA763C">
        <w:t>as</w:t>
      </w:r>
      <w:r w:rsidR="003B65CF" w:rsidRPr="003B65CF">
        <w:t xml:space="preserve"> </w:t>
      </w:r>
      <w:r w:rsidRPr="00BA763C">
        <w:t>are</w:t>
      </w:r>
      <w:r w:rsidR="003B65CF" w:rsidRPr="003B65CF">
        <w:t xml:space="preserve"> </w:t>
      </w:r>
      <w:r w:rsidRPr="00BA763C">
        <w:t>necessary</w:t>
      </w:r>
      <w:r w:rsidR="003B65CF" w:rsidRPr="003B65CF">
        <w:t xml:space="preserve"> </w:t>
      </w:r>
      <w:r w:rsidRPr="00BA763C">
        <w:t>for</w:t>
      </w:r>
      <w:r w:rsidR="003B65CF" w:rsidRPr="003B65CF">
        <w:t xml:space="preserve"> </w:t>
      </w:r>
      <w:r w:rsidRPr="00BA763C">
        <w:t>giving</w:t>
      </w:r>
      <w:r w:rsidR="003B65CF" w:rsidRPr="003B65CF">
        <w:t xml:space="preserve"> </w:t>
      </w:r>
      <w:r w:rsidRPr="00BA763C">
        <w:t>reasonable</w:t>
      </w:r>
      <w:r w:rsidR="003B65CF" w:rsidRPr="003B65CF">
        <w:t xml:space="preserve"> </w:t>
      </w:r>
      <w:r w:rsidRPr="00BA763C">
        <w:t>information</w:t>
      </w:r>
      <w:r w:rsidR="003B65CF" w:rsidRPr="003B65CF">
        <w:t xml:space="preserve"> </w:t>
      </w:r>
      <w:r w:rsidRPr="00BA763C">
        <w:t>about</w:t>
      </w:r>
      <w:r w:rsidR="003B65CF" w:rsidRPr="003B65CF">
        <w:t xml:space="preserve"> </w:t>
      </w:r>
      <w:r w:rsidRPr="00BA763C">
        <w:t>the</w:t>
      </w:r>
      <w:r w:rsidR="003B65CF" w:rsidRPr="003B65CF">
        <w:t xml:space="preserve"> </w:t>
      </w:r>
      <w:r w:rsidRPr="00BA763C">
        <w:t>offence</w:t>
      </w:r>
      <w:r w:rsidR="00714719">
        <w:t>,</w:t>
      </w:r>
    </w:p>
    <w:p w:rsidR="00BA763C" w:rsidRDefault="00BA763C" w:rsidP="00BA763C">
      <w:pPr>
        <w:pStyle w:val="N3"/>
      </w:pPr>
      <w:r>
        <w:t>state</w:t>
      </w:r>
      <w:r w:rsidR="003B65CF" w:rsidRPr="003B65CF">
        <w:t xml:space="preserve"> </w:t>
      </w:r>
      <w:r>
        <w:t>the</w:t>
      </w:r>
      <w:r w:rsidR="003B65CF" w:rsidRPr="003B65CF">
        <w:t xml:space="preserve"> </w:t>
      </w:r>
      <w:r>
        <w:t>amount</w:t>
      </w:r>
      <w:r w:rsidR="003B65CF" w:rsidRPr="003B65CF">
        <w:t xml:space="preserve"> </w:t>
      </w:r>
      <w:r>
        <w:t>of</w:t>
      </w:r>
      <w:r w:rsidR="003B65CF" w:rsidRPr="003B65CF">
        <w:t xml:space="preserve"> </w:t>
      </w:r>
      <w:r>
        <w:t>the</w:t>
      </w:r>
      <w:r w:rsidR="003B65CF" w:rsidRPr="003B65CF">
        <w:t xml:space="preserve"> </w:t>
      </w:r>
      <w:r>
        <w:t>penalty</w:t>
      </w:r>
      <w:r w:rsidR="00714719">
        <w:t>,</w:t>
      </w:r>
    </w:p>
    <w:p w:rsidR="00BA763C" w:rsidRDefault="00BA763C" w:rsidP="00BA763C">
      <w:pPr>
        <w:pStyle w:val="N3"/>
      </w:pPr>
      <w:r>
        <w:t>state</w:t>
      </w:r>
      <w:r w:rsidR="003B65CF" w:rsidRPr="003B65CF">
        <w:t xml:space="preserve"> </w:t>
      </w:r>
      <w:r>
        <w:t>the</w:t>
      </w:r>
      <w:r w:rsidR="003B65CF" w:rsidRPr="003B65CF">
        <w:t xml:space="preserve"> </w:t>
      </w:r>
      <w:r>
        <w:t>period</w:t>
      </w:r>
      <w:r w:rsidR="003B65CF" w:rsidRPr="003B65CF">
        <w:t xml:space="preserve"> </w:t>
      </w:r>
      <w:r>
        <w:t>during</w:t>
      </w:r>
      <w:r w:rsidR="003B65CF" w:rsidRPr="003B65CF">
        <w:t xml:space="preserve"> </w:t>
      </w:r>
      <w:r>
        <w:t>which,</w:t>
      </w:r>
      <w:r w:rsidR="003B65CF" w:rsidRPr="003B65CF">
        <w:t xml:space="preserve"> </w:t>
      </w:r>
      <w:r>
        <w:t>by</w:t>
      </w:r>
      <w:r w:rsidR="003B65CF" w:rsidRPr="003B65CF">
        <w:t xml:space="preserve"> </w:t>
      </w:r>
      <w:r>
        <w:t>virtue</w:t>
      </w:r>
      <w:r w:rsidR="003B65CF" w:rsidRPr="003B65CF">
        <w:t xml:space="preserve"> </w:t>
      </w:r>
      <w:r>
        <w:t>of</w:t>
      </w:r>
      <w:r w:rsidR="003B65CF" w:rsidRPr="003B65CF">
        <w:t xml:space="preserve"> </w:t>
      </w:r>
      <w:r>
        <w:t>regulation</w:t>
      </w:r>
      <w:r w:rsidR="003B65CF" w:rsidRPr="003B65CF">
        <w:t xml:space="preserve"> </w:t>
      </w:r>
      <w:r w:rsidR="00887657" w:rsidRPr="00887657">
        <w:t>23</w:t>
      </w:r>
      <w:r>
        <w:t>,</w:t>
      </w:r>
      <w:r w:rsidR="003B65CF" w:rsidRPr="003B65CF">
        <w:t xml:space="preserve"> </w:t>
      </w:r>
      <w:r>
        <w:t>proceedings</w:t>
      </w:r>
      <w:r w:rsidR="003B65CF" w:rsidRPr="003B65CF">
        <w:t xml:space="preserve"> </w:t>
      </w:r>
      <w:r>
        <w:t>will</w:t>
      </w:r>
      <w:r w:rsidR="003B65CF" w:rsidRPr="003B65CF">
        <w:t xml:space="preserve"> </w:t>
      </w:r>
      <w:r>
        <w:t>not</w:t>
      </w:r>
      <w:r w:rsidR="003B65CF" w:rsidRPr="003B65CF">
        <w:t xml:space="preserve"> </w:t>
      </w:r>
      <w:r>
        <w:t>be</w:t>
      </w:r>
      <w:r w:rsidR="003B65CF" w:rsidRPr="003B65CF">
        <w:t xml:space="preserve"> </w:t>
      </w:r>
      <w:r>
        <w:t>taken</w:t>
      </w:r>
      <w:r w:rsidR="003B65CF" w:rsidRPr="003B65CF">
        <w:t xml:space="preserve"> </w:t>
      </w:r>
      <w:r>
        <w:t>for</w:t>
      </w:r>
      <w:r w:rsidR="003B65CF" w:rsidRPr="003B65CF">
        <w:t xml:space="preserve"> </w:t>
      </w:r>
      <w:r>
        <w:t>the</w:t>
      </w:r>
      <w:r w:rsidR="003B65CF" w:rsidRPr="003B65CF">
        <w:t xml:space="preserve"> </w:t>
      </w:r>
      <w:r>
        <w:t>offence</w:t>
      </w:r>
      <w:r w:rsidR="00714719">
        <w:t>,</w:t>
      </w:r>
    </w:p>
    <w:p w:rsidR="00BA763C" w:rsidRDefault="00BA763C" w:rsidP="00BA763C">
      <w:pPr>
        <w:pStyle w:val="N3"/>
      </w:pPr>
      <w:r>
        <w:t>state</w:t>
      </w:r>
      <w:r w:rsidR="003B65CF" w:rsidRPr="003B65CF">
        <w:t xml:space="preserve"> </w:t>
      </w:r>
      <w:r>
        <w:t>the</w:t>
      </w:r>
      <w:r w:rsidR="003B65CF" w:rsidRPr="003B65CF">
        <w:t xml:space="preserve"> </w:t>
      </w:r>
      <w:r>
        <w:t>person</w:t>
      </w:r>
      <w:r w:rsidR="003B65CF" w:rsidRPr="003B65CF">
        <w:t xml:space="preserve"> </w:t>
      </w:r>
      <w:r>
        <w:t>to</w:t>
      </w:r>
      <w:r w:rsidR="003B65CF" w:rsidRPr="003B65CF">
        <w:t xml:space="preserve"> </w:t>
      </w:r>
      <w:r>
        <w:t>whom,</w:t>
      </w:r>
      <w:r w:rsidR="003B65CF" w:rsidRPr="003B65CF">
        <w:t xml:space="preserve"> </w:t>
      </w:r>
      <w:r>
        <w:t>and</w:t>
      </w:r>
      <w:r w:rsidR="003B65CF" w:rsidRPr="003B65CF">
        <w:t xml:space="preserve"> </w:t>
      </w:r>
      <w:r>
        <w:t>the</w:t>
      </w:r>
      <w:r w:rsidR="003B65CF" w:rsidRPr="003B65CF">
        <w:t xml:space="preserve"> </w:t>
      </w:r>
      <w:r>
        <w:t>address</w:t>
      </w:r>
      <w:r w:rsidR="003B65CF" w:rsidRPr="003B65CF">
        <w:t xml:space="preserve"> </w:t>
      </w:r>
      <w:r>
        <w:t>at</w:t>
      </w:r>
      <w:r w:rsidR="003B65CF" w:rsidRPr="003B65CF">
        <w:t xml:space="preserve"> </w:t>
      </w:r>
      <w:r>
        <w:t>which,</w:t>
      </w:r>
      <w:r w:rsidR="003B65CF" w:rsidRPr="003B65CF">
        <w:t xml:space="preserve"> </w:t>
      </w:r>
      <w:r>
        <w:t>the</w:t>
      </w:r>
      <w:r w:rsidR="003B65CF" w:rsidRPr="003B65CF">
        <w:t xml:space="preserve"> </w:t>
      </w:r>
      <w:r>
        <w:t>penalty</w:t>
      </w:r>
      <w:r w:rsidR="003B65CF" w:rsidRPr="003B65CF">
        <w:t xml:space="preserve"> </w:t>
      </w:r>
      <w:r>
        <w:t>may</w:t>
      </w:r>
      <w:r w:rsidR="003B65CF" w:rsidRPr="003B65CF">
        <w:t xml:space="preserve"> </w:t>
      </w:r>
      <w:r>
        <w:t>be</w:t>
      </w:r>
      <w:r w:rsidR="003B65CF" w:rsidRPr="003B65CF">
        <w:t xml:space="preserve"> </w:t>
      </w:r>
      <w:r>
        <w:t>paid,</w:t>
      </w:r>
      <w:r w:rsidR="003B65CF" w:rsidRPr="003B65CF">
        <w:t xml:space="preserve"> </w:t>
      </w:r>
      <w:r>
        <w:t>and</w:t>
      </w:r>
      <w:r w:rsidR="003B65CF" w:rsidRPr="003B65CF">
        <w:t xml:space="preserve"> </w:t>
      </w:r>
      <w:r>
        <w:t>the</w:t>
      </w:r>
      <w:r w:rsidR="003B65CF" w:rsidRPr="003B65CF">
        <w:t xml:space="preserve"> </w:t>
      </w:r>
      <w:r>
        <w:t>ways</w:t>
      </w:r>
      <w:r w:rsidR="003B65CF" w:rsidRPr="003B65CF">
        <w:t xml:space="preserve"> </w:t>
      </w:r>
      <w:r>
        <w:t>in</w:t>
      </w:r>
      <w:r w:rsidR="003B65CF" w:rsidRPr="003B65CF">
        <w:t xml:space="preserve"> </w:t>
      </w:r>
      <w:r>
        <w:t>which</w:t>
      </w:r>
      <w:r w:rsidR="003B65CF" w:rsidRPr="003B65CF">
        <w:t xml:space="preserve"> </w:t>
      </w:r>
      <w:r>
        <w:t>the</w:t>
      </w:r>
      <w:r w:rsidR="003B65CF" w:rsidRPr="003B65CF">
        <w:t xml:space="preserve"> </w:t>
      </w:r>
      <w:r>
        <w:t>penalty</w:t>
      </w:r>
      <w:r w:rsidR="003B65CF" w:rsidRPr="003B65CF">
        <w:t xml:space="preserve"> </w:t>
      </w:r>
      <w:r>
        <w:t>may</w:t>
      </w:r>
      <w:r w:rsidR="003B65CF" w:rsidRPr="003B65CF">
        <w:t xml:space="preserve"> </w:t>
      </w:r>
      <w:r>
        <w:t>be</w:t>
      </w:r>
      <w:r w:rsidR="003B65CF" w:rsidRPr="003B65CF">
        <w:t xml:space="preserve"> </w:t>
      </w:r>
      <w:r>
        <w:t>paid</w:t>
      </w:r>
      <w:r w:rsidR="00714719">
        <w:t>,</w:t>
      </w:r>
      <w:r w:rsidR="003B65CF" w:rsidRPr="003B65CF">
        <w:t xml:space="preserve"> </w:t>
      </w:r>
      <w:r>
        <w:t>and</w:t>
      </w:r>
    </w:p>
    <w:p w:rsidR="00BA763C" w:rsidRDefault="00BA763C" w:rsidP="00BA763C">
      <w:pPr>
        <w:pStyle w:val="N3"/>
      </w:pPr>
      <w:r>
        <w:t>state</w:t>
      </w:r>
      <w:r w:rsidR="003B65CF" w:rsidRPr="003B65CF">
        <w:t xml:space="preserve"> </w:t>
      </w:r>
      <w:r>
        <w:t>that</w:t>
      </w:r>
      <w:r w:rsidR="003B65CF" w:rsidRPr="003B65CF">
        <w:t xml:space="preserve"> </w:t>
      </w:r>
      <w:r>
        <w:t>payment</w:t>
      </w:r>
      <w:r w:rsidR="003B65CF" w:rsidRPr="003B65CF">
        <w:t xml:space="preserve"> </w:t>
      </w:r>
      <w:r>
        <w:t>must</w:t>
      </w:r>
      <w:r w:rsidR="003B65CF" w:rsidRPr="003B65CF">
        <w:t xml:space="preserve"> </w:t>
      </w:r>
      <w:r>
        <w:t>not</w:t>
      </w:r>
      <w:r w:rsidR="003B65CF" w:rsidRPr="003B65CF">
        <w:t xml:space="preserve"> </w:t>
      </w:r>
      <w:r>
        <w:t>be</w:t>
      </w:r>
      <w:r w:rsidR="003B65CF" w:rsidRPr="003B65CF">
        <w:t xml:space="preserve"> </w:t>
      </w:r>
      <w:r>
        <w:t>made</w:t>
      </w:r>
      <w:r w:rsidR="003B65CF" w:rsidRPr="003B65CF">
        <w:t xml:space="preserve"> </w:t>
      </w:r>
      <w:r>
        <w:t>in</w:t>
      </w:r>
      <w:r w:rsidR="003B65CF" w:rsidRPr="003B65CF">
        <w:t xml:space="preserve"> </w:t>
      </w:r>
      <w:r>
        <w:t>cash.</w:t>
      </w:r>
    </w:p>
    <w:p w:rsidR="00887657" w:rsidRDefault="00887657" w:rsidP="00887657">
      <w:pPr>
        <w:pStyle w:val="H1"/>
      </w:pPr>
      <w:r>
        <w:t>Amount</w:t>
      </w:r>
      <w:r w:rsidR="003B65CF" w:rsidRPr="003B65CF">
        <w:t xml:space="preserve"> </w:t>
      </w:r>
      <w:r>
        <w:t>of</w:t>
      </w:r>
      <w:r w:rsidR="003B65CF" w:rsidRPr="003B65CF">
        <w:t xml:space="preserve"> </w:t>
      </w:r>
      <w:r>
        <w:t>penalty</w:t>
      </w:r>
    </w:p>
    <w:p w:rsidR="00887657" w:rsidRDefault="00887657" w:rsidP="00887657">
      <w:pPr>
        <w:pStyle w:val="N1"/>
      </w:pPr>
      <w:r>
        <w:t>—</w:t>
      </w:r>
      <w:r>
        <w:fldChar w:fldCharType="begin"/>
      </w:r>
      <w:r>
        <w:instrText xml:space="preserve"> LISTNUM "SEQ1" \l 2 </w:instrText>
      </w:r>
      <w:r>
        <w:fldChar w:fldCharType="end">
          <w:numberingChange w:id="16" w:author="Boyd, Steve" w:date="2021-10-25T14:25:00Z" w:original="(1)"/>
        </w:fldChar>
      </w:r>
      <w:r w:rsidR="003B65CF" w:rsidRPr="003B65CF">
        <w:t> </w:t>
      </w:r>
      <w:r w:rsidRPr="00887657">
        <w:t>The</w:t>
      </w:r>
      <w:r w:rsidR="003B65CF" w:rsidRPr="003B65CF">
        <w:t xml:space="preserve"> </w:t>
      </w:r>
      <w:r w:rsidRPr="00887657">
        <w:t>amount</w:t>
      </w:r>
      <w:r w:rsidR="003B65CF" w:rsidRPr="003B65CF">
        <w:t xml:space="preserve"> </w:t>
      </w:r>
      <w:r w:rsidRPr="00887657">
        <w:t>of</w:t>
      </w:r>
      <w:r w:rsidR="003B65CF" w:rsidRPr="003B65CF">
        <w:t xml:space="preserve"> </w:t>
      </w:r>
      <w:r w:rsidRPr="00887657">
        <w:t>the</w:t>
      </w:r>
      <w:r w:rsidR="003B65CF" w:rsidRPr="003B65CF">
        <w:t xml:space="preserve"> </w:t>
      </w:r>
      <w:r w:rsidRPr="00887657">
        <w:t>penalty</w:t>
      </w:r>
      <w:r w:rsidR="003B65CF" w:rsidRPr="003B65CF">
        <w:t xml:space="preserve"> </w:t>
      </w:r>
      <w:r w:rsidRPr="00887657">
        <w:t>must</w:t>
      </w:r>
      <w:r w:rsidR="003B65CF" w:rsidRPr="003B65CF">
        <w:t xml:space="preserve"> </w:t>
      </w:r>
      <w:r w:rsidRPr="00887657">
        <w:t>be</w:t>
      </w:r>
      <w:r w:rsidR="003B65CF" w:rsidRPr="003B65CF">
        <w:t xml:space="preserve"> </w:t>
      </w:r>
      <w:r w:rsidRPr="00887657">
        <w:t>determined</w:t>
      </w:r>
      <w:r w:rsidR="003B65CF" w:rsidRPr="003B65CF">
        <w:t xml:space="preserve"> </w:t>
      </w:r>
      <w:r w:rsidRPr="00887657">
        <w:t>by</w:t>
      </w:r>
      <w:r w:rsidR="003B65CF" w:rsidRPr="003B65CF">
        <w:t xml:space="preserve"> </w:t>
      </w:r>
      <w:r w:rsidRPr="00887657">
        <w:t>the</w:t>
      </w:r>
      <w:r w:rsidR="003B65CF" w:rsidRPr="003B65CF">
        <w:t xml:space="preserve"> </w:t>
      </w:r>
      <w:r w:rsidRPr="00887657">
        <w:t>enforcement</w:t>
      </w:r>
      <w:r w:rsidR="003B65CF" w:rsidRPr="003B65CF">
        <w:t xml:space="preserve"> </w:t>
      </w:r>
      <w:r w:rsidRPr="00887657">
        <w:t>authority</w:t>
      </w:r>
      <w:r w:rsidR="003B65CF" w:rsidRPr="003B65CF">
        <w:t xml:space="preserve"> </w:t>
      </w:r>
      <w:r w:rsidRPr="00887657">
        <w:t>and</w:t>
      </w:r>
      <w:r w:rsidR="003B65CF" w:rsidRPr="003B65CF">
        <w:t xml:space="preserve"> </w:t>
      </w:r>
      <w:r w:rsidRPr="00887657">
        <w:t>must</w:t>
      </w:r>
      <w:r w:rsidR="003B65CF" w:rsidRPr="003B65CF">
        <w:t xml:space="preserve"> </w:t>
      </w:r>
      <w:r w:rsidRPr="00887657">
        <w:t>not</w:t>
      </w:r>
      <w:r w:rsidR="003B65CF" w:rsidRPr="003B65CF">
        <w:t xml:space="preserve"> </w:t>
      </w:r>
      <w:r w:rsidRPr="00887657">
        <w:t>be</w:t>
      </w:r>
      <w:r w:rsidR="003B65CF" w:rsidRPr="003B65CF">
        <w:t xml:space="preserve"> </w:t>
      </w:r>
      <w:r w:rsidRPr="00887657">
        <w:t>less</w:t>
      </w:r>
      <w:r w:rsidR="003B65CF" w:rsidRPr="003B65CF">
        <w:t xml:space="preserve"> </w:t>
      </w:r>
      <w:r w:rsidRPr="00887657">
        <w:t>than</w:t>
      </w:r>
      <w:r w:rsidR="003B65CF" w:rsidRPr="003B65CF">
        <w:t xml:space="preserve"> </w:t>
      </w:r>
      <w:r w:rsidRPr="00887657">
        <w:t>£1,000</w:t>
      </w:r>
      <w:r w:rsidR="003B65CF" w:rsidRPr="003B65CF">
        <w:t xml:space="preserve"> </w:t>
      </w:r>
      <w:r w:rsidRPr="00887657">
        <w:t>or</w:t>
      </w:r>
      <w:r w:rsidR="003B65CF" w:rsidRPr="003B65CF">
        <w:t xml:space="preserve"> </w:t>
      </w:r>
      <w:r w:rsidRPr="00887657">
        <w:t>more</w:t>
      </w:r>
      <w:r w:rsidR="003B65CF" w:rsidRPr="003B65CF">
        <w:t xml:space="preserve"> </w:t>
      </w:r>
      <w:r w:rsidRPr="00887657">
        <w:t>than</w:t>
      </w:r>
      <w:r w:rsidR="003B65CF" w:rsidRPr="003B65CF">
        <w:t xml:space="preserve"> </w:t>
      </w:r>
      <w:r w:rsidRPr="00887657">
        <w:t>£4,000.</w:t>
      </w:r>
    </w:p>
    <w:p w:rsidR="00887657" w:rsidRPr="00887657" w:rsidRDefault="00887657" w:rsidP="00887657">
      <w:pPr>
        <w:pStyle w:val="N2"/>
      </w:pPr>
      <w:r w:rsidRPr="00887657">
        <w:t>The</w:t>
      </w:r>
      <w:r w:rsidR="003B65CF" w:rsidRPr="003B65CF">
        <w:t xml:space="preserve"> </w:t>
      </w:r>
      <w:r w:rsidRPr="00887657">
        <w:t>factors</w:t>
      </w:r>
      <w:r w:rsidR="003B65CF" w:rsidRPr="003B65CF">
        <w:t xml:space="preserve"> </w:t>
      </w:r>
      <w:r w:rsidRPr="00887657">
        <w:t>to</w:t>
      </w:r>
      <w:r w:rsidR="003B65CF" w:rsidRPr="003B65CF">
        <w:t xml:space="preserve"> </w:t>
      </w:r>
      <w:r w:rsidRPr="00887657">
        <w:t>be</w:t>
      </w:r>
      <w:r w:rsidR="003B65CF" w:rsidRPr="003B65CF">
        <w:t xml:space="preserve"> </w:t>
      </w:r>
      <w:r w:rsidRPr="00887657">
        <w:t>taken</w:t>
      </w:r>
      <w:r w:rsidR="003B65CF" w:rsidRPr="003B65CF">
        <w:t xml:space="preserve"> </w:t>
      </w:r>
      <w:r w:rsidRPr="00887657">
        <w:t>into</w:t>
      </w:r>
      <w:r w:rsidR="003B65CF" w:rsidRPr="003B65CF">
        <w:t xml:space="preserve"> </w:t>
      </w:r>
      <w:r w:rsidRPr="00887657">
        <w:t>account</w:t>
      </w:r>
      <w:r w:rsidR="003B65CF" w:rsidRPr="003B65CF">
        <w:t xml:space="preserve"> </w:t>
      </w:r>
      <w:r w:rsidRPr="00887657">
        <w:t>by</w:t>
      </w:r>
      <w:r w:rsidR="003B65CF" w:rsidRPr="003B65CF">
        <w:t xml:space="preserve"> </w:t>
      </w:r>
      <w:r w:rsidRPr="00887657">
        <w:t>the</w:t>
      </w:r>
      <w:r w:rsidR="003B65CF" w:rsidRPr="003B65CF">
        <w:t xml:space="preserve"> </w:t>
      </w:r>
      <w:r w:rsidRPr="00887657">
        <w:t>enforcement</w:t>
      </w:r>
      <w:r w:rsidR="003B65CF" w:rsidRPr="003B65CF">
        <w:t xml:space="preserve"> </w:t>
      </w:r>
      <w:r w:rsidRPr="00887657">
        <w:t>authority</w:t>
      </w:r>
      <w:r w:rsidR="003B65CF" w:rsidRPr="003B65CF">
        <w:t xml:space="preserve"> </w:t>
      </w:r>
      <w:r w:rsidRPr="00887657">
        <w:t>in</w:t>
      </w:r>
      <w:r w:rsidR="003B65CF" w:rsidRPr="003B65CF">
        <w:t xml:space="preserve"> </w:t>
      </w:r>
      <w:r w:rsidRPr="00887657">
        <w:t>determining</w:t>
      </w:r>
      <w:r w:rsidR="003B65CF" w:rsidRPr="003B65CF">
        <w:t xml:space="preserve"> </w:t>
      </w:r>
      <w:r w:rsidRPr="00887657">
        <w:t>the</w:t>
      </w:r>
      <w:r w:rsidR="003B65CF" w:rsidRPr="003B65CF">
        <w:t xml:space="preserve"> </w:t>
      </w:r>
      <w:r w:rsidRPr="00887657">
        <w:t>amount</w:t>
      </w:r>
      <w:r w:rsidR="003B65CF" w:rsidRPr="003B65CF">
        <w:t xml:space="preserve"> </w:t>
      </w:r>
      <w:r w:rsidRPr="00887657">
        <w:t>of</w:t>
      </w:r>
      <w:r w:rsidR="003B65CF" w:rsidRPr="003B65CF">
        <w:t xml:space="preserve"> </w:t>
      </w:r>
      <w:r w:rsidRPr="00887657">
        <w:t>the</w:t>
      </w:r>
      <w:r w:rsidR="003B65CF" w:rsidRPr="003B65CF">
        <w:t xml:space="preserve"> </w:t>
      </w:r>
      <w:r w:rsidRPr="00887657">
        <w:t>penalty</w:t>
      </w:r>
      <w:r w:rsidR="003B65CF" w:rsidRPr="003B65CF">
        <w:t xml:space="preserve"> </w:t>
      </w:r>
      <w:r w:rsidRPr="00887657">
        <w:t>may</w:t>
      </w:r>
      <w:r w:rsidR="003B65CF" w:rsidRPr="003B65CF">
        <w:t xml:space="preserve"> </w:t>
      </w:r>
      <w:r w:rsidRPr="00887657">
        <w:t>include</w:t>
      </w:r>
      <w:r w:rsidR="003B65CF" w:rsidRPr="003B65CF">
        <w:t xml:space="preserve"> </w:t>
      </w:r>
      <w:r w:rsidRPr="00887657">
        <w:t>the</w:t>
      </w:r>
      <w:r w:rsidR="003B65CF" w:rsidRPr="003B65CF">
        <w:t xml:space="preserve"> </w:t>
      </w:r>
      <w:r w:rsidRPr="00887657">
        <w:t>factors</w:t>
      </w:r>
      <w:r w:rsidR="003B65CF" w:rsidRPr="003B65CF">
        <w:t xml:space="preserve"> </w:t>
      </w:r>
      <w:r w:rsidRPr="00887657">
        <w:t>mentioned</w:t>
      </w:r>
      <w:r w:rsidR="003B65CF" w:rsidRPr="003B65CF">
        <w:t xml:space="preserve"> </w:t>
      </w:r>
      <w:r w:rsidRPr="00887657">
        <w:t>in</w:t>
      </w:r>
      <w:r w:rsidR="003B65CF" w:rsidRPr="003B65CF">
        <w:t xml:space="preserve"> </w:t>
      </w:r>
      <w:r w:rsidRPr="009A40A5">
        <w:t>Schedule</w:t>
      </w:r>
      <w:r w:rsidR="003B65CF" w:rsidRPr="003B65CF">
        <w:t xml:space="preserve"> </w:t>
      </w:r>
      <w:r w:rsidRPr="009A40A5">
        <w:t>3.</w:t>
      </w:r>
    </w:p>
    <w:p w:rsidR="00887657" w:rsidRDefault="00887657" w:rsidP="00887657">
      <w:pPr>
        <w:pStyle w:val="H1"/>
      </w:pPr>
      <w:r w:rsidRPr="00887657">
        <w:t>Restriction</w:t>
      </w:r>
      <w:r w:rsidR="003B65CF" w:rsidRPr="003B65CF">
        <w:t xml:space="preserve"> </w:t>
      </w:r>
      <w:r w:rsidRPr="00887657">
        <w:t>on</w:t>
      </w:r>
      <w:r w:rsidR="003B65CF" w:rsidRPr="003B65CF">
        <w:t xml:space="preserve"> </w:t>
      </w:r>
      <w:r w:rsidRPr="00887657">
        <w:t>proceedings</w:t>
      </w:r>
      <w:r w:rsidR="003B65CF" w:rsidRPr="003B65CF">
        <w:t xml:space="preserve"> </w:t>
      </w:r>
      <w:r w:rsidRPr="00887657">
        <w:t>for</w:t>
      </w:r>
      <w:r w:rsidR="003B65CF" w:rsidRPr="003B65CF">
        <w:t xml:space="preserve"> </w:t>
      </w:r>
      <w:r w:rsidRPr="00887657">
        <w:t>penalty</w:t>
      </w:r>
      <w:r w:rsidR="003B65CF" w:rsidRPr="003B65CF">
        <w:t xml:space="preserve"> </w:t>
      </w:r>
      <w:r w:rsidRPr="00887657">
        <w:t>offence</w:t>
      </w:r>
    </w:p>
    <w:p w:rsidR="003B65CF" w:rsidRDefault="00887657" w:rsidP="00887657">
      <w:pPr>
        <w:pStyle w:val="N1"/>
      </w:pPr>
      <w:r>
        <w:t>—</w:t>
      </w:r>
      <w:r>
        <w:fldChar w:fldCharType="begin"/>
      </w:r>
      <w:r>
        <w:instrText xml:space="preserve"> LISTNUM "SEQ1" \l 2 </w:instrText>
      </w:r>
      <w:r>
        <w:fldChar w:fldCharType="end">
          <w:numberingChange w:id="17" w:author="Boyd, Steve" w:date="2021-10-25T14:25:00Z" w:original="(1)"/>
        </w:fldChar>
      </w:r>
      <w:r w:rsidR="003B65CF" w:rsidRPr="003B65CF">
        <w:t> </w:t>
      </w:r>
      <w:r w:rsidRPr="00887657">
        <w:t>Where</w:t>
      </w:r>
      <w:r w:rsidR="003B65CF" w:rsidRPr="003B65CF">
        <w:t xml:space="preserve"> </w:t>
      </w:r>
      <w:r w:rsidRPr="00887657">
        <w:t>a</w:t>
      </w:r>
      <w:r w:rsidR="003B65CF" w:rsidRPr="003B65CF">
        <w:t xml:space="preserve"> </w:t>
      </w:r>
      <w:r w:rsidRPr="00887657">
        <w:t>person</w:t>
      </w:r>
      <w:r w:rsidR="003B65CF" w:rsidRPr="003B65CF">
        <w:t xml:space="preserve"> </w:t>
      </w:r>
      <w:r w:rsidRPr="00887657">
        <w:t>is</w:t>
      </w:r>
      <w:r w:rsidR="003B65CF" w:rsidRPr="003B65CF">
        <w:t xml:space="preserve"> </w:t>
      </w:r>
      <w:r w:rsidRPr="00887657">
        <w:t>given</w:t>
      </w:r>
      <w:r w:rsidR="003B65CF" w:rsidRPr="003B65CF">
        <w:t xml:space="preserve"> </w:t>
      </w:r>
      <w:r w:rsidRPr="00887657">
        <w:t>a</w:t>
      </w:r>
      <w:r w:rsidR="003B65CF" w:rsidRPr="003B65CF">
        <w:t xml:space="preserve"> </w:t>
      </w:r>
      <w:r w:rsidRPr="00887657">
        <w:t>penalty</w:t>
      </w:r>
      <w:r w:rsidR="003B65CF" w:rsidRPr="003B65CF">
        <w:t xml:space="preserve"> </w:t>
      </w:r>
      <w:r w:rsidRPr="00887657">
        <w:t>notice—</w:t>
      </w:r>
    </w:p>
    <w:p w:rsidR="00887657" w:rsidRPr="00887657" w:rsidRDefault="00887657" w:rsidP="00887657">
      <w:pPr>
        <w:pStyle w:val="N3"/>
      </w:pPr>
      <w:r w:rsidRPr="00887657">
        <w:t>no</w:t>
      </w:r>
      <w:r w:rsidR="003B65CF" w:rsidRPr="003B65CF">
        <w:t xml:space="preserve"> </w:t>
      </w:r>
      <w:r w:rsidRPr="00887657">
        <w:t>proceedings</w:t>
      </w:r>
      <w:r w:rsidR="003B65CF" w:rsidRPr="003B65CF">
        <w:t xml:space="preserve"> </w:t>
      </w:r>
      <w:r w:rsidRPr="00887657">
        <w:t>may</w:t>
      </w:r>
      <w:r w:rsidR="003B65CF" w:rsidRPr="003B65CF">
        <w:t xml:space="preserve"> </w:t>
      </w:r>
      <w:r w:rsidRPr="00887657">
        <w:t>be</w:t>
      </w:r>
      <w:r w:rsidR="003B65CF" w:rsidRPr="003B65CF">
        <w:t xml:space="preserve"> </w:t>
      </w:r>
      <w:r w:rsidRPr="00887657">
        <w:t>brought</w:t>
      </w:r>
      <w:r w:rsidR="003B65CF" w:rsidRPr="003B65CF">
        <w:t xml:space="preserve"> </w:t>
      </w:r>
      <w:r w:rsidRPr="00887657">
        <w:t>against</w:t>
      </w:r>
      <w:r w:rsidR="003B65CF" w:rsidRPr="003B65CF">
        <w:t xml:space="preserve"> </w:t>
      </w:r>
      <w:r w:rsidRPr="00887657">
        <w:t>them</w:t>
      </w:r>
      <w:r w:rsidR="003B65CF" w:rsidRPr="003B65CF">
        <w:t xml:space="preserve"> </w:t>
      </w:r>
      <w:r w:rsidRPr="00887657">
        <w:t>for</w:t>
      </w:r>
      <w:r w:rsidR="003B65CF" w:rsidRPr="003B65CF">
        <w:t xml:space="preserve"> </w:t>
      </w:r>
      <w:r w:rsidRPr="00887657">
        <w:t>the</w:t>
      </w:r>
      <w:r w:rsidR="003B65CF" w:rsidRPr="003B65CF">
        <w:t xml:space="preserve"> </w:t>
      </w:r>
      <w:r w:rsidRPr="00887657">
        <w:t>penalty</w:t>
      </w:r>
      <w:r w:rsidR="003B65CF" w:rsidRPr="003B65CF">
        <w:t xml:space="preserve"> </w:t>
      </w:r>
      <w:r w:rsidRPr="00887657">
        <w:t>offence</w:t>
      </w:r>
      <w:r w:rsidR="003B65CF" w:rsidRPr="003B65CF">
        <w:t xml:space="preserve"> </w:t>
      </w:r>
      <w:r w:rsidRPr="00887657">
        <w:t>to</w:t>
      </w:r>
      <w:r w:rsidR="003B65CF" w:rsidRPr="003B65CF">
        <w:t xml:space="preserve"> </w:t>
      </w:r>
      <w:r w:rsidRPr="00887657">
        <w:t>which</w:t>
      </w:r>
      <w:r w:rsidR="003B65CF" w:rsidRPr="003B65CF">
        <w:t xml:space="preserve"> </w:t>
      </w:r>
      <w:r w:rsidRPr="00887657">
        <w:t>that</w:t>
      </w:r>
      <w:r w:rsidR="003B65CF" w:rsidRPr="003B65CF">
        <w:t xml:space="preserve"> </w:t>
      </w:r>
      <w:r w:rsidRPr="00887657">
        <w:t>notice</w:t>
      </w:r>
      <w:r w:rsidR="003B65CF" w:rsidRPr="003B65CF">
        <w:t xml:space="preserve"> </w:t>
      </w:r>
      <w:r w:rsidRPr="00887657">
        <w:t>relates</w:t>
      </w:r>
      <w:r w:rsidR="003B65CF" w:rsidRPr="003B65CF">
        <w:t xml:space="preserve"> </w:t>
      </w:r>
      <w:r w:rsidRPr="00887657">
        <w:t>before</w:t>
      </w:r>
      <w:r w:rsidR="003B65CF" w:rsidRPr="003B65CF">
        <w:t xml:space="preserve"> </w:t>
      </w:r>
      <w:r w:rsidRPr="00887657">
        <w:t>the</w:t>
      </w:r>
      <w:r w:rsidR="003B65CF" w:rsidRPr="003B65CF">
        <w:t xml:space="preserve"> </w:t>
      </w:r>
      <w:r w:rsidRPr="00887657">
        <w:t>end</w:t>
      </w:r>
      <w:r w:rsidR="003B65CF" w:rsidRPr="003B65CF">
        <w:t xml:space="preserve"> </w:t>
      </w:r>
      <w:r w:rsidRPr="00887657">
        <w:t>of</w:t>
      </w:r>
      <w:r w:rsidR="003B65CF" w:rsidRPr="003B65CF">
        <w:t xml:space="preserve"> </w:t>
      </w:r>
      <w:r w:rsidRPr="00887657">
        <w:t>the</w:t>
      </w:r>
      <w:r w:rsidR="003B65CF" w:rsidRPr="003B65CF">
        <w:t xml:space="preserve"> </w:t>
      </w:r>
      <w:r w:rsidRPr="00887657">
        <w:t>period</w:t>
      </w:r>
      <w:r w:rsidR="003B65CF" w:rsidRPr="003B65CF">
        <w:t xml:space="preserve"> </w:t>
      </w:r>
      <w:r w:rsidRPr="00887657">
        <w:t>of</w:t>
      </w:r>
      <w:r w:rsidR="003B65CF" w:rsidRPr="003B65CF">
        <w:t xml:space="preserve"> </w:t>
      </w:r>
      <w:r w:rsidRPr="00887657">
        <w:t>28</w:t>
      </w:r>
      <w:r w:rsidR="003B65CF" w:rsidRPr="003B65CF">
        <w:t xml:space="preserve"> </w:t>
      </w:r>
      <w:r w:rsidRPr="00887657">
        <w:t>days,</w:t>
      </w:r>
      <w:r w:rsidR="003B65CF" w:rsidRPr="003B65CF">
        <w:t xml:space="preserve"> </w:t>
      </w:r>
      <w:r w:rsidRPr="00887657">
        <w:t>beginning</w:t>
      </w:r>
      <w:r w:rsidR="003B65CF" w:rsidRPr="003B65CF">
        <w:t xml:space="preserve"> </w:t>
      </w:r>
      <w:r w:rsidRPr="00887657">
        <w:t>with</w:t>
      </w:r>
      <w:r w:rsidR="003B65CF" w:rsidRPr="003B65CF">
        <w:t xml:space="preserve"> </w:t>
      </w:r>
      <w:r w:rsidRPr="00887657">
        <w:t>the</w:t>
      </w:r>
      <w:r w:rsidR="003B65CF" w:rsidRPr="003B65CF">
        <w:t xml:space="preserve"> </w:t>
      </w:r>
      <w:r w:rsidRPr="00887657">
        <w:t>day</w:t>
      </w:r>
      <w:r w:rsidR="003B65CF" w:rsidRPr="003B65CF">
        <w:t xml:space="preserve"> </w:t>
      </w:r>
      <w:r w:rsidRPr="00887657">
        <w:t>on</w:t>
      </w:r>
      <w:r w:rsidR="003B65CF" w:rsidRPr="003B65CF">
        <w:t xml:space="preserve"> </w:t>
      </w:r>
      <w:r w:rsidRPr="00887657">
        <w:t>which</w:t>
      </w:r>
      <w:r w:rsidR="003B65CF" w:rsidRPr="003B65CF">
        <w:t xml:space="preserve"> </w:t>
      </w:r>
      <w:r w:rsidRPr="00887657">
        <w:t>they</w:t>
      </w:r>
      <w:r w:rsidR="003B65CF" w:rsidRPr="003B65CF">
        <w:t xml:space="preserve"> </w:t>
      </w:r>
      <w:r w:rsidRPr="00887657">
        <w:t>were</w:t>
      </w:r>
      <w:r w:rsidR="003B65CF" w:rsidRPr="003B65CF">
        <w:t xml:space="preserve"> </w:t>
      </w:r>
      <w:r w:rsidRPr="00887657">
        <w:t>given</w:t>
      </w:r>
      <w:r w:rsidR="003B65CF" w:rsidRPr="003B65CF">
        <w:t xml:space="preserve"> </w:t>
      </w:r>
      <w:r w:rsidRPr="00887657">
        <w:t>the</w:t>
      </w:r>
      <w:r w:rsidR="003B65CF" w:rsidRPr="003B65CF">
        <w:t xml:space="preserve"> </w:t>
      </w:r>
      <w:r w:rsidRPr="00887657">
        <w:t>notice;</w:t>
      </w:r>
    </w:p>
    <w:p w:rsidR="00887657" w:rsidRPr="00887657" w:rsidRDefault="00887657" w:rsidP="00887657">
      <w:pPr>
        <w:pStyle w:val="N3"/>
      </w:pPr>
      <w:r w:rsidRPr="00887657">
        <w:t>that</w:t>
      </w:r>
      <w:r w:rsidR="003B65CF" w:rsidRPr="003B65CF">
        <w:t xml:space="preserve"> </w:t>
      </w:r>
      <w:r w:rsidRPr="00887657">
        <w:t>person</w:t>
      </w:r>
      <w:r w:rsidR="003B65CF" w:rsidRPr="003B65CF">
        <w:t xml:space="preserve"> </w:t>
      </w:r>
      <w:r w:rsidRPr="00887657">
        <w:t>may</w:t>
      </w:r>
      <w:r w:rsidR="003B65CF" w:rsidRPr="003B65CF">
        <w:t xml:space="preserve"> </w:t>
      </w:r>
      <w:r w:rsidRPr="00887657">
        <w:t>not</w:t>
      </w:r>
      <w:r w:rsidR="003B65CF" w:rsidRPr="003B65CF">
        <w:t xml:space="preserve"> </w:t>
      </w:r>
      <w:r w:rsidRPr="00887657">
        <w:t>be</w:t>
      </w:r>
      <w:r w:rsidR="003B65CF" w:rsidRPr="003B65CF">
        <w:t xml:space="preserve"> </w:t>
      </w:r>
      <w:r w:rsidRPr="00887657">
        <w:t>convicted</w:t>
      </w:r>
      <w:r w:rsidR="003B65CF" w:rsidRPr="003B65CF">
        <w:t xml:space="preserve"> </w:t>
      </w:r>
      <w:r w:rsidRPr="00887657">
        <w:t>of</w:t>
      </w:r>
      <w:r w:rsidR="003B65CF" w:rsidRPr="003B65CF">
        <w:t xml:space="preserve"> </w:t>
      </w:r>
      <w:r w:rsidRPr="00887657">
        <w:t>the</w:t>
      </w:r>
      <w:r w:rsidR="003B65CF" w:rsidRPr="003B65CF">
        <w:t xml:space="preserve"> </w:t>
      </w:r>
      <w:r w:rsidRPr="00887657">
        <w:t>offence</w:t>
      </w:r>
      <w:r w:rsidR="003B65CF" w:rsidRPr="003B65CF">
        <w:t xml:space="preserve"> </w:t>
      </w:r>
      <w:r w:rsidRPr="00887657">
        <w:t>if</w:t>
      </w:r>
      <w:r w:rsidR="003B65CF" w:rsidRPr="003B65CF">
        <w:t xml:space="preserve"> </w:t>
      </w:r>
      <w:r w:rsidRPr="00887657">
        <w:t>the</w:t>
      </w:r>
      <w:r w:rsidR="003B65CF" w:rsidRPr="003B65CF">
        <w:t xml:space="preserve"> </w:t>
      </w:r>
      <w:r w:rsidRPr="00887657">
        <w:t>penalty</w:t>
      </w:r>
      <w:r w:rsidR="003B65CF" w:rsidRPr="003B65CF">
        <w:t xml:space="preserve"> </w:t>
      </w:r>
      <w:r w:rsidRPr="00887657">
        <w:t>is</w:t>
      </w:r>
      <w:r w:rsidR="003B65CF" w:rsidRPr="003B65CF">
        <w:t xml:space="preserve"> </w:t>
      </w:r>
      <w:r w:rsidRPr="00887657">
        <w:t>paid</w:t>
      </w:r>
      <w:r w:rsidR="003B65CF" w:rsidRPr="003B65CF">
        <w:t xml:space="preserve"> </w:t>
      </w:r>
      <w:r w:rsidRPr="00887657">
        <w:t>in</w:t>
      </w:r>
      <w:r w:rsidR="003B65CF" w:rsidRPr="003B65CF">
        <w:t xml:space="preserve"> </w:t>
      </w:r>
      <w:r w:rsidRPr="00887657">
        <w:t>accordance</w:t>
      </w:r>
      <w:r w:rsidR="003B65CF" w:rsidRPr="003B65CF">
        <w:t xml:space="preserve"> </w:t>
      </w:r>
      <w:r w:rsidRPr="00887657">
        <w:t>with</w:t>
      </w:r>
      <w:r w:rsidR="003B65CF" w:rsidRPr="003B65CF">
        <w:t xml:space="preserve"> </w:t>
      </w:r>
      <w:r w:rsidRPr="00887657">
        <w:t>regulation</w:t>
      </w:r>
      <w:r w:rsidR="003B65CF" w:rsidRPr="003B65CF">
        <w:t xml:space="preserve"> </w:t>
      </w:r>
      <w:r w:rsidRPr="00887657">
        <w:t>24</w:t>
      </w:r>
      <w:r w:rsidR="003B65CF" w:rsidRPr="003B65CF">
        <w:t xml:space="preserve"> </w:t>
      </w:r>
      <w:r w:rsidRPr="00887657">
        <w:t>before</w:t>
      </w:r>
      <w:r w:rsidR="003B65CF" w:rsidRPr="003B65CF">
        <w:t xml:space="preserve"> </w:t>
      </w:r>
      <w:r w:rsidRPr="00887657">
        <w:t>the</w:t>
      </w:r>
      <w:r w:rsidR="003B65CF" w:rsidRPr="003B65CF">
        <w:t xml:space="preserve"> </w:t>
      </w:r>
      <w:r w:rsidRPr="00887657">
        <w:t>end</w:t>
      </w:r>
      <w:r w:rsidR="003B65CF" w:rsidRPr="003B65CF">
        <w:t xml:space="preserve"> </w:t>
      </w:r>
      <w:r w:rsidRPr="00887657">
        <w:t>of</w:t>
      </w:r>
      <w:r w:rsidR="003B65CF" w:rsidRPr="003B65CF">
        <w:t xml:space="preserve"> </w:t>
      </w:r>
      <w:r w:rsidRPr="00887657">
        <w:t>that</w:t>
      </w:r>
      <w:r w:rsidR="003B65CF" w:rsidRPr="003B65CF">
        <w:t xml:space="preserve"> </w:t>
      </w:r>
      <w:r w:rsidRPr="00887657">
        <w:t>period.</w:t>
      </w:r>
    </w:p>
    <w:p w:rsidR="00887657" w:rsidRDefault="00887657" w:rsidP="00887657">
      <w:pPr>
        <w:pStyle w:val="N2"/>
      </w:pPr>
      <w:r>
        <w:t>Paragraph</w:t>
      </w:r>
      <w:r w:rsidR="003B65CF" w:rsidRPr="003B65CF">
        <w:t xml:space="preserve"> </w:t>
      </w:r>
      <w:r>
        <w:t>(1)</w:t>
      </w:r>
      <w:r w:rsidR="003B65CF" w:rsidRPr="003B65CF">
        <w:t xml:space="preserve"> </w:t>
      </w:r>
      <w:r>
        <w:t>does</w:t>
      </w:r>
      <w:r w:rsidR="003B65CF" w:rsidRPr="003B65CF">
        <w:t xml:space="preserve"> </w:t>
      </w:r>
      <w:r w:rsidRPr="00887657">
        <w:t>not</w:t>
      </w:r>
      <w:r w:rsidR="003B65CF" w:rsidRPr="003B65CF">
        <w:t xml:space="preserve"> </w:t>
      </w:r>
      <w:r w:rsidRPr="00887657">
        <w:t>apply</w:t>
      </w:r>
      <w:r w:rsidR="003B65CF" w:rsidRPr="003B65CF">
        <w:t xml:space="preserve"> </w:t>
      </w:r>
      <w:r w:rsidRPr="00887657">
        <w:t>if</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is</w:t>
      </w:r>
      <w:r w:rsidR="003B65CF" w:rsidRPr="003B65CF">
        <w:t xml:space="preserve"> </w:t>
      </w:r>
      <w:r w:rsidRPr="00887657">
        <w:t>withdrawn</w:t>
      </w:r>
      <w:r w:rsidR="003B65CF" w:rsidRPr="003B65CF">
        <w:t xml:space="preserve"> </w:t>
      </w:r>
      <w:r w:rsidRPr="00887657">
        <w:t>in</w:t>
      </w:r>
      <w:r w:rsidR="003B65CF" w:rsidRPr="003B65CF">
        <w:t xml:space="preserve"> </w:t>
      </w:r>
      <w:r w:rsidRPr="00887657">
        <w:t>accordance</w:t>
      </w:r>
      <w:r w:rsidR="003B65CF" w:rsidRPr="003B65CF">
        <w:t xml:space="preserve"> </w:t>
      </w:r>
      <w:r w:rsidRPr="00887657">
        <w:t>with</w:t>
      </w:r>
      <w:r w:rsidR="003B65CF" w:rsidRPr="003B65CF">
        <w:t xml:space="preserve"> </w:t>
      </w:r>
      <w:r w:rsidRPr="00887657">
        <w:t>regulation</w:t>
      </w:r>
      <w:r w:rsidR="003B65CF" w:rsidRPr="003B65CF">
        <w:t xml:space="preserve"> </w:t>
      </w:r>
      <w:r w:rsidRPr="00887657">
        <w:t>27</w:t>
      </w:r>
      <w:r>
        <w:t>.</w:t>
      </w:r>
    </w:p>
    <w:p w:rsidR="00887657" w:rsidRDefault="00887657" w:rsidP="00887657">
      <w:pPr>
        <w:pStyle w:val="H1"/>
      </w:pPr>
      <w:r w:rsidRPr="00887657">
        <w:t>Payment</w:t>
      </w:r>
      <w:r w:rsidR="003B65CF" w:rsidRPr="003B65CF">
        <w:t xml:space="preserve"> </w:t>
      </w:r>
      <w:r w:rsidRPr="00887657">
        <w:t>of</w:t>
      </w:r>
      <w:r w:rsidR="003B65CF" w:rsidRPr="003B65CF">
        <w:t xml:space="preserve"> </w:t>
      </w:r>
      <w:r w:rsidRPr="00887657">
        <w:t>penalty</w:t>
      </w:r>
    </w:p>
    <w:p w:rsidR="003B65CF" w:rsidRDefault="00887657" w:rsidP="00887657">
      <w:pPr>
        <w:pStyle w:val="N1"/>
      </w:pPr>
      <w:r>
        <w:t>—</w:t>
      </w:r>
      <w:r>
        <w:fldChar w:fldCharType="begin"/>
      </w:r>
      <w:r>
        <w:instrText xml:space="preserve"> LISTNUM "SEQ1" \l 2 </w:instrText>
      </w:r>
      <w:r>
        <w:fldChar w:fldCharType="end">
          <w:numberingChange w:id="18" w:author="Boyd, Steve" w:date="2021-10-25T14:25:00Z" w:original="(1)"/>
        </w:fldChar>
      </w:r>
      <w:r w:rsidR="003B65CF" w:rsidRPr="003B65CF">
        <w:t> </w:t>
      </w:r>
      <w:r w:rsidRPr="00887657">
        <w:t>Payment</w:t>
      </w:r>
      <w:r w:rsidR="003B65CF" w:rsidRPr="003B65CF">
        <w:t xml:space="preserve"> </w:t>
      </w:r>
      <w:r w:rsidRPr="00887657">
        <w:t>of</w:t>
      </w:r>
      <w:r w:rsidR="003B65CF" w:rsidRPr="003B65CF">
        <w:t xml:space="preserve"> </w:t>
      </w:r>
      <w:r w:rsidRPr="00887657">
        <w:t>any</w:t>
      </w:r>
      <w:r w:rsidR="003B65CF" w:rsidRPr="003B65CF">
        <w:t xml:space="preserve"> </w:t>
      </w:r>
      <w:r w:rsidRPr="00887657">
        <w:t>penalty</w:t>
      </w:r>
      <w:r w:rsidR="003B65CF" w:rsidRPr="003B65CF">
        <w:t xml:space="preserve"> </w:t>
      </w:r>
      <w:r w:rsidRPr="00887657">
        <w:t>must</w:t>
      </w:r>
      <w:r w:rsidR="003B65CF" w:rsidRPr="003B65CF">
        <w:t xml:space="preserve"> </w:t>
      </w:r>
      <w:r w:rsidRPr="00887657">
        <w:t>be</w:t>
      </w:r>
      <w:r w:rsidR="003B65CF" w:rsidRPr="003B65CF">
        <w:t xml:space="preserve"> </w:t>
      </w:r>
      <w:r w:rsidRPr="00887657">
        <w:t>made</w:t>
      </w:r>
      <w:r w:rsidR="003B65CF" w:rsidRPr="003B65CF">
        <w:t xml:space="preserve"> </w:t>
      </w:r>
      <w:r w:rsidRPr="00887657">
        <w:t>to</w:t>
      </w:r>
      <w:r w:rsidR="003B65CF" w:rsidRPr="003B65CF">
        <w:t xml:space="preserve"> </w:t>
      </w:r>
      <w:r w:rsidRPr="00887657">
        <w:t>the</w:t>
      </w:r>
      <w:r w:rsidR="003B65CF" w:rsidRPr="003B65CF">
        <w:t xml:space="preserve"> </w:t>
      </w:r>
      <w:r w:rsidRPr="00887657">
        <w:t>person</w:t>
      </w:r>
      <w:r w:rsidR="003B65CF" w:rsidRPr="003B65CF">
        <w:t xml:space="preserve"> </w:t>
      </w:r>
      <w:r w:rsidRPr="00887657">
        <w:t>specified</w:t>
      </w:r>
      <w:r w:rsidR="003B65CF" w:rsidRPr="003B65CF">
        <w:t xml:space="preserve"> </w:t>
      </w:r>
      <w:r w:rsidRPr="00887657">
        <w:t>in</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by</w:t>
      </w:r>
      <w:r w:rsidR="003B65CF" w:rsidRPr="003B65CF">
        <w:t xml:space="preserve"> </w:t>
      </w:r>
      <w:r w:rsidRPr="00887657">
        <w:t>sending</w:t>
      </w:r>
      <w:r w:rsidR="003B65CF" w:rsidRPr="003B65CF">
        <w:t xml:space="preserve"> </w:t>
      </w:r>
      <w:r w:rsidRPr="00887657">
        <w:t>it</w:t>
      </w:r>
      <w:r w:rsidR="003B65CF" w:rsidRPr="003B65CF">
        <w:t xml:space="preserve"> </w:t>
      </w:r>
      <w:r w:rsidRPr="00887657">
        <w:t>by</w:t>
      </w:r>
      <w:r w:rsidR="003B65CF" w:rsidRPr="003B65CF">
        <w:t xml:space="preserve"> </w:t>
      </w:r>
      <w:r w:rsidRPr="00887657">
        <w:t>post</w:t>
      </w:r>
      <w:r w:rsidR="003B65CF" w:rsidRPr="003B65CF">
        <w:t xml:space="preserve"> </w:t>
      </w:r>
      <w:r w:rsidRPr="00887657">
        <w:t>or</w:t>
      </w:r>
      <w:r w:rsidR="003B65CF" w:rsidRPr="003B65CF">
        <w:t xml:space="preserve"> </w:t>
      </w:r>
      <w:r w:rsidRPr="00887657">
        <w:t>by</w:t>
      </w:r>
      <w:r w:rsidR="003B65CF" w:rsidRPr="003B65CF">
        <w:t xml:space="preserve"> </w:t>
      </w:r>
      <w:r w:rsidRPr="00887657">
        <w:t>such</w:t>
      </w:r>
      <w:r w:rsidR="003B65CF" w:rsidRPr="003B65CF">
        <w:t xml:space="preserve"> </w:t>
      </w:r>
      <w:r w:rsidRPr="00887657">
        <w:t>method</w:t>
      </w:r>
      <w:r w:rsidR="003B65CF" w:rsidRPr="003B65CF">
        <w:t xml:space="preserve"> </w:t>
      </w:r>
      <w:r w:rsidRPr="00887657">
        <w:t>as</w:t>
      </w:r>
      <w:r w:rsidR="003B65CF" w:rsidRPr="003B65CF">
        <w:t xml:space="preserve"> </w:t>
      </w:r>
      <w:r w:rsidRPr="00887657">
        <w:t>may</w:t>
      </w:r>
      <w:r w:rsidR="003B65CF" w:rsidRPr="003B65CF">
        <w:t xml:space="preserve"> </w:t>
      </w:r>
      <w:r w:rsidRPr="00887657">
        <w:t>be</w:t>
      </w:r>
      <w:r w:rsidR="003B65CF" w:rsidRPr="003B65CF">
        <w:t xml:space="preserve"> </w:t>
      </w:r>
      <w:r w:rsidRPr="00887657">
        <w:t>specified</w:t>
      </w:r>
      <w:r w:rsidR="003B65CF" w:rsidRPr="003B65CF">
        <w:t xml:space="preserve"> </w:t>
      </w:r>
      <w:r w:rsidRPr="00887657">
        <w:t>in</w:t>
      </w:r>
      <w:r w:rsidR="003B65CF" w:rsidRPr="003B65CF">
        <w:t xml:space="preserve"> </w:t>
      </w:r>
      <w:r w:rsidRPr="00887657">
        <w:t>the</w:t>
      </w:r>
      <w:r w:rsidR="003B65CF" w:rsidRPr="003B65CF">
        <w:t xml:space="preserve"> </w:t>
      </w:r>
      <w:r w:rsidRPr="00887657">
        <w:t>notice.</w:t>
      </w:r>
    </w:p>
    <w:p w:rsidR="00887657" w:rsidRDefault="00887657" w:rsidP="00887657">
      <w:pPr>
        <w:pStyle w:val="N2"/>
      </w:pPr>
      <w:r w:rsidRPr="00887657">
        <w:t>Payment</w:t>
      </w:r>
      <w:r w:rsidR="003B65CF" w:rsidRPr="003B65CF">
        <w:t xml:space="preserve"> </w:t>
      </w:r>
      <w:r w:rsidRPr="00887657">
        <w:t>of</w:t>
      </w:r>
      <w:r w:rsidR="003B65CF" w:rsidRPr="003B65CF">
        <w:t xml:space="preserve"> </w:t>
      </w:r>
      <w:r w:rsidRPr="00887657">
        <w:t>any</w:t>
      </w:r>
      <w:r w:rsidR="003B65CF" w:rsidRPr="003B65CF">
        <w:t xml:space="preserve"> </w:t>
      </w:r>
      <w:r w:rsidRPr="00887657">
        <w:t>p</w:t>
      </w:r>
      <w:r>
        <w:t>enalty</w:t>
      </w:r>
      <w:r w:rsidR="003B65CF" w:rsidRPr="003B65CF">
        <w:t xml:space="preserve"> </w:t>
      </w:r>
      <w:r>
        <w:t>may</w:t>
      </w:r>
      <w:r w:rsidR="003B65CF" w:rsidRPr="003B65CF">
        <w:t xml:space="preserve"> </w:t>
      </w:r>
      <w:r>
        <w:t>not</w:t>
      </w:r>
      <w:r w:rsidR="003B65CF" w:rsidRPr="003B65CF">
        <w:t xml:space="preserve"> </w:t>
      </w:r>
      <w:r>
        <w:t>be</w:t>
      </w:r>
      <w:r w:rsidR="003B65CF" w:rsidRPr="003B65CF">
        <w:t xml:space="preserve"> </w:t>
      </w:r>
      <w:r>
        <w:t>made</w:t>
      </w:r>
      <w:r w:rsidR="003B65CF" w:rsidRPr="003B65CF">
        <w:t xml:space="preserve"> </w:t>
      </w:r>
      <w:r>
        <w:t>in</w:t>
      </w:r>
      <w:r w:rsidR="003B65CF" w:rsidRPr="003B65CF">
        <w:t xml:space="preserve"> </w:t>
      </w:r>
      <w:r>
        <w:t>cash.</w:t>
      </w:r>
    </w:p>
    <w:p w:rsidR="00887657" w:rsidRDefault="00887657" w:rsidP="00887657">
      <w:pPr>
        <w:pStyle w:val="H1"/>
      </w:pPr>
      <w:r w:rsidRPr="00887657">
        <w:t>Certificate</w:t>
      </w:r>
      <w:r w:rsidR="003B65CF" w:rsidRPr="003B65CF">
        <w:t xml:space="preserve"> </w:t>
      </w:r>
      <w:r w:rsidRPr="00887657">
        <w:t>of</w:t>
      </w:r>
      <w:r w:rsidR="003B65CF" w:rsidRPr="003B65CF">
        <w:t xml:space="preserve"> </w:t>
      </w:r>
      <w:r w:rsidRPr="00887657">
        <w:t>payment</w:t>
      </w:r>
      <w:r w:rsidR="003B65CF" w:rsidRPr="003B65CF">
        <w:t xml:space="preserve"> </w:t>
      </w:r>
      <w:r w:rsidRPr="00887657">
        <w:t>or</w:t>
      </w:r>
      <w:r w:rsidR="003B65CF" w:rsidRPr="003B65CF">
        <w:t xml:space="preserve"> </w:t>
      </w:r>
      <w:r w:rsidRPr="00887657">
        <w:t>non-payment</w:t>
      </w:r>
      <w:r w:rsidR="003B65CF" w:rsidRPr="003B65CF">
        <w:t xml:space="preserve"> </w:t>
      </w:r>
      <w:r w:rsidRPr="00887657">
        <w:t>of</w:t>
      </w:r>
      <w:r w:rsidR="003B65CF" w:rsidRPr="003B65CF">
        <w:t xml:space="preserve"> </w:t>
      </w:r>
      <w:r w:rsidRPr="00887657">
        <w:t>a</w:t>
      </w:r>
      <w:r w:rsidR="003B65CF" w:rsidRPr="003B65CF">
        <w:t xml:space="preserve"> </w:t>
      </w:r>
      <w:r w:rsidRPr="00887657">
        <w:t>penalty</w:t>
      </w:r>
    </w:p>
    <w:p w:rsidR="00887657" w:rsidRDefault="003B65CF" w:rsidP="00887657">
      <w:pPr>
        <w:pStyle w:val="N1"/>
      </w:pPr>
      <w:r>
        <w:t> </w:t>
      </w:r>
      <w:r w:rsidR="00887657" w:rsidRPr="00887657">
        <w:t>In</w:t>
      </w:r>
      <w:r w:rsidRPr="003B65CF">
        <w:t xml:space="preserve"> </w:t>
      </w:r>
      <w:r w:rsidR="00887657" w:rsidRPr="00887657">
        <w:t>any</w:t>
      </w:r>
      <w:r w:rsidRPr="003B65CF">
        <w:t xml:space="preserve"> </w:t>
      </w:r>
      <w:r w:rsidR="00887657" w:rsidRPr="00887657">
        <w:t>proceedings</w:t>
      </w:r>
      <w:r w:rsidRPr="003B65CF">
        <w:t xml:space="preserve"> </w:t>
      </w:r>
      <w:r w:rsidR="00887657" w:rsidRPr="00887657">
        <w:t>a</w:t>
      </w:r>
      <w:r w:rsidRPr="003B65CF">
        <w:t xml:space="preserve"> </w:t>
      </w:r>
      <w:r w:rsidR="00887657" w:rsidRPr="00887657">
        <w:t>certificate</w:t>
      </w:r>
      <w:r w:rsidRPr="003B65CF">
        <w:t xml:space="preserve"> </w:t>
      </w:r>
      <w:r w:rsidR="00887657" w:rsidRPr="00887657">
        <w:t>purporting</w:t>
      </w:r>
      <w:r w:rsidRPr="003B65CF">
        <w:t xml:space="preserve"> </w:t>
      </w:r>
      <w:r w:rsidR="00887657" w:rsidRPr="00887657">
        <w:t>to</w:t>
      </w:r>
      <w:r w:rsidRPr="003B65CF">
        <w:t xml:space="preserve"> </w:t>
      </w:r>
      <w:r w:rsidR="00887657" w:rsidRPr="00887657">
        <w:t>be</w:t>
      </w:r>
      <w:r w:rsidRPr="003B65CF">
        <w:t xml:space="preserve"> </w:t>
      </w:r>
      <w:r w:rsidR="00887657" w:rsidRPr="00887657">
        <w:t>signed</w:t>
      </w:r>
      <w:r w:rsidRPr="003B65CF">
        <w:t xml:space="preserve"> </w:t>
      </w:r>
      <w:r w:rsidR="00887657" w:rsidRPr="00887657">
        <w:t>by</w:t>
      </w:r>
      <w:r w:rsidRPr="003B65CF">
        <w:t xml:space="preserve"> </w:t>
      </w:r>
      <w:r w:rsidR="00887657" w:rsidRPr="00887657">
        <w:t>or</w:t>
      </w:r>
      <w:r w:rsidRPr="003B65CF">
        <w:t xml:space="preserve"> </w:t>
      </w:r>
      <w:r w:rsidR="00887657" w:rsidRPr="00887657">
        <w:t>on</w:t>
      </w:r>
      <w:r w:rsidRPr="003B65CF">
        <w:t xml:space="preserve"> </w:t>
      </w:r>
      <w:r w:rsidR="00887657" w:rsidRPr="00887657">
        <w:t>behalf</w:t>
      </w:r>
      <w:r w:rsidRPr="003B65CF">
        <w:t xml:space="preserve"> </w:t>
      </w:r>
      <w:r w:rsidR="00887657" w:rsidRPr="00887657">
        <w:t>of</w:t>
      </w:r>
      <w:r w:rsidRPr="003B65CF">
        <w:t xml:space="preserve"> </w:t>
      </w:r>
      <w:r w:rsidR="00887657" w:rsidRPr="00887657">
        <w:t>the</w:t>
      </w:r>
      <w:r w:rsidRPr="003B65CF">
        <w:t xml:space="preserve"> </w:t>
      </w:r>
      <w:r w:rsidR="00887657" w:rsidRPr="00887657">
        <w:t>enforcement</w:t>
      </w:r>
      <w:r w:rsidRPr="003B65CF">
        <w:t xml:space="preserve"> </w:t>
      </w:r>
      <w:r w:rsidR="00887657" w:rsidRPr="00887657">
        <w:t>authority,</w:t>
      </w:r>
      <w:r w:rsidRPr="003B65CF">
        <w:t xml:space="preserve"> </w:t>
      </w:r>
      <w:r w:rsidR="00887657" w:rsidRPr="00887657">
        <w:t>stating</w:t>
      </w:r>
      <w:r w:rsidRPr="003B65CF">
        <w:t xml:space="preserve"> </w:t>
      </w:r>
      <w:r w:rsidR="00887657" w:rsidRPr="00887657">
        <w:t>that</w:t>
      </w:r>
      <w:r w:rsidRPr="003B65CF">
        <w:t xml:space="preserve"> </w:t>
      </w:r>
      <w:r w:rsidR="00887657" w:rsidRPr="00887657">
        <w:t>payment</w:t>
      </w:r>
      <w:r w:rsidRPr="003B65CF">
        <w:t xml:space="preserve"> </w:t>
      </w:r>
      <w:r w:rsidR="00887657" w:rsidRPr="00887657">
        <w:t>in</w:t>
      </w:r>
      <w:r w:rsidRPr="003B65CF">
        <w:t xml:space="preserve"> </w:t>
      </w:r>
      <w:r w:rsidR="00887657" w:rsidRPr="00887657">
        <w:t>respect</w:t>
      </w:r>
      <w:r w:rsidRPr="003B65CF">
        <w:t xml:space="preserve"> </w:t>
      </w:r>
      <w:r w:rsidR="00887657" w:rsidRPr="00887657">
        <w:t>of</w:t>
      </w:r>
      <w:r w:rsidRPr="003B65CF">
        <w:t xml:space="preserve"> </w:t>
      </w:r>
      <w:r w:rsidR="00887657" w:rsidRPr="00887657">
        <w:t>a</w:t>
      </w:r>
      <w:r w:rsidRPr="003B65CF">
        <w:t xml:space="preserve"> </w:t>
      </w:r>
      <w:r w:rsidR="00887657" w:rsidRPr="00887657">
        <w:t>penalty</w:t>
      </w:r>
      <w:r w:rsidRPr="003B65CF">
        <w:t xml:space="preserve"> </w:t>
      </w:r>
      <w:r w:rsidR="00887657" w:rsidRPr="00887657">
        <w:t>notice</w:t>
      </w:r>
      <w:r w:rsidRPr="003B65CF">
        <w:t xml:space="preserve"> </w:t>
      </w:r>
      <w:r w:rsidR="00887657" w:rsidRPr="00887657">
        <w:t>was</w:t>
      </w:r>
      <w:r w:rsidRPr="003B65CF">
        <w:t xml:space="preserve"> </w:t>
      </w:r>
      <w:r w:rsidR="00887657" w:rsidRPr="00887657">
        <w:t>or</w:t>
      </w:r>
      <w:r w:rsidRPr="003B65CF">
        <w:t xml:space="preserve"> </w:t>
      </w:r>
      <w:r w:rsidR="00887657" w:rsidRPr="00887657">
        <w:t>was</w:t>
      </w:r>
      <w:r w:rsidRPr="003B65CF">
        <w:t xml:space="preserve"> </w:t>
      </w:r>
      <w:r w:rsidR="00887657" w:rsidRPr="00887657">
        <w:t>not</w:t>
      </w:r>
      <w:r w:rsidRPr="003B65CF">
        <w:t xml:space="preserve"> </w:t>
      </w:r>
      <w:r w:rsidR="00887657" w:rsidRPr="00887657">
        <w:t>received</w:t>
      </w:r>
      <w:r w:rsidRPr="003B65CF">
        <w:t xml:space="preserve"> </w:t>
      </w:r>
      <w:r w:rsidR="00887657" w:rsidRPr="00887657">
        <w:t>on</w:t>
      </w:r>
      <w:r w:rsidRPr="003B65CF">
        <w:t xml:space="preserve"> </w:t>
      </w:r>
      <w:r w:rsidR="00887657" w:rsidRPr="00887657">
        <w:t>or</w:t>
      </w:r>
      <w:r w:rsidRPr="003B65CF">
        <w:t xml:space="preserve"> </w:t>
      </w:r>
      <w:r w:rsidR="00887657" w:rsidRPr="00887657">
        <w:t>before</w:t>
      </w:r>
      <w:r w:rsidRPr="003B65CF">
        <w:t xml:space="preserve"> </w:t>
      </w:r>
      <w:r w:rsidR="00887657" w:rsidRPr="00887657">
        <w:t>a</w:t>
      </w:r>
      <w:r w:rsidRPr="003B65CF">
        <w:t xml:space="preserve"> </w:t>
      </w:r>
      <w:r w:rsidR="00887657" w:rsidRPr="00887657">
        <w:t>date</w:t>
      </w:r>
      <w:r w:rsidRPr="003B65CF">
        <w:t xml:space="preserve"> </w:t>
      </w:r>
      <w:r w:rsidR="00887657" w:rsidRPr="00887657">
        <w:t>specified</w:t>
      </w:r>
      <w:r w:rsidRPr="003B65CF">
        <w:t xml:space="preserve"> </w:t>
      </w:r>
      <w:r w:rsidR="00887657" w:rsidRPr="00887657">
        <w:t>in</w:t>
      </w:r>
      <w:r w:rsidRPr="003B65CF">
        <w:t xml:space="preserve"> </w:t>
      </w:r>
      <w:r w:rsidR="00887657" w:rsidRPr="00887657">
        <w:t>the</w:t>
      </w:r>
      <w:r w:rsidRPr="003B65CF">
        <w:t xml:space="preserve"> </w:t>
      </w:r>
      <w:r w:rsidR="00887657" w:rsidRPr="00887657">
        <w:t>certificate</w:t>
      </w:r>
      <w:r w:rsidRPr="003B65CF">
        <w:t xml:space="preserve"> </w:t>
      </w:r>
      <w:r w:rsidR="00887657" w:rsidRPr="00887657">
        <w:t>is</w:t>
      </w:r>
      <w:r w:rsidRPr="003B65CF">
        <w:t xml:space="preserve"> </w:t>
      </w:r>
      <w:r w:rsidR="00887657" w:rsidRPr="00887657">
        <w:t>evidence</w:t>
      </w:r>
      <w:r w:rsidRPr="003B65CF">
        <w:t xml:space="preserve"> </w:t>
      </w:r>
      <w:r w:rsidR="00887657" w:rsidRPr="00887657">
        <w:t>of</w:t>
      </w:r>
      <w:r w:rsidRPr="003B65CF">
        <w:t xml:space="preserve"> </w:t>
      </w:r>
      <w:r w:rsidR="00887657" w:rsidRPr="00887657">
        <w:t>the</w:t>
      </w:r>
      <w:r w:rsidRPr="003B65CF">
        <w:t xml:space="preserve"> </w:t>
      </w:r>
      <w:r w:rsidR="00887657" w:rsidRPr="00887657">
        <w:t>facts</w:t>
      </w:r>
      <w:r w:rsidRPr="003B65CF">
        <w:t xml:space="preserve"> </w:t>
      </w:r>
      <w:r w:rsidR="00887657" w:rsidRPr="00887657">
        <w:t>stated.</w:t>
      </w:r>
    </w:p>
    <w:p w:rsidR="00887657" w:rsidRDefault="00887657" w:rsidP="00887657">
      <w:pPr>
        <w:pStyle w:val="H1"/>
      </w:pPr>
      <w:r w:rsidRPr="00887657">
        <w:t>Penalty</w:t>
      </w:r>
      <w:r w:rsidR="003B65CF" w:rsidRPr="003B65CF">
        <w:t xml:space="preserve"> </w:t>
      </w:r>
      <w:r w:rsidRPr="00887657">
        <w:t>receipts</w:t>
      </w:r>
    </w:p>
    <w:p w:rsidR="00887657" w:rsidRDefault="003B65CF" w:rsidP="00887657">
      <w:pPr>
        <w:pStyle w:val="N1"/>
      </w:pPr>
      <w:r>
        <w:t> </w:t>
      </w:r>
      <w:r w:rsidR="00887657" w:rsidRPr="00887657">
        <w:t>Penalties</w:t>
      </w:r>
      <w:r w:rsidRPr="003B65CF">
        <w:t xml:space="preserve"> </w:t>
      </w:r>
      <w:r w:rsidR="00887657" w:rsidRPr="00887657">
        <w:t>paid</w:t>
      </w:r>
      <w:r w:rsidRPr="003B65CF">
        <w:t xml:space="preserve"> </w:t>
      </w:r>
      <w:r w:rsidR="00887657" w:rsidRPr="00887657">
        <w:t>to</w:t>
      </w:r>
      <w:r w:rsidRPr="003B65CF">
        <w:t xml:space="preserve"> </w:t>
      </w:r>
      <w:r w:rsidR="00887657" w:rsidRPr="00887657">
        <w:t>an</w:t>
      </w:r>
      <w:r w:rsidRPr="003B65CF">
        <w:t xml:space="preserve"> </w:t>
      </w:r>
      <w:r w:rsidR="00887657" w:rsidRPr="00887657">
        <w:t>enforcement</w:t>
      </w:r>
      <w:r w:rsidRPr="003B65CF">
        <w:t xml:space="preserve"> </w:t>
      </w:r>
      <w:r w:rsidR="00887657" w:rsidRPr="00887657">
        <w:t>authority</w:t>
      </w:r>
      <w:r w:rsidRPr="003B65CF">
        <w:t xml:space="preserve"> </w:t>
      </w:r>
      <w:r w:rsidR="00887657" w:rsidRPr="00887657">
        <w:t>must</w:t>
      </w:r>
      <w:r w:rsidRPr="003B65CF">
        <w:t xml:space="preserve"> </w:t>
      </w:r>
      <w:r w:rsidR="00887657" w:rsidRPr="00887657">
        <w:t>be</w:t>
      </w:r>
      <w:r w:rsidRPr="003B65CF">
        <w:t xml:space="preserve"> </w:t>
      </w:r>
      <w:r w:rsidR="00887657" w:rsidRPr="00887657">
        <w:t>paid</w:t>
      </w:r>
      <w:r w:rsidRPr="003B65CF">
        <w:t xml:space="preserve"> </w:t>
      </w:r>
      <w:r w:rsidR="00887657" w:rsidRPr="00887657">
        <w:t>into</w:t>
      </w:r>
      <w:r w:rsidRPr="003B65CF">
        <w:t xml:space="preserve"> </w:t>
      </w:r>
      <w:r w:rsidR="00887657" w:rsidRPr="00887657">
        <w:t>the</w:t>
      </w:r>
      <w:r w:rsidRPr="003B65CF">
        <w:t xml:space="preserve"> </w:t>
      </w:r>
      <w:r w:rsidR="00887657" w:rsidRPr="00887657">
        <w:t>Consolidated</w:t>
      </w:r>
      <w:r w:rsidRPr="003B65CF">
        <w:t xml:space="preserve"> </w:t>
      </w:r>
      <w:r w:rsidR="00887657" w:rsidRPr="00887657">
        <w:t>Fund.</w:t>
      </w:r>
    </w:p>
    <w:p w:rsidR="00887657" w:rsidRDefault="00887657" w:rsidP="00887657">
      <w:pPr>
        <w:pStyle w:val="H1"/>
      </w:pPr>
      <w:r w:rsidRPr="00887657">
        <w:t>Withdrawal</w:t>
      </w:r>
      <w:r w:rsidR="003B65CF" w:rsidRPr="003B65CF">
        <w:t xml:space="preserve"> </w:t>
      </w:r>
      <w:r w:rsidRPr="00887657">
        <w:t>of</w:t>
      </w:r>
      <w:r w:rsidR="003B65CF" w:rsidRPr="003B65CF">
        <w:t xml:space="preserve"> </w:t>
      </w:r>
      <w:r w:rsidRPr="00887657">
        <w:t>penalty</w:t>
      </w:r>
      <w:r w:rsidR="003B65CF" w:rsidRPr="003B65CF">
        <w:t xml:space="preserve"> </w:t>
      </w:r>
      <w:r w:rsidRPr="00887657">
        <w:t>notice</w:t>
      </w:r>
    </w:p>
    <w:p w:rsidR="003B65CF" w:rsidRDefault="00887657" w:rsidP="00887657">
      <w:pPr>
        <w:pStyle w:val="N1"/>
      </w:pPr>
      <w:r>
        <w:t>—</w:t>
      </w:r>
      <w:r>
        <w:fldChar w:fldCharType="begin"/>
      </w:r>
      <w:r>
        <w:instrText xml:space="preserve"> LISTNUM "SEQ1" \l 2 </w:instrText>
      </w:r>
      <w:r>
        <w:fldChar w:fldCharType="end">
          <w:numberingChange w:id="19" w:author="Boyd, Steve" w:date="2021-10-25T14:25:00Z" w:original="(1)"/>
        </w:fldChar>
      </w:r>
      <w:r w:rsidR="003B65CF" w:rsidRPr="003B65CF">
        <w:t> </w:t>
      </w:r>
      <w:r w:rsidRPr="00887657">
        <w:t>A</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may</w:t>
      </w:r>
      <w:r w:rsidR="003B65CF" w:rsidRPr="003B65CF">
        <w:t xml:space="preserve"> </w:t>
      </w:r>
      <w:r w:rsidRPr="00887657">
        <w:t>be</w:t>
      </w:r>
      <w:r w:rsidR="003B65CF" w:rsidRPr="003B65CF">
        <w:t xml:space="preserve"> </w:t>
      </w:r>
      <w:r w:rsidRPr="00887657">
        <w:t>withdrawn</w:t>
      </w:r>
      <w:r w:rsidR="003B65CF" w:rsidRPr="003B65CF">
        <w:t xml:space="preserve"> </w:t>
      </w:r>
      <w:r w:rsidRPr="00887657">
        <w:t>by</w:t>
      </w:r>
      <w:r w:rsidR="003B65CF" w:rsidRPr="003B65CF">
        <w:t xml:space="preserve"> </w:t>
      </w:r>
      <w:r w:rsidRPr="00887657">
        <w:t>an</w:t>
      </w:r>
      <w:r w:rsidR="003B65CF" w:rsidRPr="003B65CF">
        <w:t xml:space="preserve"> </w:t>
      </w:r>
      <w:r w:rsidRPr="00887657">
        <w:t>enforcement</w:t>
      </w:r>
      <w:r w:rsidR="003B65CF" w:rsidRPr="003B65CF">
        <w:t xml:space="preserve"> </w:t>
      </w:r>
      <w:r w:rsidRPr="00887657">
        <w:t>authority</w:t>
      </w:r>
      <w:r w:rsidR="003B65CF" w:rsidRPr="003B65CF">
        <w:t xml:space="preserve"> </w:t>
      </w:r>
      <w:r w:rsidRPr="00887657">
        <w:t>which</w:t>
      </w:r>
      <w:r w:rsidR="003B65CF" w:rsidRPr="003B65CF">
        <w:t xml:space="preserve"> </w:t>
      </w:r>
      <w:r w:rsidRPr="00887657">
        <w:t>has</w:t>
      </w:r>
      <w:r w:rsidR="003B65CF" w:rsidRPr="003B65CF">
        <w:t xml:space="preserve"> </w:t>
      </w:r>
      <w:r w:rsidRPr="00887657">
        <w:t>reason</w:t>
      </w:r>
      <w:r w:rsidR="003B65CF" w:rsidRPr="003B65CF">
        <w:t xml:space="preserve"> </w:t>
      </w:r>
      <w:r w:rsidRPr="00887657">
        <w:t>to</w:t>
      </w:r>
      <w:r w:rsidR="003B65CF" w:rsidRPr="003B65CF">
        <w:t xml:space="preserve"> </w:t>
      </w:r>
      <w:r w:rsidRPr="00887657">
        <w:t>believe</w:t>
      </w:r>
      <w:r w:rsidR="003B65CF" w:rsidRPr="003B65CF">
        <w:t xml:space="preserve"> </w:t>
      </w:r>
      <w:r w:rsidRPr="00887657">
        <w:t>that</w:t>
      </w:r>
      <w:r w:rsidR="003B65CF" w:rsidRPr="003B65CF">
        <w:t xml:space="preserve"> </w:t>
      </w:r>
      <w:r w:rsidRPr="00887657">
        <w:t>it</w:t>
      </w:r>
      <w:r w:rsidR="003B65CF" w:rsidRPr="003B65CF">
        <w:t xml:space="preserve"> </w:t>
      </w:r>
      <w:r w:rsidRPr="00887657">
        <w:t>ought</w:t>
      </w:r>
      <w:r w:rsidR="003B65CF" w:rsidRPr="003B65CF">
        <w:t xml:space="preserve"> </w:t>
      </w:r>
      <w:r w:rsidRPr="00887657">
        <w:t>not</w:t>
      </w:r>
      <w:r w:rsidR="003B65CF" w:rsidRPr="003B65CF">
        <w:t xml:space="preserve"> </w:t>
      </w:r>
      <w:r w:rsidRPr="00887657">
        <w:t>to</w:t>
      </w:r>
      <w:r w:rsidR="003B65CF" w:rsidRPr="003B65CF">
        <w:t xml:space="preserve"> </w:t>
      </w:r>
      <w:r w:rsidRPr="00887657">
        <w:t>have</w:t>
      </w:r>
      <w:r w:rsidR="003B65CF" w:rsidRPr="003B65CF">
        <w:t xml:space="preserve"> </w:t>
      </w:r>
      <w:r w:rsidRPr="00887657">
        <w:t>been</w:t>
      </w:r>
      <w:r w:rsidR="003B65CF" w:rsidRPr="003B65CF">
        <w:t xml:space="preserve"> </w:t>
      </w:r>
      <w:r w:rsidRPr="00887657">
        <w:t>given</w:t>
      </w:r>
      <w:r w:rsidR="003B65CF" w:rsidRPr="003B65CF">
        <w:t xml:space="preserve"> </w:t>
      </w:r>
      <w:r w:rsidRPr="00887657">
        <w:t>(whether</w:t>
      </w:r>
      <w:r w:rsidR="003B65CF" w:rsidRPr="003B65CF">
        <w:t xml:space="preserve"> </w:t>
      </w:r>
      <w:r w:rsidRPr="00887657">
        <w:t>to</w:t>
      </w:r>
      <w:r w:rsidR="003B65CF" w:rsidRPr="003B65CF">
        <w:t xml:space="preserve"> </w:t>
      </w:r>
      <w:r w:rsidRPr="00887657">
        <w:t>the</w:t>
      </w:r>
      <w:r w:rsidR="003B65CF" w:rsidRPr="003B65CF">
        <w:t xml:space="preserve"> </w:t>
      </w:r>
      <w:r w:rsidRPr="00887657">
        <w:t>person</w:t>
      </w:r>
      <w:r w:rsidR="003B65CF" w:rsidRPr="003B65CF">
        <w:t xml:space="preserve"> </w:t>
      </w:r>
      <w:r w:rsidRPr="00887657">
        <w:t>named</w:t>
      </w:r>
      <w:r w:rsidR="003B65CF" w:rsidRPr="003B65CF">
        <w:t xml:space="preserve"> </w:t>
      </w:r>
      <w:r w:rsidRPr="00887657">
        <w:t>in</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or</w:t>
      </w:r>
      <w:r w:rsidR="003B65CF" w:rsidRPr="003B65CF">
        <w:t xml:space="preserve"> </w:t>
      </w:r>
      <w:r w:rsidRPr="00887657">
        <w:t>otherwise).</w:t>
      </w:r>
    </w:p>
    <w:p w:rsidR="003B65CF" w:rsidRDefault="00887657" w:rsidP="00887657">
      <w:pPr>
        <w:pStyle w:val="N2"/>
      </w:pPr>
      <w:r w:rsidRPr="00887657">
        <w:t>A</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may</w:t>
      </w:r>
      <w:r w:rsidR="003B65CF" w:rsidRPr="003B65CF">
        <w:t xml:space="preserve"> </w:t>
      </w:r>
      <w:r w:rsidRPr="00887657">
        <w:t>be</w:t>
      </w:r>
      <w:r w:rsidR="003B65CF" w:rsidRPr="003B65CF">
        <w:t xml:space="preserve"> </w:t>
      </w:r>
      <w:r w:rsidRPr="00887657">
        <w:t>withdrawn</w:t>
      </w:r>
      <w:r w:rsidR="003B65CF" w:rsidRPr="003B65CF">
        <w:t xml:space="preserve"> </w:t>
      </w:r>
      <w:r w:rsidRPr="00887657">
        <w:t>by</w:t>
      </w:r>
      <w:r w:rsidR="003B65CF" w:rsidRPr="003B65CF">
        <w:t xml:space="preserve"> </w:t>
      </w:r>
      <w:r w:rsidRPr="00887657">
        <w:t>the</w:t>
      </w:r>
      <w:r w:rsidR="003B65CF" w:rsidRPr="003B65CF">
        <w:t xml:space="preserve"> </w:t>
      </w:r>
      <w:r w:rsidRPr="00887657">
        <w:t>enforcement</w:t>
      </w:r>
      <w:r w:rsidR="003B65CF" w:rsidRPr="003B65CF">
        <w:t xml:space="preserve"> </w:t>
      </w:r>
      <w:r w:rsidRPr="00887657">
        <w:t>authority</w:t>
      </w:r>
      <w:r w:rsidR="003B65CF" w:rsidRPr="003B65CF">
        <w:t xml:space="preserve"> </w:t>
      </w:r>
      <w:r w:rsidRPr="00887657">
        <w:t>giving</w:t>
      </w:r>
      <w:r w:rsidR="003B65CF" w:rsidRPr="003B65CF">
        <w:t xml:space="preserve"> </w:t>
      </w:r>
      <w:r w:rsidRPr="00887657">
        <w:t>written</w:t>
      </w:r>
      <w:r w:rsidR="003B65CF" w:rsidRPr="003B65CF">
        <w:t xml:space="preserve"> </w:t>
      </w:r>
      <w:r w:rsidRPr="00887657">
        <w:t>notice</w:t>
      </w:r>
      <w:r w:rsidR="003B65CF" w:rsidRPr="003B65CF">
        <w:t xml:space="preserve"> </w:t>
      </w:r>
      <w:r w:rsidRPr="00887657">
        <w:t>to</w:t>
      </w:r>
      <w:r w:rsidR="003B65CF" w:rsidRPr="003B65CF">
        <w:t xml:space="preserve"> </w:t>
      </w:r>
      <w:r w:rsidRPr="00887657">
        <w:t>the</w:t>
      </w:r>
      <w:r w:rsidR="003B65CF" w:rsidRPr="003B65CF">
        <w:t xml:space="preserve"> </w:t>
      </w:r>
      <w:r w:rsidRPr="00887657">
        <w:t>person</w:t>
      </w:r>
      <w:r w:rsidR="003B65CF" w:rsidRPr="003B65CF">
        <w:t xml:space="preserve"> </w:t>
      </w:r>
      <w:r w:rsidRPr="00887657">
        <w:t>named</w:t>
      </w:r>
      <w:r w:rsidR="003B65CF" w:rsidRPr="003B65CF">
        <w:t xml:space="preserve"> </w:t>
      </w:r>
      <w:r w:rsidRPr="00887657">
        <w:t>in</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before</w:t>
      </w:r>
      <w:r w:rsidR="003B65CF" w:rsidRPr="003B65CF">
        <w:t xml:space="preserve"> </w:t>
      </w:r>
      <w:r w:rsidRPr="00887657">
        <w:t>or</w:t>
      </w:r>
      <w:r w:rsidR="003B65CF" w:rsidRPr="003B65CF">
        <w:t xml:space="preserve"> </w:t>
      </w:r>
      <w:r w:rsidRPr="00887657">
        <w:t>after</w:t>
      </w:r>
      <w:r w:rsidR="003B65CF" w:rsidRPr="003B65CF">
        <w:t xml:space="preserve"> </w:t>
      </w:r>
      <w:r w:rsidRPr="00887657">
        <w:t>payment</w:t>
      </w:r>
      <w:r w:rsidR="003B65CF" w:rsidRPr="003B65CF">
        <w:t xml:space="preserve"> </w:t>
      </w:r>
      <w:r w:rsidRPr="00887657">
        <w:t>of</w:t>
      </w:r>
      <w:r w:rsidR="003B65CF" w:rsidRPr="003B65CF">
        <w:t xml:space="preserve"> </w:t>
      </w:r>
      <w:r w:rsidRPr="00887657">
        <w:t>the</w:t>
      </w:r>
      <w:r w:rsidR="003B65CF" w:rsidRPr="003B65CF">
        <w:t xml:space="preserve"> </w:t>
      </w:r>
      <w:r w:rsidRPr="00887657">
        <w:t>penalty.</w:t>
      </w:r>
    </w:p>
    <w:p w:rsidR="00887657" w:rsidRPr="00887657" w:rsidRDefault="00887657" w:rsidP="00887657">
      <w:pPr>
        <w:pStyle w:val="N2"/>
      </w:pPr>
      <w:r w:rsidRPr="00887657">
        <w:t>Where</w:t>
      </w:r>
      <w:r w:rsidR="003B65CF" w:rsidRPr="003B65CF">
        <w:t xml:space="preserve"> </w:t>
      </w:r>
      <w:r w:rsidRPr="00887657">
        <w:t>an</w:t>
      </w:r>
      <w:r w:rsidR="003B65CF" w:rsidRPr="003B65CF">
        <w:t xml:space="preserve"> </w:t>
      </w:r>
      <w:r w:rsidRPr="00887657">
        <w:t>enforcement</w:t>
      </w:r>
      <w:r w:rsidR="003B65CF" w:rsidRPr="003B65CF">
        <w:t xml:space="preserve"> </w:t>
      </w:r>
      <w:r w:rsidRPr="00887657">
        <w:t>authority</w:t>
      </w:r>
      <w:r w:rsidR="003B65CF" w:rsidRPr="003B65CF">
        <w:t xml:space="preserve"> </w:t>
      </w:r>
      <w:r w:rsidRPr="00887657">
        <w:t>withdraws</w:t>
      </w:r>
      <w:r w:rsidR="003B65CF" w:rsidRPr="003B65CF">
        <w:t xml:space="preserve"> </w:t>
      </w:r>
      <w:r w:rsidRPr="00887657">
        <w:t>a</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it</w:t>
      </w:r>
      <w:r w:rsidR="003B65CF" w:rsidRPr="003B65CF">
        <w:t xml:space="preserve"> </w:t>
      </w:r>
      <w:r w:rsidRPr="00887657">
        <w:t>must</w:t>
      </w:r>
      <w:r w:rsidR="003B65CF" w:rsidRPr="003B65CF">
        <w:t xml:space="preserve"> </w:t>
      </w:r>
      <w:r w:rsidRPr="00887657">
        <w:t>repay</w:t>
      </w:r>
      <w:r w:rsidR="003B65CF" w:rsidRPr="003B65CF">
        <w:t xml:space="preserve"> </w:t>
      </w:r>
      <w:r w:rsidRPr="00887657">
        <w:t>any</w:t>
      </w:r>
      <w:r w:rsidR="003B65CF" w:rsidRPr="003B65CF">
        <w:t xml:space="preserve"> </w:t>
      </w:r>
      <w:r w:rsidRPr="00887657">
        <w:t>penalty</w:t>
      </w:r>
      <w:r w:rsidR="003B65CF" w:rsidRPr="003B65CF">
        <w:t xml:space="preserve"> </w:t>
      </w:r>
      <w:r w:rsidRPr="00887657">
        <w:t>paid</w:t>
      </w:r>
      <w:r w:rsidR="003B65CF" w:rsidRPr="003B65CF">
        <w:t xml:space="preserve"> </w:t>
      </w:r>
      <w:r w:rsidRPr="00887657">
        <w:t>under</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to</w:t>
      </w:r>
      <w:r w:rsidR="003B65CF" w:rsidRPr="003B65CF">
        <w:t xml:space="preserve"> </w:t>
      </w:r>
      <w:r w:rsidRPr="00887657">
        <w:t>the</w:t>
      </w:r>
      <w:r w:rsidR="003B65CF" w:rsidRPr="003B65CF">
        <w:t xml:space="preserve"> </w:t>
      </w:r>
      <w:r w:rsidRPr="00887657">
        <w:t>person</w:t>
      </w:r>
      <w:r w:rsidR="003B65CF" w:rsidRPr="003B65CF">
        <w:t xml:space="preserve"> </w:t>
      </w:r>
      <w:r w:rsidRPr="00887657">
        <w:t>named</w:t>
      </w:r>
      <w:r w:rsidR="003B65CF" w:rsidRPr="003B65CF">
        <w:t xml:space="preserve"> </w:t>
      </w:r>
      <w:r w:rsidRPr="00887657">
        <w:t>in</w:t>
      </w:r>
      <w:r w:rsidR="003B65CF" w:rsidRPr="003B65CF">
        <w:t xml:space="preserve"> </w:t>
      </w:r>
      <w:r w:rsidRPr="00887657">
        <w:t>the</w:t>
      </w:r>
      <w:r w:rsidR="003B65CF" w:rsidRPr="003B65CF">
        <w:t xml:space="preserve"> </w:t>
      </w:r>
      <w:r w:rsidRPr="00887657">
        <w:t>penalty</w:t>
      </w:r>
      <w:r w:rsidR="003B65CF" w:rsidRPr="003B65CF">
        <w:t xml:space="preserve"> </w:t>
      </w:r>
      <w:r w:rsidRPr="00887657">
        <w:t>notice</w:t>
      </w:r>
      <w:r w:rsidR="003B65CF" w:rsidRPr="003B65CF">
        <w:t xml:space="preserve"> </w:t>
      </w:r>
      <w:r w:rsidRPr="00887657">
        <w:t>within</w:t>
      </w:r>
      <w:r w:rsidR="003B65CF" w:rsidRPr="003B65CF">
        <w:t xml:space="preserve"> </w:t>
      </w:r>
      <w:r w:rsidRPr="00887657">
        <w:t>28</w:t>
      </w:r>
      <w:r w:rsidR="003B65CF" w:rsidRPr="003B65CF">
        <w:t xml:space="preserve"> </w:t>
      </w:r>
      <w:r w:rsidRPr="00887657">
        <w:t>days,</w:t>
      </w:r>
      <w:r w:rsidR="003B65CF" w:rsidRPr="003B65CF">
        <w:t xml:space="preserve"> </w:t>
      </w:r>
      <w:r w:rsidRPr="00887657">
        <w:t>beginning</w:t>
      </w:r>
      <w:r w:rsidR="003B65CF" w:rsidRPr="003B65CF">
        <w:t xml:space="preserve"> </w:t>
      </w:r>
      <w:r w:rsidRPr="00887657">
        <w:t>with</w:t>
      </w:r>
      <w:r w:rsidR="003B65CF" w:rsidRPr="003B65CF">
        <w:t xml:space="preserve"> </w:t>
      </w:r>
      <w:r w:rsidRPr="00887657">
        <w:t>the</w:t>
      </w:r>
      <w:r w:rsidR="003B65CF" w:rsidRPr="003B65CF">
        <w:t xml:space="preserve"> </w:t>
      </w:r>
      <w:r w:rsidRPr="00887657">
        <w:t>day</w:t>
      </w:r>
      <w:r w:rsidR="003B65CF" w:rsidRPr="003B65CF">
        <w:t xml:space="preserve"> </w:t>
      </w:r>
      <w:r w:rsidRPr="00887657">
        <w:t>on</w:t>
      </w:r>
      <w:r w:rsidR="003B65CF" w:rsidRPr="003B65CF">
        <w:t xml:space="preserve"> </w:t>
      </w:r>
      <w:r w:rsidRPr="00887657">
        <w:t>which</w:t>
      </w:r>
      <w:r w:rsidR="003B65CF" w:rsidRPr="003B65CF">
        <w:t xml:space="preserve"> </w:t>
      </w:r>
      <w:r w:rsidRPr="00887657">
        <w:t>the</w:t>
      </w:r>
      <w:r w:rsidR="003B65CF" w:rsidRPr="003B65CF">
        <w:t xml:space="preserve"> </w:t>
      </w:r>
      <w:r w:rsidRPr="00887657">
        <w:t>notice</w:t>
      </w:r>
      <w:r w:rsidR="003B65CF" w:rsidRPr="003B65CF">
        <w:t xml:space="preserve"> </w:t>
      </w:r>
      <w:r w:rsidRPr="00887657">
        <w:t>of</w:t>
      </w:r>
      <w:r w:rsidR="003B65CF" w:rsidRPr="003B65CF">
        <w:t xml:space="preserve"> </w:t>
      </w:r>
      <w:r w:rsidRPr="00887657">
        <w:t>the</w:t>
      </w:r>
      <w:r w:rsidR="003B65CF" w:rsidRPr="003B65CF">
        <w:t xml:space="preserve"> </w:t>
      </w:r>
      <w:r w:rsidRPr="00887657">
        <w:t>withdrawal</w:t>
      </w:r>
      <w:r w:rsidR="003B65CF" w:rsidRPr="003B65CF">
        <w:t xml:space="preserve"> </w:t>
      </w:r>
      <w:r>
        <w:t>of</w:t>
      </w:r>
      <w:r w:rsidR="003B65CF" w:rsidRPr="003B65CF">
        <w:t xml:space="preserve"> </w:t>
      </w:r>
      <w:r>
        <w:t>the</w:t>
      </w:r>
      <w:r w:rsidR="003B65CF" w:rsidRPr="003B65CF">
        <w:t xml:space="preserve"> </w:t>
      </w:r>
      <w:r>
        <w:t>penalty</w:t>
      </w:r>
      <w:r w:rsidR="003B65CF" w:rsidRPr="003B65CF">
        <w:t xml:space="preserve"> </w:t>
      </w:r>
      <w:r>
        <w:t>notice</w:t>
      </w:r>
      <w:r w:rsidR="003B65CF" w:rsidRPr="003B65CF">
        <w:t xml:space="preserve"> </w:t>
      </w:r>
      <w:r>
        <w:t>is</w:t>
      </w:r>
      <w:r w:rsidR="003B65CF" w:rsidRPr="003B65CF">
        <w:t xml:space="preserve"> </w:t>
      </w:r>
      <w:r>
        <w:t>given.</w:t>
      </w:r>
    </w:p>
    <w:p w:rsidR="0055504F" w:rsidRDefault="0055504F" w:rsidP="0055504F">
      <w:pPr>
        <w:pStyle w:val="H1"/>
      </w:pPr>
      <w:r w:rsidRPr="0055504F">
        <w:lastRenderedPageBreak/>
        <w:t>Giving</w:t>
      </w:r>
      <w:r w:rsidR="003B65CF" w:rsidRPr="003B65CF">
        <w:t xml:space="preserve"> </w:t>
      </w:r>
      <w:r w:rsidRPr="0055504F">
        <w:t>of</w:t>
      </w:r>
      <w:r w:rsidR="003B65CF" w:rsidRPr="003B65CF">
        <w:t xml:space="preserve"> </w:t>
      </w:r>
      <w:r w:rsidRPr="0055504F">
        <w:t>notices</w:t>
      </w:r>
    </w:p>
    <w:p w:rsidR="003B65CF" w:rsidRDefault="0055504F" w:rsidP="0055504F">
      <w:pPr>
        <w:pStyle w:val="N1"/>
      </w:pPr>
      <w:r>
        <w:t>—</w:t>
      </w:r>
      <w:r>
        <w:fldChar w:fldCharType="begin"/>
      </w:r>
      <w:r>
        <w:instrText xml:space="preserve"> LISTNUM "SEQ1" \l 2 </w:instrText>
      </w:r>
      <w:r>
        <w:fldChar w:fldCharType="end">
          <w:numberingChange w:id="20" w:author="Boyd, Steve" w:date="2021-06-21T19:46:00Z" w:original="(1)"/>
        </w:fldChar>
      </w:r>
      <w:r w:rsidR="003B65CF" w:rsidRPr="003B65CF">
        <w:t> </w:t>
      </w:r>
      <w:r>
        <w:t>Any</w:t>
      </w:r>
      <w:r w:rsidR="003B65CF" w:rsidRPr="003B65CF">
        <w:t xml:space="preserve"> </w:t>
      </w:r>
      <w:r>
        <w:t>notice</w:t>
      </w:r>
      <w:r w:rsidR="003B65CF" w:rsidRPr="003B65CF">
        <w:t xml:space="preserve"> </w:t>
      </w:r>
      <w:r>
        <w:t>required</w:t>
      </w:r>
      <w:r w:rsidR="003B65CF" w:rsidRPr="003B65CF">
        <w:t xml:space="preserve"> </w:t>
      </w:r>
      <w:r>
        <w:t>to</w:t>
      </w:r>
      <w:r w:rsidR="003B65CF" w:rsidRPr="003B65CF">
        <w:t xml:space="preserve"> </w:t>
      </w:r>
      <w:r>
        <w:t>be</w:t>
      </w:r>
      <w:r w:rsidR="003B65CF" w:rsidRPr="003B65CF">
        <w:t xml:space="preserve"> </w:t>
      </w:r>
      <w:r>
        <w:t>given</w:t>
      </w:r>
      <w:r w:rsidR="003B65CF" w:rsidRPr="003B65CF">
        <w:t xml:space="preserve"> </w:t>
      </w:r>
      <w:r>
        <w:t>under</w:t>
      </w:r>
      <w:r w:rsidR="003B65CF" w:rsidRPr="003B65CF">
        <w:t xml:space="preserve"> </w:t>
      </w:r>
      <w:r>
        <w:t>these</w:t>
      </w:r>
      <w:r w:rsidR="003B65CF" w:rsidRPr="003B65CF">
        <w:t xml:space="preserve"> </w:t>
      </w:r>
      <w:r>
        <w:t>Regulations</w:t>
      </w:r>
      <w:r w:rsidR="003B65CF" w:rsidRPr="003B65CF">
        <w:t xml:space="preserve"> </w:t>
      </w:r>
      <w:r>
        <w:t>to</w:t>
      </w:r>
      <w:r w:rsidR="003B65CF" w:rsidRPr="003B65CF">
        <w:t xml:space="preserve"> </w:t>
      </w:r>
      <w:r>
        <w:t>any</w:t>
      </w:r>
      <w:r w:rsidR="003B65CF" w:rsidRPr="003B65CF">
        <w:t xml:space="preserve"> </w:t>
      </w:r>
      <w:r>
        <w:t>person</w:t>
      </w:r>
      <w:r w:rsidR="003B65CF" w:rsidRPr="003B65CF">
        <w:t xml:space="preserve"> </w:t>
      </w:r>
      <w:r>
        <w:t>may</w:t>
      </w:r>
      <w:r w:rsidR="003B65CF" w:rsidRPr="003B65CF">
        <w:t xml:space="preserve"> </w:t>
      </w:r>
      <w:r>
        <w:t>be</w:t>
      </w:r>
      <w:r w:rsidR="003B65CF" w:rsidRPr="003B65CF">
        <w:t xml:space="preserve"> </w:t>
      </w:r>
      <w:r>
        <w:t>given</w:t>
      </w:r>
      <w:r w:rsidR="003B65CF" w:rsidRPr="003B65CF">
        <w:t xml:space="preserve"> </w:t>
      </w:r>
      <w:r>
        <w:t>to</w:t>
      </w:r>
      <w:r w:rsidR="003B65CF" w:rsidRPr="003B65CF">
        <w:t xml:space="preserve"> </w:t>
      </w:r>
      <w:r>
        <w:t>them</w:t>
      </w:r>
      <w:r w:rsidR="003B65CF" w:rsidRPr="003B65CF">
        <w:t xml:space="preserve"> </w:t>
      </w:r>
      <w:r>
        <w:t>by—</w:t>
      </w:r>
    </w:p>
    <w:p w:rsidR="0055504F" w:rsidRDefault="0055504F" w:rsidP="0055504F">
      <w:pPr>
        <w:pStyle w:val="N3"/>
      </w:pPr>
      <w:r>
        <w:t>delivering</w:t>
      </w:r>
      <w:r w:rsidR="003B65CF" w:rsidRPr="003B65CF">
        <w:t xml:space="preserve"> </w:t>
      </w:r>
      <w:r>
        <w:t>it</w:t>
      </w:r>
      <w:r w:rsidR="003B65CF" w:rsidRPr="003B65CF">
        <w:t xml:space="preserve"> </w:t>
      </w:r>
      <w:r>
        <w:t>to</w:t>
      </w:r>
      <w:r w:rsidR="003B65CF" w:rsidRPr="003B65CF">
        <w:t xml:space="preserve"> </w:t>
      </w:r>
      <w:r>
        <w:t>them;</w:t>
      </w:r>
    </w:p>
    <w:p w:rsidR="0055504F" w:rsidRDefault="0055504F" w:rsidP="0055504F">
      <w:pPr>
        <w:pStyle w:val="N3"/>
      </w:pPr>
      <w:r>
        <w:t>leaving</w:t>
      </w:r>
      <w:r w:rsidR="003B65CF" w:rsidRPr="003B65CF">
        <w:t xml:space="preserve"> </w:t>
      </w:r>
      <w:r>
        <w:t>it</w:t>
      </w:r>
      <w:r w:rsidR="003B65CF" w:rsidRPr="003B65CF">
        <w:t xml:space="preserve"> </w:t>
      </w:r>
      <w:r>
        <w:t>at</w:t>
      </w:r>
      <w:r w:rsidR="003B65CF" w:rsidRPr="003B65CF">
        <w:t xml:space="preserve"> </w:t>
      </w:r>
      <w:r>
        <w:t>their</w:t>
      </w:r>
      <w:r w:rsidR="003B65CF" w:rsidRPr="003B65CF">
        <w:t xml:space="preserve"> </w:t>
      </w:r>
      <w:r>
        <w:t>proper</w:t>
      </w:r>
      <w:r w:rsidR="003B65CF" w:rsidRPr="003B65CF">
        <w:t xml:space="preserve"> </w:t>
      </w:r>
      <w:r>
        <w:t>address;</w:t>
      </w:r>
    </w:p>
    <w:p w:rsidR="0055504F" w:rsidRDefault="0055504F" w:rsidP="0055504F">
      <w:pPr>
        <w:pStyle w:val="N3"/>
      </w:pPr>
      <w:r>
        <w:t>sending</w:t>
      </w:r>
      <w:r w:rsidR="003B65CF" w:rsidRPr="003B65CF">
        <w:t xml:space="preserve"> </w:t>
      </w:r>
      <w:r>
        <w:t>it</w:t>
      </w:r>
      <w:r w:rsidR="003B65CF" w:rsidRPr="003B65CF">
        <w:t xml:space="preserve"> </w:t>
      </w:r>
      <w:r>
        <w:t>to</w:t>
      </w:r>
      <w:r w:rsidR="003B65CF" w:rsidRPr="003B65CF">
        <w:t xml:space="preserve"> </w:t>
      </w:r>
      <w:r>
        <w:t>them</w:t>
      </w:r>
      <w:r w:rsidR="003B65CF" w:rsidRPr="003B65CF">
        <w:t xml:space="preserve"> </w:t>
      </w:r>
      <w:r>
        <w:t>by</w:t>
      </w:r>
      <w:r w:rsidR="003B65CF" w:rsidRPr="003B65CF">
        <w:t xml:space="preserve"> </w:t>
      </w:r>
      <w:r>
        <w:t>post</w:t>
      </w:r>
      <w:r w:rsidR="003B65CF" w:rsidRPr="003B65CF">
        <w:t xml:space="preserve"> </w:t>
      </w:r>
      <w:r>
        <w:t>at</w:t>
      </w:r>
      <w:r w:rsidR="003B65CF" w:rsidRPr="003B65CF">
        <w:t xml:space="preserve"> </w:t>
      </w:r>
      <w:r>
        <w:t>that</w:t>
      </w:r>
      <w:r w:rsidR="003B65CF" w:rsidRPr="003B65CF">
        <w:t xml:space="preserve"> </w:t>
      </w:r>
      <w:r>
        <w:t>address.</w:t>
      </w:r>
    </w:p>
    <w:p w:rsidR="003B65CF" w:rsidRDefault="0055504F" w:rsidP="0055504F">
      <w:pPr>
        <w:pStyle w:val="N2"/>
      </w:pPr>
      <w:r>
        <w:t>The</w:t>
      </w:r>
      <w:r w:rsidR="003B65CF" w:rsidRPr="003B65CF">
        <w:t xml:space="preserve"> </w:t>
      </w:r>
      <w:r>
        <w:t>notice</w:t>
      </w:r>
      <w:r w:rsidR="003B65CF" w:rsidRPr="003B65CF">
        <w:t xml:space="preserve"> </w:t>
      </w:r>
      <w:r>
        <w:t>may</w:t>
      </w:r>
      <w:r w:rsidR="003B65CF" w:rsidRPr="003B65CF">
        <w:t xml:space="preserve"> </w:t>
      </w:r>
      <w:r>
        <w:t>be</w:t>
      </w:r>
      <w:r w:rsidR="003B65CF" w:rsidRPr="003B65CF">
        <w:t xml:space="preserve"> </w:t>
      </w:r>
      <w:r>
        <w:t>given</w:t>
      </w:r>
      <w:r w:rsidR="003B65CF" w:rsidRPr="003B65CF">
        <w:t xml:space="preserve"> </w:t>
      </w:r>
      <w:r>
        <w:t>to</w:t>
      </w:r>
      <w:r w:rsidR="003B65CF" w:rsidRPr="003B65CF">
        <w:t xml:space="preserve"> </w:t>
      </w:r>
      <w:r>
        <w:t>a</w:t>
      </w:r>
      <w:r w:rsidR="003B65CF" w:rsidRPr="003B65CF">
        <w:t xml:space="preserve"> </w:t>
      </w:r>
      <w:r>
        <w:t>body</w:t>
      </w:r>
      <w:r w:rsidR="003B65CF" w:rsidRPr="003B65CF">
        <w:t xml:space="preserve"> </w:t>
      </w:r>
      <w:r>
        <w:t>corporate</w:t>
      </w:r>
      <w:r w:rsidR="003B65CF" w:rsidRPr="003B65CF">
        <w:t xml:space="preserve"> </w:t>
      </w:r>
      <w:r>
        <w:t>by</w:t>
      </w:r>
      <w:r w:rsidR="003B65CF" w:rsidRPr="003B65CF">
        <w:t xml:space="preserve"> </w:t>
      </w:r>
      <w:r>
        <w:t>being</w:t>
      </w:r>
      <w:r w:rsidR="003B65CF" w:rsidRPr="003B65CF">
        <w:t xml:space="preserve"> </w:t>
      </w:r>
      <w:r>
        <w:t>given</w:t>
      </w:r>
      <w:r w:rsidR="003B65CF" w:rsidRPr="003B65CF">
        <w:t xml:space="preserve"> </w:t>
      </w:r>
      <w:r>
        <w:t>to</w:t>
      </w:r>
      <w:r w:rsidR="003B65CF" w:rsidRPr="003B65CF">
        <w:t xml:space="preserve"> </w:t>
      </w:r>
      <w:r>
        <w:t>an</w:t>
      </w:r>
      <w:r w:rsidR="003B65CF" w:rsidRPr="003B65CF">
        <w:t xml:space="preserve"> </w:t>
      </w:r>
      <w:r>
        <w:t>officer</w:t>
      </w:r>
      <w:r w:rsidR="003B65CF" w:rsidRPr="003B65CF">
        <w:t xml:space="preserve"> </w:t>
      </w:r>
      <w:r>
        <w:t>of</w:t>
      </w:r>
      <w:r w:rsidR="003B65CF" w:rsidRPr="003B65CF">
        <w:t xml:space="preserve"> </w:t>
      </w:r>
      <w:r>
        <w:t>that</w:t>
      </w:r>
      <w:r w:rsidR="003B65CF" w:rsidRPr="003B65CF">
        <w:t xml:space="preserve"> </w:t>
      </w:r>
      <w:r>
        <w:t>body.</w:t>
      </w:r>
    </w:p>
    <w:p w:rsidR="003B65CF" w:rsidRDefault="0055504F" w:rsidP="0055504F">
      <w:pPr>
        <w:pStyle w:val="N2"/>
      </w:pPr>
      <w:r>
        <w:t>The</w:t>
      </w:r>
      <w:r w:rsidR="003B65CF" w:rsidRPr="003B65CF">
        <w:t xml:space="preserve"> </w:t>
      </w:r>
      <w:r>
        <w:t>notice</w:t>
      </w:r>
      <w:r w:rsidR="003B65CF" w:rsidRPr="003B65CF">
        <w:t xml:space="preserve"> </w:t>
      </w:r>
      <w:r>
        <w:t>may</w:t>
      </w:r>
      <w:r w:rsidR="003B65CF" w:rsidRPr="003B65CF">
        <w:t xml:space="preserve"> </w:t>
      </w:r>
      <w:r>
        <w:t>be</w:t>
      </w:r>
      <w:r w:rsidR="003B65CF" w:rsidRPr="003B65CF">
        <w:t xml:space="preserve"> </w:t>
      </w:r>
      <w:r>
        <w:t>given</w:t>
      </w:r>
      <w:r w:rsidR="003B65CF" w:rsidRPr="003B65CF">
        <w:t xml:space="preserve"> </w:t>
      </w:r>
      <w:r>
        <w:t>to</w:t>
      </w:r>
      <w:r w:rsidR="003B65CF" w:rsidRPr="003B65CF">
        <w:t xml:space="preserve"> </w:t>
      </w:r>
      <w:r>
        <w:t>a</w:t>
      </w:r>
      <w:r w:rsidR="003B65CF" w:rsidRPr="003B65CF">
        <w:t xml:space="preserve"> </w:t>
      </w:r>
      <w:r>
        <w:t>limited</w:t>
      </w:r>
      <w:r w:rsidR="003B65CF" w:rsidRPr="003B65CF">
        <w:t xml:space="preserve"> </w:t>
      </w:r>
      <w:r>
        <w:t>liability</w:t>
      </w:r>
      <w:r w:rsidR="003B65CF" w:rsidRPr="003B65CF">
        <w:t xml:space="preserve"> </w:t>
      </w:r>
      <w:r>
        <w:t>partnership,</w:t>
      </w:r>
      <w:r w:rsidR="003B65CF" w:rsidRPr="003B65CF">
        <w:t xml:space="preserve"> </w:t>
      </w:r>
      <w:r>
        <w:t>Scottish</w:t>
      </w:r>
      <w:r w:rsidR="003B65CF" w:rsidRPr="003B65CF">
        <w:t xml:space="preserve"> </w:t>
      </w:r>
      <w:r>
        <w:t>partnership</w:t>
      </w:r>
      <w:r w:rsidR="003B65CF" w:rsidRPr="003B65CF">
        <w:t xml:space="preserve"> </w:t>
      </w:r>
      <w:r>
        <w:t>or</w:t>
      </w:r>
      <w:r w:rsidR="003B65CF" w:rsidRPr="003B65CF">
        <w:t xml:space="preserve"> </w:t>
      </w:r>
      <w:r>
        <w:t>unincorporated</w:t>
      </w:r>
      <w:r w:rsidR="003B65CF" w:rsidRPr="003B65CF">
        <w:t xml:space="preserve"> </w:t>
      </w:r>
      <w:r>
        <w:t>partnership</w:t>
      </w:r>
      <w:r w:rsidR="003B65CF" w:rsidRPr="003B65CF">
        <w:t xml:space="preserve"> </w:t>
      </w:r>
      <w:r>
        <w:t>by</w:t>
      </w:r>
      <w:r w:rsidR="003B65CF" w:rsidRPr="003B65CF">
        <w:t xml:space="preserve"> </w:t>
      </w:r>
      <w:r>
        <w:t>being</w:t>
      </w:r>
      <w:r w:rsidR="003B65CF" w:rsidRPr="003B65CF">
        <w:t xml:space="preserve"> </w:t>
      </w:r>
      <w:r>
        <w:t>given</w:t>
      </w:r>
      <w:r w:rsidR="003B65CF" w:rsidRPr="003B65CF">
        <w:t xml:space="preserve"> </w:t>
      </w:r>
      <w:r>
        <w:t>to</w:t>
      </w:r>
      <w:r w:rsidR="003B65CF" w:rsidRPr="003B65CF">
        <w:t xml:space="preserve"> </w:t>
      </w:r>
      <w:r>
        <w:t>a</w:t>
      </w:r>
      <w:r w:rsidR="003B65CF" w:rsidRPr="003B65CF">
        <w:t xml:space="preserve"> </w:t>
      </w:r>
      <w:r>
        <w:t>partner</w:t>
      </w:r>
      <w:r w:rsidR="003B65CF" w:rsidRPr="003B65CF">
        <w:t xml:space="preserve"> </w:t>
      </w:r>
      <w:r>
        <w:t>or</w:t>
      </w:r>
      <w:r w:rsidR="003B65CF" w:rsidRPr="003B65CF">
        <w:t xml:space="preserve"> </w:t>
      </w:r>
      <w:r>
        <w:t>a</w:t>
      </w:r>
      <w:r w:rsidR="003B65CF" w:rsidRPr="003B65CF">
        <w:t xml:space="preserve"> </w:t>
      </w:r>
      <w:r>
        <w:t>person</w:t>
      </w:r>
      <w:r w:rsidR="003B65CF" w:rsidRPr="003B65CF">
        <w:t xml:space="preserve"> </w:t>
      </w:r>
      <w:r>
        <w:t>having</w:t>
      </w:r>
      <w:r w:rsidR="003B65CF" w:rsidRPr="003B65CF">
        <w:t xml:space="preserve"> </w:t>
      </w:r>
      <w:r>
        <w:t>control</w:t>
      </w:r>
      <w:r w:rsidR="003B65CF" w:rsidRPr="003B65CF">
        <w:t xml:space="preserve"> </w:t>
      </w:r>
      <w:r>
        <w:t>or</w:t>
      </w:r>
      <w:r w:rsidR="003B65CF" w:rsidRPr="003B65CF">
        <w:t xml:space="preserve"> </w:t>
      </w:r>
      <w:r>
        <w:t>management</w:t>
      </w:r>
      <w:r w:rsidR="003B65CF" w:rsidRPr="003B65CF">
        <w:t xml:space="preserve"> </w:t>
      </w:r>
      <w:r>
        <w:t>of</w:t>
      </w:r>
      <w:r w:rsidR="003B65CF" w:rsidRPr="003B65CF">
        <w:t xml:space="preserve"> </w:t>
      </w:r>
      <w:r>
        <w:t>the</w:t>
      </w:r>
      <w:r w:rsidR="003B65CF" w:rsidRPr="003B65CF">
        <w:t xml:space="preserve"> </w:t>
      </w:r>
      <w:r>
        <w:t>partnership</w:t>
      </w:r>
      <w:r w:rsidR="003B65CF" w:rsidRPr="003B65CF">
        <w:t xml:space="preserve"> </w:t>
      </w:r>
      <w:r>
        <w:t>business.</w:t>
      </w:r>
    </w:p>
    <w:p w:rsidR="003B65CF" w:rsidRDefault="0055504F" w:rsidP="0055504F">
      <w:pPr>
        <w:pStyle w:val="N2"/>
      </w:pPr>
      <w:r>
        <w:t>The</w:t>
      </w:r>
      <w:r w:rsidR="003B65CF" w:rsidRPr="003B65CF">
        <w:t xml:space="preserve"> </w:t>
      </w:r>
      <w:r>
        <w:t>notice</w:t>
      </w:r>
      <w:r w:rsidR="003B65CF" w:rsidRPr="003B65CF">
        <w:t xml:space="preserve"> </w:t>
      </w:r>
      <w:r>
        <w:t>may</w:t>
      </w:r>
      <w:r w:rsidR="003B65CF" w:rsidRPr="003B65CF">
        <w:t xml:space="preserve"> </w:t>
      </w:r>
      <w:r>
        <w:t>be</w:t>
      </w:r>
      <w:r w:rsidR="003B65CF" w:rsidRPr="003B65CF">
        <w:t xml:space="preserve"> </w:t>
      </w:r>
      <w:r>
        <w:t>given</w:t>
      </w:r>
      <w:r w:rsidR="003B65CF" w:rsidRPr="003B65CF">
        <w:t xml:space="preserve"> </w:t>
      </w:r>
      <w:r>
        <w:t>to</w:t>
      </w:r>
      <w:r w:rsidR="003B65CF" w:rsidRPr="003B65CF">
        <w:t xml:space="preserve"> </w:t>
      </w:r>
      <w:r>
        <w:t>any</w:t>
      </w:r>
      <w:r w:rsidR="003B65CF" w:rsidRPr="003B65CF">
        <w:t xml:space="preserve"> </w:t>
      </w:r>
      <w:r>
        <w:t>other</w:t>
      </w:r>
      <w:r w:rsidR="003B65CF" w:rsidRPr="003B65CF">
        <w:t xml:space="preserve"> </w:t>
      </w:r>
      <w:r>
        <w:t>unincorporated</w:t>
      </w:r>
      <w:r w:rsidR="003B65CF" w:rsidRPr="003B65CF">
        <w:t xml:space="preserve"> </w:t>
      </w:r>
      <w:r>
        <w:t>body</w:t>
      </w:r>
      <w:r w:rsidR="003B65CF" w:rsidRPr="003B65CF">
        <w:t xml:space="preserve"> </w:t>
      </w:r>
      <w:r>
        <w:t>by</w:t>
      </w:r>
      <w:r w:rsidR="003B65CF" w:rsidRPr="003B65CF">
        <w:t xml:space="preserve"> </w:t>
      </w:r>
      <w:r>
        <w:t>being</w:t>
      </w:r>
      <w:r w:rsidR="003B65CF" w:rsidRPr="003B65CF">
        <w:t xml:space="preserve"> </w:t>
      </w:r>
      <w:r>
        <w:t>given</w:t>
      </w:r>
      <w:r w:rsidR="003B65CF" w:rsidRPr="003B65CF">
        <w:t xml:space="preserve"> </w:t>
      </w:r>
      <w:r>
        <w:t>to</w:t>
      </w:r>
      <w:r w:rsidR="003B65CF" w:rsidRPr="003B65CF">
        <w:t xml:space="preserve"> </w:t>
      </w:r>
      <w:r>
        <w:t>an</w:t>
      </w:r>
      <w:r w:rsidR="003B65CF" w:rsidRPr="003B65CF">
        <w:t xml:space="preserve"> </w:t>
      </w:r>
      <w:r>
        <w:t>officer</w:t>
      </w:r>
      <w:r w:rsidR="003B65CF" w:rsidRPr="003B65CF">
        <w:t xml:space="preserve"> </w:t>
      </w:r>
      <w:r>
        <w:t>of</w:t>
      </w:r>
      <w:r w:rsidR="003B65CF" w:rsidRPr="003B65CF">
        <w:t xml:space="preserve"> </w:t>
      </w:r>
      <w:r>
        <w:t>that</w:t>
      </w:r>
      <w:r w:rsidR="003B65CF" w:rsidRPr="003B65CF">
        <w:t xml:space="preserve"> </w:t>
      </w:r>
      <w:r>
        <w:t>body.</w:t>
      </w:r>
    </w:p>
    <w:p w:rsidR="003B65CF" w:rsidRDefault="0055504F" w:rsidP="0055504F">
      <w:pPr>
        <w:pStyle w:val="N2"/>
      </w:pPr>
      <w:r>
        <w:t>For</w:t>
      </w:r>
      <w:r w:rsidR="003B65CF" w:rsidRPr="003B65CF">
        <w:t xml:space="preserve"> </w:t>
      </w:r>
      <w:r>
        <w:t>the</w:t>
      </w:r>
      <w:r w:rsidR="003B65CF" w:rsidRPr="003B65CF">
        <w:t xml:space="preserve"> </w:t>
      </w:r>
      <w:r>
        <w:t>purposes</w:t>
      </w:r>
      <w:r w:rsidR="003B65CF" w:rsidRPr="003B65CF">
        <w:t xml:space="preserve"> </w:t>
      </w:r>
      <w:r>
        <w:t>of</w:t>
      </w:r>
      <w:r w:rsidR="003B65CF" w:rsidRPr="003B65CF">
        <w:t xml:space="preserve"> </w:t>
      </w:r>
      <w:r>
        <w:t>this</w:t>
      </w:r>
      <w:r w:rsidR="003B65CF" w:rsidRPr="003B65CF">
        <w:t xml:space="preserve"> </w:t>
      </w:r>
      <w:r>
        <w:t>regulation</w:t>
      </w:r>
      <w:r w:rsidR="003B65CF" w:rsidRPr="003B65CF">
        <w:t xml:space="preserve"> </w:t>
      </w:r>
      <w:r>
        <w:t>and</w:t>
      </w:r>
      <w:r w:rsidR="003B65CF" w:rsidRPr="003B65CF">
        <w:t xml:space="preserve"> </w:t>
      </w:r>
      <w:r w:rsidRPr="00A12E55">
        <w:t>section</w:t>
      </w:r>
      <w:r w:rsidR="003B65CF" w:rsidRPr="003B65CF">
        <w:t xml:space="preserve"> </w:t>
      </w:r>
      <w:r w:rsidR="00A12E55" w:rsidRPr="00A12E55">
        <w:t>24</w:t>
      </w:r>
      <w:r w:rsidR="003B65CF" w:rsidRPr="003B65CF">
        <w:t xml:space="preserve"> </w:t>
      </w:r>
      <w:r w:rsidR="00A12E55" w:rsidRPr="00A12E55">
        <w:t>of</w:t>
      </w:r>
      <w:r w:rsidR="003B65CF" w:rsidRPr="003B65CF">
        <w:t xml:space="preserve"> </w:t>
      </w:r>
      <w:r w:rsidR="00A12E55" w:rsidRPr="00A12E55">
        <w:t>the</w:t>
      </w:r>
      <w:r w:rsidR="003B65CF" w:rsidRPr="003B65CF">
        <w:t xml:space="preserve"> </w:t>
      </w:r>
      <w:r w:rsidR="00A12E55" w:rsidRPr="00A12E55">
        <w:t>Interpretation</w:t>
      </w:r>
      <w:r w:rsidR="003B65CF" w:rsidRPr="003B65CF">
        <w:t xml:space="preserve"> </w:t>
      </w:r>
      <w:r w:rsidR="00A12E55" w:rsidRPr="00A12E55">
        <w:t>Act</w:t>
      </w:r>
      <w:r w:rsidR="003B65CF" w:rsidRPr="003B65CF">
        <w:t xml:space="preserve"> </w:t>
      </w:r>
      <w:r w:rsidR="00A12E55">
        <w:t>(Northern</w:t>
      </w:r>
      <w:r w:rsidR="003B65CF" w:rsidRPr="003B65CF">
        <w:t xml:space="preserve"> </w:t>
      </w:r>
      <w:r w:rsidR="00A12E55">
        <w:t>Ireland)</w:t>
      </w:r>
      <w:r w:rsidR="003B65CF" w:rsidRPr="003B65CF">
        <w:t xml:space="preserve"> </w:t>
      </w:r>
      <w:r w:rsidR="00A12E55" w:rsidRPr="00A12E55">
        <w:t>1954</w:t>
      </w:r>
      <w:r w:rsidR="003B65CF" w:rsidRPr="003B65CF">
        <w:t xml:space="preserve"> </w:t>
      </w:r>
      <w:r w:rsidRPr="00A12E55">
        <w:t>(service</w:t>
      </w:r>
      <w:r w:rsidR="003B65CF" w:rsidRPr="003B65CF">
        <w:t xml:space="preserve"> </w:t>
      </w:r>
      <w:r w:rsidRPr="00A12E55">
        <w:t>of</w:t>
      </w:r>
      <w:r w:rsidR="003B65CF" w:rsidRPr="003B65CF">
        <w:t xml:space="preserve"> </w:t>
      </w:r>
      <w:r w:rsidRPr="00A12E55">
        <w:t>documents)</w:t>
      </w:r>
      <w:r w:rsidR="003B65CF" w:rsidRPr="003B65CF">
        <w:t xml:space="preserve"> </w:t>
      </w:r>
      <w:r>
        <w:t>in</w:t>
      </w:r>
      <w:r w:rsidR="003B65CF" w:rsidRPr="003B65CF">
        <w:t xml:space="preserve"> </w:t>
      </w:r>
      <w:r>
        <w:t>its</w:t>
      </w:r>
      <w:r w:rsidR="003B65CF" w:rsidRPr="003B65CF">
        <w:t xml:space="preserve"> </w:t>
      </w:r>
      <w:r>
        <w:t>application</w:t>
      </w:r>
      <w:r w:rsidR="003B65CF" w:rsidRPr="003B65CF">
        <w:t xml:space="preserve"> </w:t>
      </w:r>
      <w:r>
        <w:t>to</w:t>
      </w:r>
      <w:r w:rsidR="003B65CF" w:rsidRPr="003B65CF">
        <w:t xml:space="preserve"> </w:t>
      </w:r>
      <w:r>
        <w:t>this</w:t>
      </w:r>
      <w:r w:rsidR="003B65CF" w:rsidRPr="003B65CF">
        <w:t xml:space="preserve"> </w:t>
      </w:r>
      <w:r>
        <w:t>regulation,</w:t>
      </w:r>
      <w:r w:rsidR="003B65CF" w:rsidRPr="003B65CF">
        <w:t xml:space="preserve"> </w:t>
      </w:r>
      <w:r>
        <w:t>the</w:t>
      </w:r>
      <w:r w:rsidR="003B65CF" w:rsidRPr="003B65CF">
        <w:t xml:space="preserve"> </w:t>
      </w:r>
      <w:r>
        <w:t>proper</w:t>
      </w:r>
      <w:r w:rsidR="003B65CF" w:rsidRPr="003B65CF">
        <w:t xml:space="preserve"> </w:t>
      </w:r>
      <w:r>
        <w:t>address</w:t>
      </w:r>
      <w:r w:rsidR="003B65CF" w:rsidRPr="003B65CF">
        <w:t xml:space="preserve"> </w:t>
      </w:r>
      <w:r>
        <w:t>of</w:t>
      </w:r>
      <w:r w:rsidR="003B65CF" w:rsidRPr="003B65CF">
        <w:t xml:space="preserve"> </w:t>
      </w:r>
      <w:r>
        <w:t>any</w:t>
      </w:r>
      <w:r w:rsidR="003B65CF" w:rsidRPr="003B65CF">
        <w:t xml:space="preserve"> </w:t>
      </w:r>
      <w:r>
        <w:t>person</w:t>
      </w:r>
      <w:r w:rsidR="003B65CF" w:rsidRPr="003B65CF">
        <w:t xml:space="preserve"> </w:t>
      </w:r>
      <w:r>
        <w:t>to</w:t>
      </w:r>
      <w:r w:rsidR="003B65CF" w:rsidRPr="003B65CF">
        <w:t xml:space="preserve"> </w:t>
      </w:r>
      <w:r>
        <w:t>whom</w:t>
      </w:r>
      <w:r w:rsidR="003B65CF" w:rsidRPr="003B65CF">
        <w:t xml:space="preserve"> </w:t>
      </w:r>
      <w:r>
        <w:t>a</w:t>
      </w:r>
      <w:r w:rsidR="003B65CF" w:rsidRPr="003B65CF">
        <w:t xml:space="preserve"> </w:t>
      </w:r>
      <w:r>
        <w:t>notice</w:t>
      </w:r>
      <w:r w:rsidR="003B65CF" w:rsidRPr="003B65CF">
        <w:t xml:space="preserve"> </w:t>
      </w:r>
      <w:r>
        <w:t>is</w:t>
      </w:r>
      <w:r w:rsidR="003B65CF" w:rsidRPr="003B65CF">
        <w:t xml:space="preserve"> </w:t>
      </w:r>
      <w:r>
        <w:t>to</w:t>
      </w:r>
      <w:r w:rsidR="003B65CF" w:rsidRPr="003B65CF">
        <w:t xml:space="preserve"> </w:t>
      </w:r>
      <w:r>
        <w:t>be</w:t>
      </w:r>
      <w:r w:rsidR="003B65CF" w:rsidRPr="003B65CF">
        <w:t xml:space="preserve"> </w:t>
      </w:r>
      <w:r>
        <w:t>given</w:t>
      </w:r>
      <w:r w:rsidR="003B65CF" w:rsidRPr="003B65CF">
        <w:t xml:space="preserve"> </w:t>
      </w:r>
      <w:r>
        <w:t>is—</w:t>
      </w:r>
    </w:p>
    <w:p w:rsidR="0055504F" w:rsidRDefault="0055504F" w:rsidP="0055504F">
      <w:pPr>
        <w:pStyle w:val="N3"/>
      </w:pP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w:t>
      </w:r>
      <w:r w:rsidR="003B65CF" w:rsidRPr="003B65CF">
        <w:t xml:space="preserve"> </w:t>
      </w:r>
      <w:r>
        <w:t>body</w:t>
      </w:r>
      <w:r w:rsidR="003B65CF" w:rsidRPr="003B65CF">
        <w:t xml:space="preserve"> </w:t>
      </w:r>
      <w:r>
        <w:t>corporate,</w:t>
      </w:r>
      <w:r w:rsidR="003B65CF" w:rsidRPr="003B65CF">
        <w:t xml:space="preserve"> </w:t>
      </w:r>
      <w:r>
        <w:t>the</w:t>
      </w:r>
      <w:r w:rsidR="003B65CF" w:rsidRPr="003B65CF">
        <w:t xml:space="preserve"> </w:t>
      </w:r>
      <w:r>
        <w:t>address</w:t>
      </w:r>
      <w:r w:rsidR="003B65CF" w:rsidRPr="003B65CF">
        <w:t xml:space="preserve"> </w:t>
      </w:r>
      <w:r>
        <w:t>of</w:t>
      </w:r>
      <w:r w:rsidR="003B65CF" w:rsidRPr="003B65CF">
        <w:t xml:space="preserve"> </w:t>
      </w:r>
      <w:r>
        <w:t>the</w:t>
      </w:r>
      <w:r w:rsidR="003B65CF" w:rsidRPr="003B65CF">
        <w:t xml:space="preserve"> </w:t>
      </w:r>
      <w:r>
        <w:t>registered</w:t>
      </w:r>
      <w:r w:rsidR="003B65CF" w:rsidRPr="003B65CF">
        <w:t xml:space="preserve"> </w:t>
      </w:r>
      <w:r>
        <w:t>or</w:t>
      </w:r>
      <w:r w:rsidR="003B65CF" w:rsidRPr="003B65CF">
        <w:t xml:space="preserve"> </w:t>
      </w:r>
      <w:r>
        <w:t>principal</w:t>
      </w:r>
      <w:r w:rsidR="003B65CF" w:rsidRPr="003B65CF">
        <w:t xml:space="preserve"> </w:t>
      </w:r>
      <w:r>
        <w:t>office</w:t>
      </w:r>
      <w:r w:rsidR="003B65CF" w:rsidRPr="003B65CF">
        <w:t xml:space="preserve"> </w:t>
      </w:r>
      <w:r>
        <w:t>of</w:t>
      </w:r>
      <w:r w:rsidR="003B65CF" w:rsidRPr="003B65CF">
        <w:t xml:space="preserve"> </w:t>
      </w:r>
      <w:r>
        <w:t>the</w:t>
      </w:r>
      <w:r w:rsidR="003B65CF" w:rsidRPr="003B65CF">
        <w:t xml:space="preserve"> </w:t>
      </w:r>
      <w:r>
        <w:t>body;</w:t>
      </w:r>
    </w:p>
    <w:p w:rsidR="0055504F" w:rsidRDefault="0055504F" w:rsidP="0055504F">
      <w:pPr>
        <w:pStyle w:val="N3"/>
      </w:pP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w:t>
      </w:r>
      <w:r w:rsidR="003B65CF" w:rsidRPr="003B65CF">
        <w:t xml:space="preserve"> </w:t>
      </w:r>
      <w:r>
        <w:t>limited</w:t>
      </w:r>
      <w:r w:rsidR="003B65CF" w:rsidRPr="003B65CF">
        <w:t xml:space="preserve"> </w:t>
      </w:r>
      <w:r>
        <w:t>liability</w:t>
      </w:r>
      <w:r w:rsidR="003B65CF" w:rsidRPr="003B65CF">
        <w:t xml:space="preserve"> </w:t>
      </w:r>
      <w:r>
        <w:t>partnership</w:t>
      </w:r>
      <w:r w:rsidR="003B65CF" w:rsidRPr="003B65CF">
        <w:t xml:space="preserve"> </w:t>
      </w:r>
      <w:r>
        <w:t>or</w:t>
      </w:r>
      <w:r w:rsidR="003B65CF" w:rsidRPr="003B65CF">
        <w:t xml:space="preserve"> </w:t>
      </w:r>
      <w:r>
        <w:t>a</w:t>
      </w:r>
      <w:r w:rsidR="003B65CF" w:rsidRPr="003B65CF">
        <w:t xml:space="preserve"> </w:t>
      </w:r>
      <w:r>
        <w:t>Scottish</w:t>
      </w:r>
      <w:r w:rsidR="003B65CF" w:rsidRPr="003B65CF">
        <w:t xml:space="preserve"> </w:t>
      </w:r>
      <w:r>
        <w:t>partnership,</w:t>
      </w:r>
      <w:r w:rsidR="003B65CF" w:rsidRPr="003B65CF">
        <w:t xml:space="preserve"> </w:t>
      </w:r>
      <w:r>
        <w:t>the</w:t>
      </w:r>
      <w:r w:rsidR="003B65CF" w:rsidRPr="003B65CF">
        <w:t xml:space="preserve"> </w:t>
      </w:r>
      <w:r>
        <w:t>address</w:t>
      </w:r>
      <w:r w:rsidR="003B65CF" w:rsidRPr="003B65CF">
        <w:t xml:space="preserve"> </w:t>
      </w:r>
      <w:r>
        <w:t>of</w:t>
      </w:r>
      <w:r w:rsidR="003B65CF" w:rsidRPr="003B65CF">
        <w:t xml:space="preserve"> </w:t>
      </w:r>
      <w:r>
        <w:t>the</w:t>
      </w:r>
      <w:r w:rsidR="003B65CF" w:rsidRPr="003B65CF">
        <w:t xml:space="preserve"> </w:t>
      </w:r>
      <w:r>
        <w:t>registered</w:t>
      </w:r>
      <w:r w:rsidR="003B65CF" w:rsidRPr="003B65CF">
        <w:t xml:space="preserve"> </w:t>
      </w:r>
      <w:r>
        <w:t>or</w:t>
      </w:r>
      <w:r w:rsidR="003B65CF" w:rsidRPr="003B65CF">
        <w:t xml:space="preserve"> </w:t>
      </w:r>
      <w:r>
        <w:t>principal</w:t>
      </w:r>
      <w:r w:rsidR="003B65CF" w:rsidRPr="003B65CF">
        <w:t xml:space="preserve"> </w:t>
      </w:r>
      <w:r>
        <w:t>office</w:t>
      </w:r>
      <w:r w:rsidR="003B65CF" w:rsidRPr="003B65CF">
        <w:t xml:space="preserve"> </w:t>
      </w:r>
      <w:r>
        <w:t>of</w:t>
      </w:r>
      <w:r w:rsidR="003B65CF" w:rsidRPr="003B65CF">
        <w:t xml:space="preserve"> </w:t>
      </w:r>
      <w:r>
        <w:t>the</w:t>
      </w:r>
      <w:r w:rsidR="003B65CF" w:rsidRPr="003B65CF">
        <w:t xml:space="preserve"> </w:t>
      </w:r>
      <w:r>
        <w:t>partnership;</w:t>
      </w:r>
    </w:p>
    <w:p w:rsidR="0055504F" w:rsidRDefault="0055504F" w:rsidP="0055504F">
      <w:pPr>
        <w:pStyle w:val="N3"/>
      </w:pP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an</w:t>
      </w:r>
      <w:r w:rsidR="003B65CF" w:rsidRPr="003B65CF">
        <w:t xml:space="preserve"> </w:t>
      </w:r>
      <w:r>
        <w:t>unincorporated</w:t>
      </w:r>
      <w:r w:rsidR="003B65CF" w:rsidRPr="003B65CF">
        <w:t xml:space="preserve"> </w:t>
      </w:r>
      <w:r>
        <w:t>partnership</w:t>
      </w:r>
      <w:r w:rsidR="003B65CF" w:rsidRPr="003B65CF">
        <w:t xml:space="preserve"> </w:t>
      </w:r>
      <w:r>
        <w:t>or</w:t>
      </w:r>
      <w:r w:rsidR="003B65CF" w:rsidRPr="003B65CF">
        <w:t xml:space="preserve"> </w:t>
      </w:r>
      <w:r>
        <w:t>any</w:t>
      </w:r>
      <w:r w:rsidR="003B65CF" w:rsidRPr="003B65CF">
        <w:t xml:space="preserve"> </w:t>
      </w:r>
      <w:r>
        <w:t>other</w:t>
      </w:r>
      <w:r w:rsidR="003B65CF" w:rsidRPr="003B65CF">
        <w:t xml:space="preserve"> </w:t>
      </w:r>
      <w:r>
        <w:t>unincorporated</w:t>
      </w:r>
      <w:r w:rsidR="003B65CF" w:rsidRPr="003B65CF">
        <w:t xml:space="preserve"> </w:t>
      </w:r>
      <w:r>
        <w:t>body,</w:t>
      </w:r>
      <w:r w:rsidR="003B65CF" w:rsidRPr="003B65CF">
        <w:t xml:space="preserve"> </w:t>
      </w:r>
      <w:r>
        <w:t>the</w:t>
      </w:r>
      <w:r w:rsidR="003B65CF" w:rsidRPr="003B65CF">
        <w:t xml:space="preserve"> </w:t>
      </w:r>
      <w:r>
        <w:t>address</w:t>
      </w:r>
      <w:r w:rsidR="003B65CF" w:rsidRPr="003B65CF">
        <w:t xml:space="preserve"> </w:t>
      </w:r>
      <w:r>
        <w:t>of</w:t>
      </w:r>
      <w:r w:rsidR="003B65CF" w:rsidRPr="003B65CF">
        <w:t xml:space="preserve"> </w:t>
      </w:r>
      <w:r>
        <w:t>the</w:t>
      </w:r>
      <w:r w:rsidR="003B65CF" w:rsidRPr="003B65CF">
        <w:t xml:space="preserve"> </w:t>
      </w:r>
      <w:r>
        <w:t>principal</w:t>
      </w:r>
      <w:r w:rsidR="003B65CF" w:rsidRPr="003B65CF">
        <w:t xml:space="preserve"> </w:t>
      </w:r>
      <w:r>
        <w:t>office</w:t>
      </w:r>
      <w:r w:rsidR="003B65CF" w:rsidRPr="003B65CF">
        <w:t xml:space="preserve"> </w:t>
      </w:r>
      <w:r>
        <w:t>of</w:t>
      </w:r>
      <w:r w:rsidR="003B65CF" w:rsidRPr="003B65CF">
        <w:t xml:space="preserve"> </w:t>
      </w:r>
      <w:r>
        <w:t>the</w:t>
      </w:r>
      <w:r w:rsidR="003B65CF" w:rsidRPr="003B65CF">
        <w:t xml:space="preserve"> </w:t>
      </w:r>
      <w:r>
        <w:t>partnership</w:t>
      </w:r>
      <w:r w:rsidR="003B65CF" w:rsidRPr="003B65CF">
        <w:t xml:space="preserve"> </w:t>
      </w:r>
      <w:r>
        <w:t>or</w:t>
      </w:r>
      <w:r w:rsidR="003B65CF" w:rsidRPr="003B65CF">
        <w:t xml:space="preserve"> </w:t>
      </w:r>
      <w:r>
        <w:t>body;</w:t>
      </w:r>
    </w:p>
    <w:p w:rsidR="0055504F" w:rsidRDefault="0055504F" w:rsidP="0055504F">
      <w:pPr>
        <w:pStyle w:val="N3"/>
      </w:pPr>
      <w:r>
        <w:t>in</w:t>
      </w:r>
      <w:r w:rsidR="003B65CF" w:rsidRPr="003B65CF">
        <w:t xml:space="preserve"> </w:t>
      </w:r>
      <w:r>
        <w:t>the</w:t>
      </w:r>
      <w:r w:rsidR="003B65CF" w:rsidRPr="003B65CF">
        <w:t xml:space="preserve"> </w:t>
      </w:r>
      <w:r>
        <w:t>case</w:t>
      </w:r>
      <w:r w:rsidR="003B65CF" w:rsidRPr="003B65CF">
        <w:t xml:space="preserve"> </w:t>
      </w:r>
      <w:r>
        <w:t>of</w:t>
      </w:r>
      <w:r w:rsidR="003B65CF" w:rsidRPr="003B65CF">
        <w:t xml:space="preserve"> </w:t>
      </w:r>
      <w:r>
        <w:t>a</w:t>
      </w:r>
      <w:r w:rsidR="003B65CF" w:rsidRPr="003B65CF">
        <w:t xml:space="preserve"> </w:t>
      </w:r>
      <w:r>
        <w:t>person</w:t>
      </w:r>
      <w:r w:rsidR="003B65CF" w:rsidRPr="003B65CF">
        <w:t xml:space="preserve"> </w:t>
      </w:r>
      <w:r>
        <w:t>to</w:t>
      </w:r>
      <w:r w:rsidR="003B65CF" w:rsidRPr="003B65CF">
        <w:t xml:space="preserve"> </w:t>
      </w:r>
      <w:r>
        <w:t>whom</w:t>
      </w:r>
      <w:r w:rsidR="003B65CF" w:rsidRPr="003B65CF">
        <w:t xml:space="preserve"> </w:t>
      </w:r>
      <w:r>
        <w:t>the</w:t>
      </w:r>
      <w:r w:rsidR="003B65CF" w:rsidRPr="003B65CF">
        <w:t xml:space="preserve"> </w:t>
      </w:r>
      <w:r>
        <w:t>notice</w:t>
      </w:r>
      <w:r w:rsidR="003B65CF" w:rsidRPr="003B65CF">
        <w:t xml:space="preserve"> </w:t>
      </w:r>
      <w:r>
        <w:t>is</w:t>
      </w:r>
      <w:r w:rsidR="003B65CF" w:rsidRPr="003B65CF">
        <w:t xml:space="preserve"> </w:t>
      </w:r>
      <w:r>
        <w:t>given</w:t>
      </w:r>
      <w:r w:rsidR="003B65CF" w:rsidRPr="003B65CF">
        <w:t xml:space="preserve"> </w:t>
      </w:r>
      <w:r>
        <w:t>in</w:t>
      </w:r>
      <w:r w:rsidR="003B65CF" w:rsidRPr="003B65CF">
        <w:t xml:space="preserve"> </w:t>
      </w:r>
      <w:r>
        <w:t>reliance</w:t>
      </w:r>
      <w:r w:rsidR="003B65CF" w:rsidRPr="003B65CF">
        <w:t xml:space="preserve"> </w:t>
      </w:r>
      <w:r>
        <w:t>of</w:t>
      </w:r>
      <w:r w:rsidR="003B65CF" w:rsidRPr="003B65CF">
        <w:t xml:space="preserve"> </w:t>
      </w:r>
      <w:r>
        <w:t>any</w:t>
      </w:r>
      <w:r w:rsidR="003B65CF" w:rsidRPr="003B65CF">
        <w:t xml:space="preserve"> </w:t>
      </w:r>
      <w:r>
        <w:t>of</w:t>
      </w:r>
      <w:r w:rsidR="003B65CF" w:rsidRPr="003B65CF">
        <w:t xml:space="preserve"> </w:t>
      </w:r>
      <w:r>
        <w:t>paragraph</w:t>
      </w:r>
      <w:r w:rsidR="003B65CF" w:rsidRPr="003B65CF">
        <w:t xml:space="preserve"> </w:t>
      </w:r>
      <w:r>
        <w:t>(2),</w:t>
      </w:r>
      <w:r w:rsidR="003B65CF" w:rsidRPr="003B65CF">
        <w:t xml:space="preserve"> </w:t>
      </w:r>
      <w:r>
        <w:t>(3)</w:t>
      </w:r>
      <w:r w:rsidR="003B65CF" w:rsidRPr="003B65CF">
        <w:t xml:space="preserve"> </w:t>
      </w:r>
      <w:r>
        <w:t>or</w:t>
      </w:r>
      <w:r w:rsidR="003B65CF" w:rsidRPr="003B65CF">
        <w:t xml:space="preserve"> </w:t>
      </w:r>
      <w:r>
        <w:t>(4),</w:t>
      </w:r>
      <w:r w:rsidR="003B65CF" w:rsidRPr="003B65CF">
        <w:t xml:space="preserve"> </w:t>
      </w:r>
      <w:r>
        <w:t>the</w:t>
      </w:r>
      <w:r w:rsidR="003B65CF" w:rsidRPr="003B65CF">
        <w:t xml:space="preserve"> </w:t>
      </w:r>
      <w:r>
        <w:t>proper</w:t>
      </w:r>
      <w:r w:rsidR="003B65CF" w:rsidRPr="003B65CF">
        <w:t xml:space="preserve"> </w:t>
      </w:r>
      <w:r>
        <w:t>address</w:t>
      </w:r>
      <w:r w:rsidR="003B65CF" w:rsidRPr="003B65CF">
        <w:t xml:space="preserve"> </w:t>
      </w:r>
      <w:r>
        <w:t>of</w:t>
      </w:r>
      <w:r w:rsidR="003B65CF" w:rsidRPr="003B65CF">
        <w:t xml:space="preserve"> </w:t>
      </w:r>
      <w:r>
        <w:t>the</w:t>
      </w:r>
      <w:r w:rsidR="003B65CF" w:rsidRPr="003B65CF">
        <w:t xml:space="preserve"> </w:t>
      </w:r>
      <w:r>
        <w:t>body</w:t>
      </w:r>
      <w:r w:rsidR="003B65CF" w:rsidRPr="003B65CF">
        <w:t xml:space="preserve"> </w:t>
      </w:r>
      <w:r>
        <w:t>corporate,</w:t>
      </w:r>
      <w:r w:rsidR="003B65CF" w:rsidRPr="003B65CF">
        <w:t xml:space="preserve"> </w:t>
      </w:r>
      <w:r>
        <w:t>partnership</w:t>
      </w:r>
      <w:r w:rsidR="003B65CF" w:rsidRPr="003B65CF">
        <w:t xml:space="preserve"> </w:t>
      </w:r>
      <w:r>
        <w:t>or</w:t>
      </w:r>
      <w:r w:rsidR="003B65CF" w:rsidRPr="003B65CF">
        <w:t xml:space="preserve"> </w:t>
      </w:r>
      <w:r>
        <w:t>other</w:t>
      </w:r>
      <w:r w:rsidR="003B65CF" w:rsidRPr="003B65CF">
        <w:t xml:space="preserve"> </w:t>
      </w:r>
      <w:r>
        <w:t>unincorporated</w:t>
      </w:r>
      <w:r w:rsidR="003B65CF" w:rsidRPr="003B65CF">
        <w:t xml:space="preserve"> </w:t>
      </w:r>
      <w:r>
        <w:t>body</w:t>
      </w:r>
      <w:r w:rsidR="003B65CF" w:rsidRPr="003B65CF">
        <w:t xml:space="preserve"> </w:t>
      </w:r>
      <w:r>
        <w:t>in</w:t>
      </w:r>
      <w:r w:rsidR="003B65CF" w:rsidRPr="003B65CF">
        <w:t xml:space="preserve"> </w:t>
      </w:r>
      <w:r>
        <w:t>question;</w:t>
      </w:r>
    </w:p>
    <w:p w:rsidR="0055504F" w:rsidRDefault="0055504F" w:rsidP="0055504F">
      <w:pPr>
        <w:pStyle w:val="N3"/>
      </w:pPr>
      <w:r>
        <w:t>in</w:t>
      </w:r>
      <w:r w:rsidR="003B65CF" w:rsidRPr="003B65CF">
        <w:t xml:space="preserve"> </w:t>
      </w:r>
      <w:r>
        <w:t>any</w:t>
      </w:r>
      <w:r w:rsidR="003B65CF" w:rsidRPr="003B65CF">
        <w:t xml:space="preserve"> </w:t>
      </w:r>
      <w:r>
        <w:t>other</w:t>
      </w:r>
      <w:r w:rsidR="003B65CF" w:rsidRPr="003B65CF">
        <w:t xml:space="preserve"> </w:t>
      </w:r>
      <w:r>
        <w:t>case,</w:t>
      </w:r>
      <w:r w:rsidR="003B65CF" w:rsidRPr="003B65CF">
        <w:t xml:space="preserve"> </w:t>
      </w:r>
      <w:r>
        <w:t>the</w:t>
      </w:r>
      <w:r w:rsidR="003B65CF" w:rsidRPr="003B65CF">
        <w:t xml:space="preserve"> </w:t>
      </w:r>
      <w:r>
        <w:t>last</w:t>
      </w:r>
      <w:r w:rsidR="003B65CF" w:rsidRPr="003B65CF">
        <w:t xml:space="preserve"> </w:t>
      </w:r>
      <w:r>
        <w:t>known</w:t>
      </w:r>
      <w:r w:rsidR="003B65CF" w:rsidRPr="003B65CF">
        <w:t xml:space="preserve"> </w:t>
      </w:r>
      <w:r>
        <w:t>address</w:t>
      </w:r>
      <w:r w:rsidR="003B65CF" w:rsidRPr="003B65CF">
        <w:t xml:space="preserve"> </w:t>
      </w:r>
      <w:r>
        <w:t>of</w:t>
      </w:r>
      <w:r w:rsidR="003B65CF" w:rsidRPr="003B65CF">
        <w:t xml:space="preserve"> </w:t>
      </w:r>
      <w:r>
        <w:t>the</w:t>
      </w:r>
      <w:r w:rsidR="003B65CF" w:rsidRPr="003B65CF">
        <w:t xml:space="preserve"> </w:t>
      </w:r>
      <w:r>
        <w:t>person</w:t>
      </w:r>
      <w:r w:rsidR="003B65CF" w:rsidRPr="003B65CF">
        <w:t xml:space="preserve"> </w:t>
      </w:r>
      <w:r>
        <w:t>in</w:t>
      </w:r>
      <w:r w:rsidR="003B65CF" w:rsidRPr="003B65CF">
        <w:t xml:space="preserve"> </w:t>
      </w:r>
      <w:r>
        <w:t>question.</w:t>
      </w:r>
    </w:p>
    <w:p w:rsidR="003B65CF" w:rsidRDefault="0055504F" w:rsidP="0055504F">
      <w:pPr>
        <w:pStyle w:val="N2"/>
      </w:pPr>
      <w:r>
        <w:t>For</w:t>
      </w:r>
      <w:r w:rsidR="003B65CF" w:rsidRPr="003B65CF">
        <w:t xml:space="preserve"> </w:t>
      </w:r>
      <w:r>
        <w:t>the</w:t>
      </w:r>
      <w:r w:rsidR="003B65CF" w:rsidRPr="003B65CF">
        <w:t xml:space="preserve"> </w:t>
      </w:r>
      <w:r>
        <w:t>purposes</w:t>
      </w:r>
      <w:r w:rsidR="003B65CF" w:rsidRPr="003B65CF">
        <w:t xml:space="preserve"> </w:t>
      </w:r>
      <w:r>
        <w:t>of</w:t>
      </w:r>
      <w:r w:rsidR="003B65CF" w:rsidRPr="003B65CF">
        <w:t xml:space="preserve"> </w:t>
      </w:r>
      <w:r>
        <w:t>paragraph</w:t>
      </w:r>
      <w:r w:rsidR="003B65CF" w:rsidRPr="003B65CF">
        <w:t xml:space="preserve"> </w:t>
      </w:r>
      <w:r>
        <w:t>(5)</w:t>
      </w:r>
      <w:r w:rsidR="003B65CF" w:rsidRPr="003B65CF">
        <w:t xml:space="preserve"> </w:t>
      </w:r>
      <w:r>
        <w:t>the</w:t>
      </w:r>
      <w:r w:rsidR="003B65CF" w:rsidRPr="003B65CF">
        <w:t xml:space="preserve"> </w:t>
      </w:r>
      <w:r>
        <w:t>references</w:t>
      </w:r>
      <w:r w:rsidR="003B65CF" w:rsidRPr="003B65CF">
        <w:t xml:space="preserve"> </w:t>
      </w:r>
      <w:r>
        <w:t>to</w:t>
      </w:r>
      <w:r w:rsidR="003B65CF" w:rsidRPr="003B65CF">
        <w:t xml:space="preserve"> </w:t>
      </w:r>
      <w:r>
        <w:t>“the</w:t>
      </w:r>
      <w:r w:rsidR="003B65CF" w:rsidRPr="003B65CF">
        <w:t xml:space="preserve"> </w:t>
      </w:r>
      <w:r>
        <w:t>principal</w:t>
      </w:r>
      <w:r w:rsidR="003B65CF" w:rsidRPr="003B65CF">
        <w:t xml:space="preserve"> </w:t>
      </w:r>
      <w:r>
        <w:t>office”</w:t>
      </w:r>
      <w:r w:rsidR="003B65CF" w:rsidRPr="003B65CF">
        <w:t xml:space="preserve"> </w:t>
      </w:r>
      <w:r>
        <w:t>in</w:t>
      </w:r>
      <w:r w:rsidR="003B65CF" w:rsidRPr="003B65CF">
        <w:t xml:space="preserve"> </w:t>
      </w:r>
      <w:r>
        <w:t>relation</w:t>
      </w:r>
      <w:r w:rsidR="003B65CF" w:rsidRPr="003B65CF">
        <w:t xml:space="preserve"> </w:t>
      </w:r>
      <w:r>
        <w:t>to</w:t>
      </w:r>
      <w:r w:rsidR="003B65CF" w:rsidRPr="003B65CF">
        <w:t xml:space="preserve"> </w:t>
      </w:r>
      <w:r>
        <w:t>a</w:t>
      </w:r>
      <w:r w:rsidR="003B65CF" w:rsidRPr="003B65CF">
        <w:t xml:space="preserve"> </w:t>
      </w:r>
      <w:r>
        <w:t>company</w:t>
      </w:r>
      <w:r w:rsidR="003B65CF" w:rsidRPr="003B65CF">
        <w:t xml:space="preserve"> </w:t>
      </w:r>
      <w:r>
        <w:t>which</w:t>
      </w:r>
      <w:r w:rsidR="003B65CF" w:rsidRPr="003B65CF">
        <w:t xml:space="preserve"> </w:t>
      </w:r>
      <w:r>
        <w:t>is</w:t>
      </w:r>
      <w:r w:rsidR="003B65CF" w:rsidRPr="003B65CF">
        <w:t xml:space="preserve"> </w:t>
      </w:r>
      <w:r>
        <w:t>registered</w:t>
      </w:r>
      <w:r w:rsidR="003B65CF" w:rsidRPr="003B65CF">
        <w:t xml:space="preserve"> </w:t>
      </w:r>
      <w:r>
        <w:t>outside</w:t>
      </w:r>
      <w:r w:rsidR="003B65CF" w:rsidRPr="003B65CF">
        <w:t xml:space="preserve"> </w:t>
      </w:r>
      <w:r>
        <w:t>the</w:t>
      </w:r>
      <w:r w:rsidR="003B65CF" w:rsidRPr="003B65CF">
        <w:t xml:space="preserve"> </w:t>
      </w:r>
      <w:r>
        <w:t>United</w:t>
      </w:r>
      <w:r w:rsidR="003B65CF" w:rsidRPr="003B65CF">
        <w:t xml:space="preserve"> </w:t>
      </w:r>
      <w:r>
        <w:t>Kingdom,</w:t>
      </w:r>
      <w:r w:rsidR="003B65CF" w:rsidRPr="003B65CF">
        <w:t xml:space="preserve"> </w:t>
      </w:r>
      <w:r>
        <w:t>a</w:t>
      </w:r>
      <w:r w:rsidR="003B65CF" w:rsidRPr="003B65CF">
        <w:t xml:space="preserve"> </w:t>
      </w:r>
      <w:r>
        <w:t>partnership</w:t>
      </w:r>
      <w:r w:rsidR="003B65CF" w:rsidRPr="003B65CF">
        <w:t xml:space="preserve"> </w:t>
      </w:r>
      <w:r>
        <w:t>which</w:t>
      </w:r>
      <w:r w:rsidR="003B65CF" w:rsidRPr="003B65CF">
        <w:t xml:space="preserve"> </w:t>
      </w:r>
      <w:r>
        <w:t>is</w:t>
      </w:r>
      <w:r w:rsidR="003B65CF" w:rsidRPr="003B65CF">
        <w:t xml:space="preserve"> </w:t>
      </w:r>
      <w:r>
        <w:t>carrying</w:t>
      </w:r>
      <w:r w:rsidR="003B65CF" w:rsidRPr="003B65CF">
        <w:t xml:space="preserve"> </w:t>
      </w:r>
      <w:r>
        <w:t>on</w:t>
      </w:r>
      <w:r w:rsidR="003B65CF" w:rsidRPr="003B65CF">
        <w:t xml:space="preserve"> </w:t>
      </w:r>
      <w:r>
        <w:t>business</w:t>
      </w:r>
      <w:r w:rsidR="003B65CF" w:rsidRPr="003B65CF">
        <w:t xml:space="preserve"> </w:t>
      </w:r>
      <w:r>
        <w:t>outside</w:t>
      </w:r>
      <w:r w:rsidR="003B65CF" w:rsidRPr="003B65CF">
        <w:t xml:space="preserve"> </w:t>
      </w:r>
      <w:r>
        <w:t>the</w:t>
      </w:r>
      <w:r w:rsidR="003B65CF" w:rsidRPr="003B65CF">
        <w:t xml:space="preserve"> </w:t>
      </w:r>
      <w:r>
        <w:t>United</w:t>
      </w:r>
      <w:r w:rsidR="003B65CF" w:rsidRPr="003B65CF">
        <w:t xml:space="preserve"> </w:t>
      </w:r>
      <w:r>
        <w:t>Kingdom</w:t>
      </w:r>
      <w:r w:rsidR="003B65CF" w:rsidRPr="003B65CF">
        <w:t xml:space="preserve"> </w:t>
      </w:r>
      <w:r>
        <w:t>and</w:t>
      </w:r>
      <w:r w:rsidR="003B65CF" w:rsidRPr="003B65CF">
        <w:t xml:space="preserve"> </w:t>
      </w:r>
      <w:r>
        <w:t>any</w:t>
      </w:r>
      <w:r w:rsidR="003B65CF" w:rsidRPr="003B65CF">
        <w:t xml:space="preserve"> </w:t>
      </w:r>
      <w:r>
        <w:t>other</w:t>
      </w:r>
      <w:r w:rsidR="003B65CF" w:rsidRPr="003B65CF">
        <w:t xml:space="preserve"> </w:t>
      </w:r>
      <w:r>
        <w:t>unincorporated</w:t>
      </w:r>
      <w:r w:rsidR="003B65CF" w:rsidRPr="003B65CF">
        <w:t xml:space="preserve"> </w:t>
      </w:r>
      <w:r>
        <w:t>body</w:t>
      </w:r>
      <w:r w:rsidR="003B65CF" w:rsidRPr="003B65CF">
        <w:t xml:space="preserve"> </w:t>
      </w:r>
      <w:r>
        <w:t>which</w:t>
      </w:r>
      <w:r w:rsidR="003B65CF" w:rsidRPr="003B65CF">
        <w:t xml:space="preserve"> </w:t>
      </w:r>
      <w:r>
        <w:t>has</w:t>
      </w:r>
      <w:r w:rsidR="003B65CF" w:rsidRPr="003B65CF">
        <w:t xml:space="preserve"> </w:t>
      </w:r>
      <w:r>
        <w:t>its</w:t>
      </w:r>
      <w:r w:rsidR="003B65CF" w:rsidRPr="003B65CF">
        <w:t xml:space="preserve"> </w:t>
      </w:r>
      <w:r>
        <w:t>principal</w:t>
      </w:r>
      <w:r w:rsidR="003B65CF" w:rsidRPr="003B65CF">
        <w:t xml:space="preserve"> </w:t>
      </w:r>
      <w:r>
        <w:t>office</w:t>
      </w:r>
      <w:r w:rsidR="003B65CF" w:rsidRPr="003B65CF">
        <w:t xml:space="preserve"> </w:t>
      </w:r>
      <w:r>
        <w:t>outside</w:t>
      </w:r>
      <w:r w:rsidR="003B65CF" w:rsidRPr="003B65CF">
        <w:t xml:space="preserve"> </w:t>
      </w:r>
      <w:r>
        <w:t>the</w:t>
      </w:r>
      <w:r w:rsidR="003B65CF" w:rsidRPr="003B65CF">
        <w:t xml:space="preserve"> </w:t>
      </w:r>
      <w:r>
        <w:t>United</w:t>
      </w:r>
      <w:r w:rsidR="003B65CF" w:rsidRPr="003B65CF">
        <w:t xml:space="preserve"> </w:t>
      </w:r>
      <w:r>
        <w:t>Kingdom,</w:t>
      </w:r>
      <w:r w:rsidR="003B65CF" w:rsidRPr="003B65CF">
        <w:t xml:space="preserve"> </w:t>
      </w:r>
      <w:r>
        <w:t>include</w:t>
      </w:r>
      <w:r w:rsidR="003B65CF" w:rsidRPr="003B65CF">
        <w:t xml:space="preserve"> </w:t>
      </w:r>
      <w:r>
        <w:t>a</w:t>
      </w:r>
      <w:r w:rsidR="003B65CF" w:rsidRPr="003B65CF">
        <w:t xml:space="preserve"> </w:t>
      </w:r>
      <w:r>
        <w:t>reference,</w:t>
      </w:r>
      <w:r w:rsidR="003B65CF" w:rsidRPr="003B65CF">
        <w:t xml:space="preserve"> </w:t>
      </w:r>
      <w:r>
        <w:t>in</w:t>
      </w:r>
      <w:r w:rsidR="003B65CF" w:rsidRPr="003B65CF">
        <w:t xml:space="preserve"> </w:t>
      </w:r>
      <w:r>
        <w:t>each</w:t>
      </w:r>
      <w:r w:rsidR="003B65CF" w:rsidRPr="003B65CF">
        <w:t xml:space="preserve"> </w:t>
      </w:r>
      <w:r>
        <w:t>case,</w:t>
      </w:r>
      <w:r w:rsidR="003B65CF" w:rsidRPr="003B65CF">
        <w:t xml:space="preserve"> </w:t>
      </w:r>
      <w:r>
        <w:t>to</w:t>
      </w:r>
      <w:r w:rsidR="003B65CF" w:rsidRPr="003B65CF">
        <w:t xml:space="preserve"> </w:t>
      </w:r>
      <w:r>
        <w:t>their</w:t>
      </w:r>
      <w:r w:rsidR="003B65CF" w:rsidRPr="003B65CF">
        <w:t xml:space="preserve"> </w:t>
      </w:r>
      <w:r>
        <w:t>principal</w:t>
      </w:r>
      <w:r w:rsidR="003B65CF" w:rsidRPr="003B65CF">
        <w:t xml:space="preserve"> </w:t>
      </w:r>
      <w:r>
        <w:t>office</w:t>
      </w:r>
      <w:r w:rsidR="003B65CF" w:rsidRPr="003B65CF">
        <w:t xml:space="preserve"> </w:t>
      </w:r>
      <w:r>
        <w:t>within</w:t>
      </w:r>
      <w:r w:rsidR="003B65CF" w:rsidRPr="003B65CF">
        <w:t xml:space="preserve"> </w:t>
      </w:r>
      <w:r>
        <w:t>the</w:t>
      </w:r>
      <w:r w:rsidR="003B65CF" w:rsidRPr="003B65CF">
        <w:t xml:space="preserve"> </w:t>
      </w:r>
      <w:r>
        <w:t>United</w:t>
      </w:r>
      <w:r w:rsidR="003B65CF" w:rsidRPr="003B65CF">
        <w:t xml:space="preserve"> </w:t>
      </w:r>
      <w:r>
        <w:t>Kingdom</w:t>
      </w:r>
      <w:r w:rsidR="003B65CF" w:rsidRPr="003B65CF">
        <w:t xml:space="preserve"> </w:t>
      </w:r>
      <w:r>
        <w:t>(if</w:t>
      </w:r>
      <w:r w:rsidR="003B65CF" w:rsidRPr="003B65CF">
        <w:t xml:space="preserve"> </w:t>
      </w:r>
      <w:r>
        <w:t>any).</w:t>
      </w:r>
    </w:p>
    <w:p w:rsidR="003B65CF" w:rsidRDefault="0055504F" w:rsidP="0055504F">
      <w:pPr>
        <w:pStyle w:val="N2"/>
      </w:pPr>
      <w:r>
        <w:t>Paragraph</w:t>
      </w:r>
      <w:r w:rsidR="003B65CF" w:rsidRPr="003B65CF">
        <w:t xml:space="preserve"> </w:t>
      </w:r>
      <w:r>
        <w:t>(8)</w:t>
      </w:r>
      <w:r w:rsidR="003B65CF" w:rsidRPr="003B65CF">
        <w:t xml:space="preserve"> </w:t>
      </w:r>
      <w:r>
        <w:t>applies</w:t>
      </w:r>
      <w:r w:rsidR="003B65CF" w:rsidRPr="003B65CF">
        <w:t xml:space="preserve"> </w:t>
      </w:r>
      <w:r>
        <w:t>if</w:t>
      </w:r>
      <w:r w:rsidR="003B65CF" w:rsidRPr="003B65CF">
        <w:t xml:space="preserve"> </w:t>
      </w:r>
      <w:r>
        <w:t>a</w:t>
      </w:r>
      <w:r w:rsidR="003B65CF" w:rsidRPr="003B65CF">
        <w:t xml:space="preserve"> </w:t>
      </w:r>
      <w:r>
        <w:t>person</w:t>
      </w:r>
      <w:r w:rsidR="003B65CF" w:rsidRPr="003B65CF">
        <w:t xml:space="preserve"> </w:t>
      </w:r>
      <w:r>
        <w:t>to</w:t>
      </w:r>
      <w:r w:rsidR="003B65CF" w:rsidRPr="003B65CF">
        <w:t xml:space="preserve"> </w:t>
      </w:r>
      <w:r>
        <w:t>be</w:t>
      </w:r>
      <w:r w:rsidR="003B65CF" w:rsidRPr="003B65CF">
        <w:t xml:space="preserve"> </w:t>
      </w:r>
      <w:r>
        <w:t>given</w:t>
      </w:r>
      <w:r w:rsidR="003B65CF" w:rsidRPr="003B65CF">
        <w:t xml:space="preserve"> </w:t>
      </w:r>
      <w:r>
        <w:t>a</w:t>
      </w:r>
      <w:r w:rsidR="003B65CF" w:rsidRPr="003B65CF">
        <w:t xml:space="preserve"> </w:t>
      </w:r>
      <w:r>
        <w:t>notice</w:t>
      </w:r>
      <w:r w:rsidR="003B65CF" w:rsidRPr="003B65CF">
        <w:t xml:space="preserve"> </w:t>
      </w:r>
      <w:r>
        <w:t>under</w:t>
      </w:r>
      <w:r w:rsidR="003B65CF" w:rsidRPr="003B65CF">
        <w:t xml:space="preserve"> </w:t>
      </w:r>
      <w:r>
        <w:t>these</w:t>
      </w:r>
      <w:r w:rsidR="003B65CF" w:rsidRPr="003B65CF">
        <w:t xml:space="preserve"> </w:t>
      </w:r>
      <w:r>
        <w:t>Regulations</w:t>
      </w:r>
      <w:r w:rsidR="003B65CF" w:rsidRPr="003B65CF">
        <w:t xml:space="preserve"> </w:t>
      </w:r>
      <w:r>
        <w:t>has</w:t>
      </w:r>
      <w:r w:rsidR="003B65CF" w:rsidRPr="003B65CF">
        <w:t xml:space="preserve"> </w:t>
      </w:r>
      <w:r>
        <w:t>specified</w:t>
      </w:r>
      <w:r w:rsidR="003B65CF" w:rsidRPr="003B65CF">
        <w:t xml:space="preserve"> </w:t>
      </w:r>
      <w:r>
        <w:t>an</w:t>
      </w:r>
      <w:r w:rsidR="003B65CF" w:rsidRPr="003B65CF">
        <w:t xml:space="preserve"> </w:t>
      </w:r>
      <w:r>
        <w:t>address</w:t>
      </w:r>
      <w:r w:rsidR="003B65CF" w:rsidRPr="003B65CF">
        <w:t xml:space="preserve"> </w:t>
      </w:r>
      <w:r>
        <w:t>(“the</w:t>
      </w:r>
      <w:r w:rsidR="003B65CF" w:rsidRPr="003B65CF">
        <w:t xml:space="preserve"> </w:t>
      </w:r>
      <w:r>
        <w:t>specified</w:t>
      </w:r>
      <w:r w:rsidR="003B65CF" w:rsidRPr="003B65CF">
        <w:t xml:space="preserve"> </w:t>
      </w:r>
      <w:r>
        <w:t>address”)</w:t>
      </w:r>
      <w:r w:rsidR="003B65CF" w:rsidRPr="003B65CF">
        <w:t xml:space="preserve"> </w:t>
      </w:r>
      <w:r>
        <w:t>within</w:t>
      </w:r>
      <w:r w:rsidR="003B65CF" w:rsidRPr="003B65CF">
        <w:t xml:space="preserve"> </w:t>
      </w:r>
      <w:r>
        <w:t>the</w:t>
      </w:r>
      <w:r w:rsidR="003B65CF" w:rsidRPr="003B65CF">
        <w:t xml:space="preserve"> </w:t>
      </w:r>
      <w:r>
        <w:t>United</w:t>
      </w:r>
      <w:r w:rsidR="003B65CF" w:rsidRPr="003B65CF">
        <w:t xml:space="preserve"> </w:t>
      </w:r>
      <w:r>
        <w:t>Kingdom</w:t>
      </w:r>
      <w:r w:rsidR="003B65CF" w:rsidRPr="003B65CF">
        <w:t xml:space="preserve"> </w:t>
      </w:r>
      <w:r>
        <w:t>other</w:t>
      </w:r>
      <w:r w:rsidR="003B65CF" w:rsidRPr="003B65CF">
        <w:t xml:space="preserve"> </w:t>
      </w:r>
      <w:r>
        <w:t>than</w:t>
      </w:r>
      <w:r w:rsidR="003B65CF" w:rsidRPr="003B65CF">
        <w:t xml:space="preserve"> </w:t>
      </w:r>
      <w:r>
        <w:t>their</w:t>
      </w:r>
      <w:r w:rsidR="003B65CF" w:rsidRPr="003B65CF">
        <w:t xml:space="preserve"> </w:t>
      </w:r>
      <w:r>
        <w:t>proper</w:t>
      </w:r>
      <w:r w:rsidR="003B65CF" w:rsidRPr="003B65CF">
        <w:t xml:space="preserve"> </w:t>
      </w:r>
      <w:r>
        <w:t>address</w:t>
      </w:r>
      <w:r w:rsidR="003B65CF" w:rsidRPr="003B65CF">
        <w:t xml:space="preserve"> </w:t>
      </w:r>
      <w:r>
        <w:t>(as</w:t>
      </w:r>
      <w:r w:rsidR="003B65CF" w:rsidRPr="003B65CF">
        <w:t xml:space="preserve"> </w:t>
      </w:r>
      <w:r>
        <w:t>decided</w:t>
      </w:r>
      <w:r w:rsidR="003B65CF" w:rsidRPr="003B65CF">
        <w:t xml:space="preserve"> </w:t>
      </w:r>
      <w:r>
        <w:t>under</w:t>
      </w:r>
      <w:r w:rsidR="003B65CF" w:rsidRPr="003B65CF">
        <w:t xml:space="preserve"> </w:t>
      </w:r>
      <w:r>
        <w:t>paragraph</w:t>
      </w:r>
      <w:r w:rsidR="003B65CF" w:rsidRPr="003B65CF">
        <w:t xml:space="preserve"> </w:t>
      </w:r>
      <w:r>
        <w:t>(5))</w:t>
      </w:r>
      <w:r w:rsidR="003B65CF" w:rsidRPr="003B65CF">
        <w:t xml:space="preserve"> </w:t>
      </w:r>
      <w:r>
        <w:t>as</w:t>
      </w:r>
      <w:r w:rsidR="003B65CF" w:rsidRPr="003B65CF">
        <w:t xml:space="preserve"> </w:t>
      </w:r>
      <w:r>
        <w:t>the</w:t>
      </w:r>
      <w:r w:rsidR="003B65CF" w:rsidRPr="003B65CF">
        <w:t xml:space="preserve"> </w:t>
      </w:r>
      <w:r>
        <w:t>one</w:t>
      </w:r>
      <w:r w:rsidR="003B65CF" w:rsidRPr="003B65CF">
        <w:t xml:space="preserve"> </w:t>
      </w:r>
      <w:r>
        <w:t>at</w:t>
      </w:r>
      <w:r w:rsidR="003B65CF" w:rsidRPr="003B65CF">
        <w:t xml:space="preserve"> </w:t>
      </w:r>
      <w:r>
        <w:t>which</w:t>
      </w:r>
      <w:r w:rsidR="003B65CF" w:rsidRPr="003B65CF">
        <w:t xml:space="preserve"> </w:t>
      </w:r>
      <w:r>
        <w:t>they,</w:t>
      </w:r>
      <w:r w:rsidR="003B65CF" w:rsidRPr="003B65CF">
        <w:t xml:space="preserve"> </w:t>
      </w:r>
      <w:r>
        <w:t>or</w:t>
      </w:r>
      <w:r w:rsidR="003B65CF" w:rsidRPr="003B65CF">
        <w:t xml:space="preserve"> </w:t>
      </w:r>
      <w:r>
        <w:t>someone</w:t>
      </w:r>
      <w:r w:rsidR="003B65CF" w:rsidRPr="003B65CF">
        <w:t xml:space="preserve"> </w:t>
      </w:r>
      <w:r>
        <w:t>on</w:t>
      </w:r>
      <w:r w:rsidR="003B65CF" w:rsidRPr="003B65CF">
        <w:t xml:space="preserve"> </w:t>
      </w:r>
      <w:r>
        <w:t>their</w:t>
      </w:r>
      <w:r w:rsidR="003B65CF" w:rsidRPr="003B65CF">
        <w:t xml:space="preserve"> </w:t>
      </w:r>
      <w:r>
        <w:t>behalf,</w:t>
      </w:r>
      <w:r w:rsidR="003B65CF" w:rsidRPr="003B65CF">
        <w:t xml:space="preserve"> </w:t>
      </w:r>
      <w:r>
        <w:t>will</w:t>
      </w:r>
      <w:r w:rsidR="003B65CF" w:rsidRPr="003B65CF">
        <w:t xml:space="preserve"> </w:t>
      </w:r>
      <w:r>
        <w:t>accept</w:t>
      </w:r>
      <w:r w:rsidR="003B65CF" w:rsidRPr="003B65CF">
        <w:t xml:space="preserve"> </w:t>
      </w:r>
      <w:r>
        <w:t>documents</w:t>
      </w:r>
      <w:r w:rsidR="003B65CF" w:rsidRPr="003B65CF">
        <w:t xml:space="preserve"> </w:t>
      </w:r>
      <w:r>
        <w:t>of</w:t>
      </w:r>
      <w:r w:rsidR="003B65CF" w:rsidRPr="003B65CF">
        <w:t xml:space="preserve"> </w:t>
      </w:r>
      <w:r>
        <w:t>the</w:t>
      </w:r>
      <w:r w:rsidR="003B65CF" w:rsidRPr="003B65CF">
        <w:t xml:space="preserve"> </w:t>
      </w:r>
      <w:r>
        <w:t>same</w:t>
      </w:r>
      <w:r w:rsidR="003B65CF" w:rsidRPr="003B65CF">
        <w:t xml:space="preserve"> </w:t>
      </w:r>
      <w:r>
        <w:t>description</w:t>
      </w:r>
      <w:r w:rsidR="003B65CF" w:rsidRPr="003B65CF">
        <w:t xml:space="preserve"> </w:t>
      </w:r>
      <w:r>
        <w:t>as</w:t>
      </w:r>
      <w:r w:rsidR="003B65CF" w:rsidRPr="003B65CF">
        <w:t xml:space="preserve"> </w:t>
      </w:r>
      <w:r>
        <w:t>a</w:t>
      </w:r>
      <w:r w:rsidR="003B65CF" w:rsidRPr="003B65CF">
        <w:t xml:space="preserve"> </w:t>
      </w:r>
      <w:r>
        <w:t>notice</w:t>
      </w:r>
      <w:r w:rsidR="003B65CF" w:rsidRPr="003B65CF">
        <w:t xml:space="preserve"> </w:t>
      </w:r>
      <w:r>
        <w:t>given</w:t>
      </w:r>
      <w:r w:rsidR="003B65CF" w:rsidRPr="003B65CF">
        <w:t xml:space="preserve"> </w:t>
      </w:r>
      <w:r>
        <w:t>under</w:t>
      </w:r>
      <w:r w:rsidR="003B65CF" w:rsidRPr="003B65CF">
        <w:t xml:space="preserve"> </w:t>
      </w:r>
      <w:r>
        <w:t>these</w:t>
      </w:r>
      <w:r w:rsidR="003B65CF" w:rsidRPr="003B65CF">
        <w:t xml:space="preserve"> </w:t>
      </w:r>
      <w:r>
        <w:t>Regulations.</w:t>
      </w:r>
    </w:p>
    <w:p w:rsidR="003B65CF" w:rsidRDefault="0055504F" w:rsidP="005C1FC0">
      <w:pPr>
        <w:pStyle w:val="N2"/>
      </w:pPr>
      <w:r>
        <w:t>The</w:t>
      </w:r>
      <w:r w:rsidR="003B65CF" w:rsidRPr="003B65CF">
        <w:t xml:space="preserve"> </w:t>
      </w:r>
      <w:r>
        <w:t>specified</w:t>
      </w:r>
      <w:r w:rsidR="003B65CF" w:rsidRPr="003B65CF">
        <w:t xml:space="preserve"> </w:t>
      </w:r>
      <w:r>
        <w:t>address</w:t>
      </w:r>
      <w:r w:rsidR="003B65CF" w:rsidRPr="003B65CF">
        <w:t xml:space="preserve"> </w:t>
      </w:r>
      <w:r>
        <w:t>is</w:t>
      </w:r>
      <w:r w:rsidR="003B65CF" w:rsidRPr="003B65CF">
        <w:t xml:space="preserve"> </w:t>
      </w:r>
      <w:r>
        <w:t>also</w:t>
      </w:r>
      <w:r w:rsidR="003B65CF" w:rsidRPr="003B65CF">
        <w:t xml:space="preserve"> </w:t>
      </w:r>
      <w:r>
        <w:t>to</w:t>
      </w:r>
      <w:r w:rsidR="003B65CF" w:rsidRPr="003B65CF">
        <w:t xml:space="preserve"> </w:t>
      </w:r>
      <w:r>
        <w:t>be</w:t>
      </w:r>
      <w:r w:rsidR="003B65CF" w:rsidRPr="003B65CF">
        <w:t xml:space="preserve"> </w:t>
      </w:r>
      <w:r>
        <w:t>treated</w:t>
      </w:r>
      <w:r w:rsidR="003B65CF" w:rsidRPr="003B65CF">
        <w:t xml:space="preserve"> </w:t>
      </w:r>
      <w:r>
        <w:t>for</w:t>
      </w:r>
      <w:r w:rsidR="003B65CF" w:rsidRPr="003B65CF">
        <w:t xml:space="preserve"> </w:t>
      </w:r>
      <w:r>
        <w:t>the</w:t>
      </w:r>
      <w:r w:rsidR="003B65CF" w:rsidRPr="003B65CF">
        <w:t xml:space="preserve"> </w:t>
      </w:r>
      <w:r>
        <w:t>purposes</w:t>
      </w:r>
      <w:r w:rsidR="003B65CF" w:rsidRPr="003B65CF">
        <w:t xml:space="preserve"> </w:t>
      </w:r>
      <w:r>
        <w:t>of</w:t>
      </w:r>
      <w:r w:rsidR="003B65CF" w:rsidRPr="003B65CF">
        <w:t xml:space="preserve"> </w:t>
      </w:r>
      <w:r>
        <w:t>this</w:t>
      </w:r>
      <w:r w:rsidR="003B65CF" w:rsidRPr="003B65CF">
        <w:t xml:space="preserve"> </w:t>
      </w:r>
      <w:r>
        <w:t>regulation</w:t>
      </w:r>
      <w:r w:rsidR="003B65CF" w:rsidRPr="003B65CF">
        <w:t xml:space="preserve"> </w:t>
      </w:r>
      <w:r>
        <w:t>and</w:t>
      </w:r>
      <w:r w:rsidR="003B65CF" w:rsidRPr="003B65CF">
        <w:t xml:space="preserve"> </w:t>
      </w:r>
      <w:r w:rsidRPr="00A12E55">
        <w:t>section</w:t>
      </w:r>
      <w:r w:rsidR="003B65CF" w:rsidRPr="003B65CF">
        <w:t xml:space="preserve"> </w:t>
      </w:r>
      <w:r w:rsidR="00A12E55" w:rsidRPr="00A12E55">
        <w:t>24</w:t>
      </w:r>
      <w:r w:rsidR="003B65CF" w:rsidRPr="003B65CF">
        <w:t xml:space="preserve"> </w:t>
      </w:r>
      <w:r w:rsidRPr="00A12E55">
        <w:t>of</w:t>
      </w:r>
      <w:r w:rsidR="003B65CF" w:rsidRPr="003B65CF">
        <w:t xml:space="preserve"> </w:t>
      </w:r>
      <w:r w:rsidRPr="00A12E55">
        <w:t>the</w:t>
      </w:r>
      <w:r w:rsidR="003B65CF" w:rsidRPr="003B65CF">
        <w:t xml:space="preserve"> </w:t>
      </w:r>
      <w:r w:rsidRPr="00A12E55">
        <w:t>Interpretation</w:t>
      </w:r>
      <w:r w:rsidR="003B65CF" w:rsidRPr="003B65CF">
        <w:t xml:space="preserve"> </w:t>
      </w:r>
      <w:r w:rsidRPr="00A12E55">
        <w:t>Act</w:t>
      </w:r>
      <w:r w:rsidR="003B65CF" w:rsidRPr="003B65CF">
        <w:t xml:space="preserve"> </w:t>
      </w:r>
      <w:r w:rsidR="00A12E55">
        <w:t>(Northern</w:t>
      </w:r>
      <w:r w:rsidR="003B65CF" w:rsidRPr="003B65CF">
        <w:t xml:space="preserve"> </w:t>
      </w:r>
      <w:r w:rsidR="00A12E55">
        <w:t>Ireland)</w:t>
      </w:r>
      <w:r w:rsidR="003B65CF" w:rsidRPr="003B65CF">
        <w:t xml:space="preserve"> </w:t>
      </w:r>
      <w:r w:rsidR="00A12E55">
        <w:t>1954</w:t>
      </w:r>
      <w:r w:rsidR="003B65CF" w:rsidRPr="003B65CF">
        <w:t xml:space="preserve"> </w:t>
      </w:r>
      <w:r>
        <w:t>in</w:t>
      </w:r>
      <w:r w:rsidR="003B65CF" w:rsidRPr="003B65CF">
        <w:t xml:space="preserve"> </w:t>
      </w:r>
      <w:r>
        <w:t>its</w:t>
      </w:r>
      <w:r w:rsidR="003B65CF" w:rsidRPr="003B65CF">
        <w:t xml:space="preserve"> </w:t>
      </w:r>
      <w:r>
        <w:t>application</w:t>
      </w:r>
      <w:r w:rsidR="003B65CF" w:rsidRPr="003B65CF">
        <w:t xml:space="preserve"> </w:t>
      </w:r>
      <w:r>
        <w:t>to</w:t>
      </w:r>
      <w:r w:rsidR="003B65CF" w:rsidRPr="003B65CF">
        <w:t xml:space="preserve"> </w:t>
      </w:r>
      <w:r>
        <w:t>this</w:t>
      </w:r>
      <w:r w:rsidR="003B65CF" w:rsidRPr="003B65CF">
        <w:t xml:space="preserve"> </w:t>
      </w:r>
      <w:r>
        <w:t>regulation</w:t>
      </w:r>
      <w:r w:rsidR="003B65CF" w:rsidRPr="003B65CF">
        <w:t xml:space="preserve"> </w:t>
      </w:r>
      <w:r>
        <w:t>as</w:t>
      </w:r>
      <w:r w:rsidR="003B65CF" w:rsidRPr="003B65CF">
        <w:t xml:space="preserve"> </w:t>
      </w:r>
      <w:r>
        <w:t>the</w:t>
      </w:r>
      <w:r w:rsidR="003B65CF" w:rsidRPr="003B65CF">
        <w:t xml:space="preserve"> </w:t>
      </w:r>
      <w:r>
        <w:t>person’s</w:t>
      </w:r>
      <w:r w:rsidR="003B65CF" w:rsidRPr="003B65CF">
        <w:t xml:space="preserve"> </w:t>
      </w:r>
      <w:r>
        <w:t>proper</w:t>
      </w:r>
      <w:r w:rsidR="003B65CF" w:rsidRPr="003B65CF">
        <w:t xml:space="preserve"> </w:t>
      </w:r>
      <w:r>
        <w:t>address.</w:t>
      </w:r>
    </w:p>
    <w:p w:rsidR="0055504F" w:rsidRDefault="0055504F" w:rsidP="005C1FC0">
      <w:pPr>
        <w:pStyle w:val="N2"/>
      </w:pPr>
      <w:r>
        <w:t>In</w:t>
      </w:r>
      <w:r w:rsidR="003B65CF" w:rsidRPr="003B65CF">
        <w:t xml:space="preserve"> </w:t>
      </w:r>
      <w:r>
        <w:t>this</w:t>
      </w:r>
      <w:r w:rsidR="003B65CF" w:rsidRPr="003B65CF">
        <w:t xml:space="preserve"> </w:t>
      </w:r>
      <w:r>
        <w:t>regulation</w:t>
      </w:r>
      <w:r w:rsidR="003B65CF" w:rsidRPr="003B65CF">
        <w:t xml:space="preserve"> </w:t>
      </w:r>
      <w:r>
        <w:t>“body</w:t>
      </w:r>
      <w:r w:rsidR="003B65CF" w:rsidRPr="003B65CF">
        <w:t xml:space="preserve"> </w:t>
      </w:r>
      <w:r>
        <w:t>corporate”</w:t>
      </w:r>
      <w:r w:rsidR="003B65CF" w:rsidRPr="003B65CF">
        <w:t xml:space="preserve"> </w:t>
      </w:r>
      <w:r>
        <w:t>does</w:t>
      </w:r>
      <w:r w:rsidR="003B65CF" w:rsidRPr="003B65CF">
        <w:t xml:space="preserve"> </w:t>
      </w:r>
      <w:r>
        <w:t>not</w:t>
      </w:r>
      <w:r w:rsidR="003B65CF" w:rsidRPr="003B65CF">
        <w:t xml:space="preserve"> </w:t>
      </w:r>
      <w:r>
        <w:t>include</w:t>
      </w:r>
      <w:r w:rsidR="003B65CF" w:rsidRPr="003B65CF">
        <w:t xml:space="preserve"> </w:t>
      </w:r>
      <w:r>
        <w:t>a</w:t>
      </w:r>
      <w:r w:rsidR="003B65CF" w:rsidRPr="003B65CF">
        <w:t xml:space="preserve"> </w:t>
      </w:r>
      <w:r>
        <w:t>limited</w:t>
      </w:r>
      <w:r w:rsidR="003B65CF" w:rsidRPr="003B65CF">
        <w:t xml:space="preserve"> </w:t>
      </w:r>
      <w:r>
        <w:t>liability</w:t>
      </w:r>
      <w:r w:rsidR="003B65CF" w:rsidRPr="003B65CF">
        <w:t xml:space="preserve"> </w:t>
      </w:r>
      <w:r>
        <w:t>partnership</w:t>
      </w:r>
      <w:r w:rsidR="003B65CF" w:rsidRPr="003B65CF">
        <w:t xml:space="preserve"> </w:t>
      </w:r>
      <w:r>
        <w:t>or</w:t>
      </w:r>
      <w:r w:rsidR="003B65CF" w:rsidRPr="003B65CF">
        <w:t xml:space="preserve"> </w:t>
      </w:r>
      <w:r>
        <w:t>a</w:t>
      </w:r>
      <w:r w:rsidR="003B65CF" w:rsidRPr="003B65CF">
        <w:t xml:space="preserve"> </w:t>
      </w:r>
      <w:r>
        <w:t>Scottish</w:t>
      </w:r>
      <w:r w:rsidR="003B65CF" w:rsidRPr="003B65CF">
        <w:t xml:space="preserve"> </w:t>
      </w:r>
      <w:r>
        <w:t>partnership</w:t>
      </w:r>
      <w:r w:rsidR="005C1FC0">
        <w:t>.</w:t>
      </w:r>
    </w:p>
    <w:p w:rsidR="00AC2949" w:rsidRDefault="00AC2949">
      <w:pPr>
        <w:pStyle w:val="Part"/>
        <w:rPr>
          <w:noProof/>
        </w:rPr>
      </w:pPr>
      <w:r>
        <w:t>PART</w:t>
      </w:r>
      <w:r w:rsidR="003B65CF" w:rsidRPr="003B65CF">
        <w:t xml:space="preserve"> </w:t>
      </w:r>
      <w:r>
        <w:rPr>
          <w:noProof/>
        </w:rPr>
        <w:fldChar w:fldCharType="begin"/>
      </w:r>
      <w:r>
        <w:rPr>
          <w:noProof/>
        </w:rPr>
        <w:instrText xml:space="preserve"> SEQ Part_ \* arabic </w:instrText>
      </w:r>
      <w:r>
        <w:rPr>
          <w:noProof/>
        </w:rPr>
        <w:fldChar w:fldCharType="separate"/>
      </w:r>
      <w:r w:rsidR="003B65CF">
        <w:rPr>
          <w:noProof/>
        </w:rPr>
        <w:t>3</w:t>
      </w:r>
      <w:r>
        <w:rPr>
          <w:noProof/>
        </w:rPr>
        <w:fldChar w:fldCharType="end"/>
      </w:r>
    </w:p>
    <w:p w:rsidR="00AC2949" w:rsidRPr="00AC2949" w:rsidRDefault="00AC2949" w:rsidP="00AC2949">
      <w:pPr>
        <w:pStyle w:val="PartHead"/>
      </w:pPr>
      <w:r>
        <w:t>Amendment</w:t>
      </w:r>
      <w:r w:rsidR="003B65CF" w:rsidRPr="003B65CF">
        <w:t xml:space="preserve"> </w:t>
      </w:r>
      <w:r>
        <w:t>of</w:t>
      </w:r>
      <w:r w:rsidR="003B65CF" w:rsidRPr="003B65CF">
        <w:t xml:space="preserve"> </w:t>
      </w:r>
      <w:r>
        <w:t>domestic</w:t>
      </w:r>
      <w:r w:rsidR="003B65CF" w:rsidRPr="003B65CF">
        <w:t xml:space="preserve"> </w:t>
      </w:r>
      <w:r>
        <w:t>legislation</w:t>
      </w:r>
    </w:p>
    <w:p w:rsidR="006E1AF6" w:rsidRDefault="006E1AF6" w:rsidP="006E1AF6">
      <w:pPr>
        <w:pStyle w:val="H1"/>
      </w:pPr>
      <w:r>
        <w:t>Amendment</w:t>
      </w:r>
      <w:r w:rsidR="003B65CF" w:rsidRPr="003B65CF">
        <w:t xml:space="preserve"> </w:t>
      </w:r>
      <w:r>
        <w:t>of</w:t>
      </w:r>
      <w:r w:rsidR="003B65CF" w:rsidRPr="003B65CF">
        <w:t xml:space="preserve"> </w:t>
      </w:r>
      <w:r w:rsidR="00AC2949">
        <w:t>the</w:t>
      </w:r>
      <w:r w:rsidR="003B65CF" w:rsidRPr="003B65CF">
        <w:t xml:space="preserve"> </w:t>
      </w:r>
      <w:r w:rsidR="00AC2949">
        <w:t>Spirit</w:t>
      </w:r>
      <w:r w:rsidR="003B65CF" w:rsidRPr="003B65CF">
        <w:t xml:space="preserve"> </w:t>
      </w:r>
      <w:r w:rsidR="00AC2949">
        <w:t>Drinks</w:t>
      </w:r>
      <w:r w:rsidR="003B65CF" w:rsidRPr="003B65CF">
        <w:t xml:space="preserve"> </w:t>
      </w:r>
      <w:r w:rsidR="00AC2949">
        <w:t>Regulations</w:t>
      </w:r>
      <w:r w:rsidR="003B65CF" w:rsidRPr="003B65CF">
        <w:t xml:space="preserve"> </w:t>
      </w:r>
      <w:r w:rsidR="00AC2949">
        <w:t>2008</w:t>
      </w:r>
    </w:p>
    <w:p w:rsidR="00770456" w:rsidRDefault="0033001D" w:rsidP="00770456">
      <w:pPr>
        <w:pStyle w:val="N1"/>
      </w:pPr>
      <w:r>
        <w:t>—</w:t>
      </w:r>
      <w:r>
        <w:fldChar w:fldCharType="begin"/>
      </w:r>
      <w:r>
        <w:instrText xml:space="preserve"> LISTNUM "SEQ1" \l 2 </w:instrText>
      </w:r>
      <w:r>
        <w:fldChar w:fldCharType="end">
          <w:numberingChange w:id="21" w:author="Draft SR" w:date="2021-07-14T15:43:00Z" w:original="(1)"/>
        </w:fldChar>
      </w:r>
      <w:r w:rsidR="003B65CF" w:rsidRPr="003B65CF">
        <w:t> </w:t>
      </w:r>
      <w:r w:rsidR="00AC2949">
        <w:t>T</w:t>
      </w:r>
      <w:r w:rsidR="00726297">
        <w:t>he</w:t>
      </w:r>
      <w:r w:rsidR="003B65CF" w:rsidRPr="003B65CF">
        <w:t xml:space="preserve"> </w:t>
      </w:r>
      <w:r w:rsidR="00AF1E8B">
        <w:t>Spirit</w:t>
      </w:r>
      <w:r w:rsidR="003B65CF" w:rsidRPr="003B65CF">
        <w:t xml:space="preserve"> </w:t>
      </w:r>
      <w:r w:rsidR="00AF1E8B">
        <w:t>Drinks</w:t>
      </w:r>
      <w:r w:rsidR="003B65CF" w:rsidRPr="003B65CF">
        <w:t xml:space="preserve"> </w:t>
      </w:r>
      <w:r w:rsidR="00AF1E8B">
        <w:t>Regulations</w:t>
      </w:r>
      <w:r w:rsidR="003B65CF" w:rsidRPr="003B65CF">
        <w:t xml:space="preserve"> </w:t>
      </w:r>
      <w:r w:rsidR="00AF1E8B">
        <w:t>2008(</w:t>
      </w:r>
      <w:r w:rsidR="00AF1E8B">
        <w:rPr>
          <w:rStyle w:val="FootnoteReference"/>
        </w:rPr>
        <w:footnoteReference w:id="10"/>
      </w:r>
      <w:r w:rsidR="00AF1E8B">
        <w:t>)</w:t>
      </w:r>
      <w:r w:rsidR="003B65CF" w:rsidRPr="003B65CF">
        <w:t xml:space="preserve"> </w:t>
      </w:r>
      <w:r w:rsidR="00726297">
        <w:t>are</w:t>
      </w:r>
      <w:r w:rsidR="003B65CF" w:rsidRPr="003B65CF">
        <w:t xml:space="preserve"> </w:t>
      </w:r>
      <w:r w:rsidR="00AC2949">
        <w:t>amended</w:t>
      </w:r>
      <w:r w:rsidR="003B65CF" w:rsidRPr="003B65CF">
        <w:t xml:space="preserve"> </w:t>
      </w:r>
      <w:r w:rsidR="00AC2949">
        <w:t>as</w:t>
      </w:r>
      <w:r w:rsidR="003B65CF" w:rsidRPr="003B65CF">
        <w:t xml:space="preserve"> </w:t>
      </w:r>
      <w:r w:rsidR="00AC2949">
        <w:t>follows</w:t>
      </w:r>
      <w:r w:rsidR="00CD74A9">
        <w:t>.</w:t>
      </w:r>
    </w:p>
    <w:p w:rsidR="004A3DCC" w:rsidRPr="004A3DCC" w:rsidRDefault="0033001D" w:rsidP="0034265E">
      <w:pPr>
        <w:pStyle w:val="N2"/>
      </w:pPr>
      <w:r>
        <w:lastRenderedPageBreak/>
        <w:t>In</w:t>
      </w:r>
      <w:r w:rsidR="003B65CF" w:rsidRPr="003B65CF">
        <w:t xml:space="preserve"> </w:t>
      </w:r>
      <w:r>
        <w:t>regulation</w:t>
      </w:r>
      <w:r w:rsidR="003B65CF" w:rsidRPr="003B65CF">
        <w:t xml:space="preserve"> </w:t>
      </w:r>
      <w:r>
        <w:t>3(1)</w:t>
      </w:r>
      <w:r w:rsidR="00DB7A31">
        <w:t>,</w:t>
      </w:r>
      <w:r w:rsidR="003B65CF" w:rsidRPr="003B65CF">
        <w:t xml:space="preserve"> </w:t>
      </w:r>
      <w:r w:rsidR="0032097F" w:rsidRPr="0032097F">
        <w:t>in</w:t>
      </w:r>
      <w:r w:rsidR="003B65CF" w:rsidRPr="003B65CF">
        <w:t xml:space="preserve"> </w:t>
      </w:r>
      <w:r w:rsidR="0032097F" w:rsidRPr="0032097F">
        <w:t>the</w:t>
      </w:r>
      <w:r w:rsidR="003B65CF" w:rsidRPr="003B65CF">
        <w:t xml:space="preserve"> </w:t>
      </w:r>
      <w:r w:rsidR="0032097F" w:rsidRPr="0032097F">
        <w:t>definition</w:t>
      </w:r>
      <w:r w:rsidR="003B65CF" w:rsidRPr="003B65CF">
        <w:t xml:space="preserve"> </w:t>
      </w:r>
      <w:r w:rsidR="0032097F" w:rsidRPr="0032097F">
        <w:t>of</w:t>
      </w:r>
      <w:r w:rsidR="003B65CF" w:rsidRPr="003B65CF">
        <w:t xml:space="preserve"> </w:t>
      </w:r>
      <w:r w:rsidR="0032097F" w:rsidRPr="0032097F">
        <w:t>“spirit</w:t>
      </w:r>
      <w:r w:rsidR="003B65CF" w:rsidRPr="003B65CF">
        <w:t xml:space="preserve"> </w:t>
      </w:r>
      <w:r w:rsidR="0032097F" w:rsidRPr="0032097F">
        <w:t>drink”</w:t>
      </w:r>
      <w:r w:rsidR="003B65CF" w:rsidRPr="003B65CF">
        <w:t xml:space="preserve"> </w:t>
      </w:r>
      <w:r w:rsidR="0032097F" w:rsidRPr="0032097F">
        <w:t>for</w:t>
      </w:r>
      <w:r w:rsidR="003B65CF" w:rsidRPr="003B65CF">
        <w:t xml:space="preserve"> </w:t>
      </w:r>
      <w:r w:rsidR="0032097F" w:rsidRPr="0032097F">
        <w:t>the</w:t>
      </w:r>
      <w:r w:rsidR="003B65CF" w:rsidRPr="003B65CF">
        <w:t xml:space="preserve"> </w:t>
      </w:r>
      <w:r w:rsidR="0032097F" w:rsidRPr="0032097F">
        <w:t>words</w:t>
      </w:r>
      <w:r w:rsidR="003B65CF" w:rsidRPr="003B65CF">
        <w:t xml:space="preserve"> </w:t>
      </w:r>
      <w:r w:rsidR="0032097F" w:rsidRPr="0032097F">
        <w:t>from</w:t>
      </w:r>
      <w:r w:rsidR="003B65CF" w:rsidRPr="003B65CF">
        <w:t xml:space="preserve"> </w:t>
      </w:r>
      <w:r w:rsidR="0032097F" w:rsidRPr="0032097F">
        <w:t>“paragraph”</w:t>
      </w:r>
      <w:r w:rsidR="003B65CF" w:rsidRPr="003B65CF">
        <w:t xml:space="preserve"> </w:t>
      </w:r>
      <w:r w:rsidR="0032097F" w:rsidRPr="0032097F">
        <w:t>to</w:t>
      </w:r>
      <w:r w:rsidR="003B65CF" w:rsidRPr="003B65CF">
        <w:t xml:space="preserve"> </w:t>
      </w:r>
      <w:r w:rsidR="0032097F" w:rsidRPr="0032097F">
        <w:t>the</w:t>
      </w:r>
      <w:r w:rsidR="003B65CF" w:rsidRPr="003B65CF">
        <w:t xml:space="preserve"> </w:t>
      </w:r>
      <w:r w:rsidR="0032097F" w:rsidRPr="0032097F">
        <w:t>end</w:t>
      </w:r>
      <w:r w:rsidR="003B65CF" w:rsidRPr="003B65CF">
        <w:t xml:space="preserve"> </w:t>
      </w:r>
      <w:r w:rsidR="0032097F" w:rsidRPr="0032097F">
        <w:t>substitute</w:t>
      </w:r>
      <w:r w:rsidR="003B65CF" w:rsidRPr="003B65CF">
        <w:t xml:space="preserve"> </w:t>
      </w:r>
      <w:r w:rsidR="0032097F" w:rsidRPr="0032097F">
        <w:t>“Article</w:t>
      </w:r>
      <w:r w:rsidR="003B65CF" w:rsidRPr="003B65CF">
        <w:t xml:space="preserve"> </w:t>
      </w:r>
      <w:r w:rsidR="0032097F" w:rsidRPr="0032097F">
        <w:t>2</w:t>
      </w:r>
      <w:r w:rsidR="003B65CF" w:rsidRPr="003B65CF">
        <w:t xml:space="preserve"> </w:t>
      </w:r>
      <w:r w:rsidR="0032097F" w:rsidRPr="0032097F">
        <w:t>of</w:t>
      </w:r>
      <w:r w:rsidR="003B65CF" w:rsidRPr="003B65CF">
        <w:t xml:space="preserve"> </w:t>
      </w:r>
      <w:r w:rsidR="0032097F" w:rsidRPr="0032097F">
        <w:t>Regulation</w:t>
      </w:r>
      <w:r w:rsidR="003B65CF" w:rsidRPr="003B65CF">
        <w:t xml:space="preserve"> </w:t>
      </w:r>
      <w:r w:rsidR="0032097F" w:rsidRPr="0032097F">
        <w:t>(EU)</w:t>
      </w:r>
      <w:r w:rsidR="003B65CF" w:rsidRPr="003B65CF">
        <w:t xml:space="preserve"> </w:t>
      </w:r>
      <w:r w:rsidR="0032097F" w:rsidRPr="0032097F">
        <w:t>2019/787</w:t>
      </w:r>
      <w:r w:rsidR="004A3DCC">
        <w:t>.</w:t>
      </w:r>
      <w:r w:rsidR="0032097F" w:rsidRPr="0032097F">
        <w:t>”</w:t>
      </w:r>
    </w:p>
    <w:p w:rsidR="006A216C" w:rsidRDefault="0032097F" w:rsidP="002116A8">
      <w:pPr>
        <w:pStyle w:val="N2"/>
      </w:pPr>
      <w:r w:rsidRPr="0032097F">
        <w:t>Omit</w:t>
      </w:r>
      <w:r w:rsidR="003B65CF" w:rsidRPr="003B65CF">
        <w:t xml:space="preserve"> </w:t>
      </w:r>
      <w:r w:rsidRPr="0032097F">
        <w:t>regulation</w:t>
      </w:r>
      <w:r w:rsidR="003B65CF" w:rsidRPr="003B65CF">
        <w:t xml:space="preserve"> </w:t>
      </w:r>
      <w:r w:rsidRPr="0032097F">
        <w:t>6(1)</w:t>
      </w:r>
      <w:r w:rsidR="0034265E">
        <w:t xml:space="preserve"> </w:t>
      </w:r>
      <w:r w:rsidRPr="0032097F">
        <w:t>and</w:t>
      </w:r>
      <w:r w:rsidR="003B65CF" w:rsidRPr="003B65CF">
        <w:t xml:space="preserve"> </w:t>
      </w:r>
      <w:r w:rsidRPr="0032097F">
        <w:t>(2)</w:t>
      </w:r>
      <w:r>
        <w:t>.</w:t>
      </w:r>
    </w:p>
    <w:p w:rsidR="00A37067" w:rsidRDefault="00A37067" w:rsidP="0035197E">
      <w:pPr>
        <w:pStyle w:val="N2"/>
      </w:pPr>
      <w:r>
        <w:t>In</w:t>
      </w:r>
      <w:r w:rsidR="003B65CF" w:rsidRPr="003B65CF">
        <w:t xml:space="preserve"> </w:t>
      </w:r>
      <w:r w:rsidR="0035197E">
        <w:t>Schedule</w:t>
      </w:r>
      <w:r w:rsidR="003B65CF" w:rsidRPr="003B65CF">
        <w:t xml:space="preserve"> </w:t>
      </w:r>
      <w:r w:rsidR="0035197E">
        <w:t>2</w:t>
      </w:r>
      <w:r w:rsidR="00875978">
        <w:t>,</w:t>
      </w:r>
      <w:r w:rsidR="003B65CF" w:rsidRPr="003B65CF">
        <w:t xml:space="preserve"> </w:t>
      </w:r>
      <w:r w:rsidR="00875978">
        <w:t>in</w:t>
      </w:r>
      <w:r w:rsidR="003B65CF" w:rsidRPr="003B65CF">
        <w:t xml:space="preserve"> </w:t>
      </w:r>
      <w:r w:rsidR="00875978">
        <w:t>Part</w:t>
      </w:r>
      <w:r w:rsidR="003B65CF" w:rsidRPr="003B65CF">
        <w:t xml:space="preserve"> </w:t>
      </w:r>
      <w:r w:rsidR="00875978">
        <w:t>2</w:t>
      </w:r>
      <w:r w:rsidR="003B65CF" w:rsidRPr="003B65CF">
        <w:t xml:space="preserve"> </w:t>
      </w:r>
      <w:r w:rsidR="0032097F">
        <w:t>omit</w:t>
      </w:r>
      <w:r w:rsidR="003B65CF" w:rsidRPr="003B65CF">
        <w:t xml:space="preserve"> </w:t>
      </w:r>
      <w:r w:rsidR="0032097F">
        <w:t>the</w:t>
      </w:r>
      <w:r w:rsidR="003B65CF" w:rsidRPr="003B65CF">
        <w:t xml:space="preserve"> </w:t>
      </w:r>
      <w:r w:rsidR="0032097F">
        <w:t>following</w:t>
      </w:r>
      <w:r w:rsidR="003B65CF" w:rsidRPr="003B65CF">
        <w:t xml:space="preserve"> </w:t>
      </w:r>
      <w:r w:rsidR="0032097F">
        <w:t>entries</w:t>
      </w:r>
      <w:r w:rsidR="003B65CF" w:rsidRPr="003B65CF">
        <w:t xml:space="preserve"> </w:t>
      </w:r>
      <w:r w:rsidR="0032097F">
        <w:t>relating</w:t>
      </w:r>
      <w:r w:rsidR="003B65CF" w:rsidRPr="003B65CF">
        <w:t xml:space="preserve"> </w:t>
      </w:r>
      <w:r w:rsidR="0032097F">
        <w:t>to</w:t>
      </w:r>
      <w:r w:rsidR="003B65CF" w:rsidRPr="003B65CF">
        <w:t xml:space="preserve"> </w:t>
      </w:r>
      <w:r w:rsidR="0032097F">
        <w:t>the</w:t>
      </w:r>
      <w:r w:rsidR="003B65CF" w:rsidRPr="003B65CF">
        <w:t xml:space="preserve"> </w:t>
      </w:r>
      <w:r w:rsidR="0032097F">
        <w:t>following</w:t>
      </w:r>
      <w:r w:rsidR="003B65CF" w:rsidRPr="003B65CF">
        <w:t xml:space="preserve"> </w:t>
      </w:r>
      <w:r w:rsidR="0032097F">
        <w:t>provisions</w:t>
      </w:r>
      <w:r w:rsidR="003B65CF" w:rsidRPr="003B65CF">
        <w:t xml:space="preserve"> </w:t>
      </w:r>
      <w:r w:rsidR="0032097F">
        <w:t>of</w:t>
      </w:r>
      <w:r w:rsidR="003B65CF" w:rsidRPr="003B65CF">
        <w:t xml:space="preserve"> </w:t>
      </w:r>
      <w:r w:rsidR="0032097F">
        <w:t>(EC)</w:t>
      </w:r>
      <w:r w:rsidR="003B65CF" w:rsidRPr="003B65CF">
        <w:t xml:space="preserve"> </w:t>
      </w:r>
      <w:r w:rsidR="0032097F">
        <w:t>110/2008</w:t>
      </w:r>
      <w:r>
        <w:t>—</w:t>
      </w:r>
    </w:p>
    <w:p w:rsidR="0032097F" w:rsidRDefault="0032097F" w:rsidP="00A37067">
      <w:pPr>
        <w:pStyle w:val="N3"/>
      </w:pPr>
      <w:r>
        <w:t>Article</w:t>
      </w:r>
      <w:r w:rsidR="003B65CF" w:rsidRPr="003B65CF">
        <w:t xml:space="preserve"> </w:t>
      </w:r>
      <w:r>
        <w:t>3(1);</w:t>
      </w:r>
    </w:p>
    <w:p w:rsidR="0032097F" w:rsidRDefault="0032097F" w:rsidP="00A37067">
      <w:pPr>
        <w:pStyle w:val="N3"/>
      </w:pPr>
      <w:r>
        <w:t>Article</w:t>
      </w:r>
      <w:r w:rsidR="003B65CF" w:rsidRPr="003B65CF">
        <w:t xml:space="preserve"> </w:t>
      </w:r>
      <w:r>
        <w:t>3(2);</w:t>
      </w:r>
    </w:p>
    <w:p w:rsidR="0032097F" w:rsidRDefault="0032097F" w:rsidP="00A37067">
      <w:pPr>
        <w:pStyle w:val="N3"/>
      </w:pPr>
      <w:r>
        <w:t>Article</w:t>
      </w:r>
      <w:r w:rsidR="003B65CF" w:rsidRPr="003B65CF">
        <w:t xml:space="preserve"> </w:t>
      </w:r>
      <w:r>
        <w:t>3(3);</w:t>
      </w:r>
    </w:p>
    <w:p w:rsidR="0032097F" w:rsidRDefault="0032097F" w:rsidP="0032097F">
      <w:pPr>
        <w:pStyle w:val="N3"/>
      </w:pPr>
      <w:r>
        <w:t>Article</w:t>
      </w:r>
      <w:r w:rsidR="003B65CF" w:rsidRPr="003B65CF">
        <w:t xml:space="preserve"> </w:t>
      </w:r>
      <w:r>
        <w:t>3(4);</w:t>
      </w:r>
    </w:p>
    <w:p w:rsidR="0032097F" w:rsidRDefault="0032097F" w:rsidP="0032097F">
      <w:pPr>
        <w:pStyle w:val="N3"/>
      </w:pPr>
      <w:r>
        <w:t>Article</w:t>
      </w:r>
      <w:r w:rsidR="003B65CF" w:rsidRPr="003B65CF">
        <w:t xml:space="preserve"> </w:t>
      </w:r>
      <w:r>
        <w:t>5(1);</w:t>
      </w:r>
    </w:p>
    <w:p w:rsidR="0032097F" w:rsidRDefault="0032097F" w:rsidP="0032097F">
      <w:pPr>
        <w:pStyle w:val="N3"/>
      </w:pPr>
      <w:r>
        <w:t>Article</w:t>
      </w:r>
      <w:r w:rsidR="003B65CF" w:rsidRPr="003B65CF">
        <w:t xml:space="preserve"> </w:t>
      </w:r>
      <w:r>
        <w:t>5(2);</w:t>
      </w:r>
    </w:p>
    <w:p w:rsidR="0032097F" w:rsidRDefault="0032097F" w:rsidP="0032097F">
      <w:pPr>
        <w:pStyle w:val="N3"/>
      </w:pPr>
      <w:r>
        <w:t>Article</w:t>
      </w:r>
      <w:r w:rsidR="003B65CF" w:rsidRPr="003B65CF">
        <w:t xml:space="preserve"> </w:t>
      </w:r>
      <w:r>
        <w:t>5(3);</w:t>
      </w:r>
    </w:p>
    <w:p w:rsidR="0032097F" w:rsidRDefault="0032097F" w:rsidP="0032097F">
      <w:pPr>
        <w:pStyle w:val="N3"/>
      </w:pPr>
      <w:r>
        <w:t>Article</w:t>
      </w:r>
      <w:r w:rsidR="003B65CF" w:rsidRPr="003B65CF">
        <w:t xml:space="preserve"> </w:t>
      </w:r>
      <w:r>
        <w:t>9(1);</w:t>
      </w:r>
    </w:p>
    <w:p w:rsidR="0032097F" w:rsidRDefault="0032097F" w:rsidP="0032097F">
      <w:pPr>
        <w:pStyle w:val="N3"/>
      </w:pPr>
      <w:r>
        <w:t>Article</w:t>
      </w:r>
      <w:r w:rsidR="003B65CF" w:rsidRPr="003B65CF">
        <w:t xml:space="preserve"> </w:t>
      </w:r>
      <w:r>
        <w:t>9(2);</w:t>
      </w:r>
    </w:p>
    <w:p w:rsidR="0032097F" w:rsidRDefault="0032097F" w:rsidP="0032097F">
      <w:pPr>
        <w:pStyle w:val="N3"/>
      </w:pPr>
      <w:r>
        <w:t>Article</w:t>
      </w:r>
      <w:r w:rsidR="003B65CF" w:rsidRPr="003B65CF">
        <w:t xml:space="preserve"> </w:t>
      </w:r>
      <w:r>
        <w:t>9(4);</w:t>
      </w:r>
    </w:p>
    <w:p w:rsidR="0032097F" w:rsidRDefault="0032097F" w:rsidP="0032097F">
      <w:pPr>
        <w:pStyle w:val="N3"/>
      </w:pPr>
      <w:r>
        <w:t>Article</w:t>
      </w:r>
      <w:r w:rsidR="003B65CF" w:rsidRPr="003B65CF">
        <w:t xml:space="preserve"> </w:t>
      </w:r>
      <w:r>
        <w:t>9(8);</w:t>
      </w:r>
    </w:p>
    <w:p w:rsidR="0032097F" w:rsidRDefault="0032097F" w:rsidP="0032097F">
      <w:pPr>
        <w:pStyle w:val="N3"/>
      </w:pPr>
      <w:r>
        <w:t>Article</w:t>
      </w:r>
      <w:r w:rsidR="003B65CF" w:rsidRPr="003B65CF">
        <w:t xml:space="preserve"> </w:t>
      </w:r>
      <w:r>
        <w:t>9(9);</w:t>
      </w:r>
    </w:p>
    <w:p w:rsidR="0032097F" w:rsidRDefault="0032097F" w:rsidP="0032097F">
      <w:pPr>
        <w:pStyle w:val="N3"/>
      </w:pPr>
      <w:r>
        <w:t>Article</w:t>
      </w:r>
      <w:r w:rsidR="003B65CF" w:rsidRPr="003B65CF">
        <w:t xml:space="preserve"> </w:t>
      </w:r>
      <w:r>
        <w:t>11(1);</w:t>
      </w:r>
    </w:p>
    <w:p w:rsidR="0032097F" w:rsidRDefault="0032097F" w:rsidP="0032097F">
      <w:pPr>
        <w:pStyle w:val="N3"/>
      </w:pPr>
      <w:r>
        <w:t>Article</w:t>
      </w:r>
      <w:r w:rsidR="003B65CF" w:rsidRPr="003B65CF">
        <w:t xml:space="preserve"> </w:t>
      </w:r>
      <w:r>
        <w:t>11(2);</w:t>
      </w:r>
    </w:p>
    <w:p w:rsidR="0032097F" w:rsidRDefault="0032097F" w:rsidP="0032097F">
      <w:pPr>
        <w:pStyle w:val="N3"/>
      </w:pPr>
      <w:r>
        <w:t>Article</w:t>
      </w:r>
      <w:r w:rsidR="003B65CF" w:rsidRPr="003B65CF">
        <w:t xml:space="preserve"> </w:t>
      </w:r>
      <w:r>
        <w:t>11(4);</w:t>
      </w:r>
    </w:p>
    <w:p w:rsidR="0032097F" w:rsidRDefault="0032097F" w:rsidP="0032097F">
      <w:pPr>
        <w:pStyle w:val="N3"/>
      </w:pPr>
      <w:r>
        <w:t>Article</w:t>
      </w:r>
      <w:r w:rsidR="003B65CF" w:rsidRPr="003B65CF">
        <w:t xml:space="preserve"> </w:t>
      </w:r>
      <w:r>
        <w:t>11(5);</w:t>
      </w:r>
    </w:p>
    <w:p w:rsidR="0032097F" w:rsidRDefault="0032097F" w:rsidP="0032097F">
      <w:pPr>
        <w:pStyle w:val="N3"/>
      </w:pPr>
      <w:r>
        <w:t>Article</w:t>
      </w:r>
      <w:r w:rsidR="003B65CF" w:rsidRPr="003B65CF">
        <w:t xml:space="preserve"> </w:t>
      </w:r>
      <w:r>
        <w:t>12(1);</w:t>
      </w:r>
    </w:p>
    <w:p w:rsidR="0032097F" w:rsidRDefault="0032097F" w:rsidP="0032097F">
      <w:pPr>
        <w:pStyle w:val="N3"/>
      </w:pPr>
      <w:r>
        <w:t>Article</w:t>
      </w:r>
      <w:r w:rsidR="003B65CF" w:rsidRPr="003B65CF">
        <w:t xml:space="preserve"> </w:t>
      </w:r>
      <w:r>
        <w:t>12(2);</w:t>
      </w:r>
    </w:p>
    <w:p w:rsidR="0032097F" w:rsidRDefault="0032097F" w:rsidP="0032097F">
      <w:pPr>
        <w:pStyle w:val="N3"/>
      </w:pPr>
      <w:r>
        <w:t>Article</w:t>
      </w:r>
      <w:r w:rsidR="003B65CF" w:rsidRPr="003B65CF">
        <w:t xml:space="preserve"> </w:t>
      </w:r>
      <w:r>
        <w:t>12(3);</w:t>
      </w:r>
    </w:p>
    <w:p w:rsidR="0032097F" w:rsidRDefault="0032097F" w:rsidP="0032097F">
      <w:pPr>
        <w:pStyle w:val="N3"/>
      </w:pPr>
      <w:r>
        <w:t>Article</w:t>
      </w:r>
      <w:r w:rsidR="003B65CF" w:rsidRPr="003B65CF">
        <w:t xml:space="preserve"> </w:t>
      </w:r>
      <w:r>
        <w:t>13;</w:t>
      </w:r>
    </w:p>
    <w:p w:rsidR="00A84AFA" w:rsidRDefault="0032097F" w:rsidP="00A84AFA">
      <w:pPr>
        <w:pStyle w:val="N3"/>
      </w:pPr>
      <w:r>
        <w:t>Article</w:t>
      </w:r>
      <w:r w:rsidR="003B65CF" w:rsidRPr="003B65CF">
        <w:t xml:space="preserve"> </w:t>
      </w:r>
      <w:r>
        <w:t>14(1).</w:t>
      </w:r>
    </w:p>
    <w:p w:rsidR="0035197E" w:rsidRDefault="001D7DD7" w:rsidP="00A84AFA">
      <w:pPr>
        <w:pStyle w:val="N2"/>
      </w:pPr>
      <w:r>
        <w:t>In</w:t>
      </w:r>
      <w:r w:rsidR="003B65CF" w:rsidRPr="003B65CF">
        <w:t xml:space="preserve"> </w:t>
      </w:r>
      <w:r w:rsidR="0035197E">
        <w:t>Schedule</w:t>
      </w:r>
      <w:r w:rsidR="003B65CF" w:rsidRPr="003B65CF">
        <w:t xml:space="preserve"> </w:t>
      </w:r>
      <w:r w:rsidR="0035197E">
        <w:t>3</w:t>
      </w:r>
      <w:r w:rsidR="003B65CF" w:rsidRPr="003B65CF">
        <w:t xml:space="preserve"> </w:t>
      </w:r>
      <w:r w:rsidR="0032097F">
        <w:t>omit</w:t>
      </w:r>
      <w:r w:rsidR="003B65CF" w:rsidRPr="003B65CF">
        <w:t xml:space="preserve"> </w:t>
      </w:r>
      <w:r w:rsidR="0032097F">
        <w:t>the</w:t>
      </w:r>
      <w:r w:rsidR="003B65CF" w:rsidRPr="003B65CF">
        <w:t xml:space="preserve"> </w:t>
      </w:r>
      <w:r w:rsidR="0032097F">
        <w:t>entries</w:t>
      </w:r>
      <w:r w:rsidR="003B65CF" w:rsidRPr="003B65CF">
        <w:t xml:space="preserve"> </w:t>
      </w:r>
      <w:r w:rsidR="0032097F">
        <w:t>numbered</w:t>
      </w:r>
      <w:r w:rsidR="003B65CF" w:rsidRPr="003B65CF">
        <w:t xml:space="preserve"> </w:t>
      </w:r>
      <w:r w:rsidR="0032097F">
        <w:t>1</w:t>
      </w:r>
      <w:r w:rsidR="003B65CF" w:rsidRPr="003B65CF">
        <w:t xml:space="preserve"> </w:t>
      </w:r>
      <w:r w:rsidR="0032097F">
        <w:t>to</w:t>
      </w:r>
      <w:r w:rsidR="003B65CF" w:rsidRPr="003B65CF">
        <w:t xml:space="preserve"> </w:t>
      </w:r>
      <w:r w:rsidR="0032097F">
        <w:t>3</w:t>
      </w:r>
      <w:r w:rsidR="003B65CF" w:rsidRPr="003B65CF">
        <w:t xml:space="preserve"> </w:t>
      </w:r>
      <w:r w:rsidR="0032097F">
        <w:t>and</w:t>
      </w:r>
      <w:r w:rsidR="003B65CF" w:rsidRPr="003B65CF">
        <w:t xml:space="preserve"> </w:t>
      </w:r>
      <w:r w:rsidR="0032097F">
        <w:t>7</w:t>
      </w:r>
      <w:r w:rsidR="003B65CF" w:rsidRPr="003B65CF">
        <w:t xml:space="preserve"> </w:t>
      </w:r>
      <w:r w:rsidR="0032097F">
        <w:t>to</w:t>
      </w:r>
      <w:r w:rsidR="003B65CF" w:rsidRPr="003B65CF">
        <w:t xml:space="preserve"> </w:t>
      </w:r>
      <w:r w:rsidR="0032097F">
        <w:t>12.</w:t>
      </w:r>
    </w:p>
    <w:p w:rsidR="0034265E" w:rsidRDefault="0034265E" w:rsidP="00F52988">
      <w:pPr>
        <w:pStyle w:val="H1"/>
      </w:pPr>
      <w:r>
        <w:t xml:space="preserve">Amendment of </w:t>
      </w:r>
      <w:r w:rsidR="00F52988">
        <w:t>t</w:t>
      </w:r>
      <w:r w:rsidR="00F52988" w:rsidRPr="00F52988">
        <w:t>he Spirit Drinks, Wine and European Union Withdrawal (Consequential Modifications) (Amendment) (EU Exit) Regulations 2020</w:t>
      </w:r>
    </w:p>
    <w:p w:rsidR="00F52988" w:rsidRDefault="00F52988" w:rsidP="00F52988">
      <w:pPr>
        <w:pStyle w:val="N1"/>
      </w:pPr>
      <w:r>
        <w:t> In t</w:t>
      </w:r>
      <w:r w:rsidRPr="00F52988">
        <w:t>he Spirit Drinks, Wine and European Union Withdrawal (Consequential Modifications) (Amendment) (EU Exit) Regulations 2020</w:t>
      </w:r>
      <w:r>
        <w:t>(</w:t>
      </w:r>
      <w:r>
        <w:rPr>
          <w:rStyle w:val="FootnoteReference"/>
        </w:rPr>
        <w:footnoteReference w:id="11"/>
      </w:r>
      <w:r>
        <w:t>), omit regulation 2.</w:t>
      </w:r>
    </w:p>
    <w:p w:rsidR="00F52988" w:rsidRDefault="00F52988" w:rsidP="00F52988">
      <w:pPr>
        <w:pStyle w:val="H1"/>
      </w:pPr>
      <w:r>
        <w:t>Amendment of t</w:t>
      </w:r>
      <w:r w:rsidRPr="00F52988">
        <w:t>he Agricultural Products, Food and Drink (Amendment etc.) (EU Exit) Regulations 2020</w:t>
      </w:r>
    </w:p>
    <w:p w:rsidR="00F52988" w:rsidRDefault="00F52988" w:rsidP="00F52988">
      <w:pPr>
        <w:pStyle w:val="N1"/>
      </w:pPr>
      <w:r>
        <w:t xml:space="preserve"> In t</w:t>
      </w:r>
      <w:r w:rsidRPr="00F52988">
        <w:t>he Agricultural Products, Food and Drink (Amendment etc.) (EU Exit) Regulations 2020</w:t>
      </w:r>
      <w:r>
        <w:t>(</w:t>
      </w:r>
      <w:r>
        <w:rPr>
          <w:rStyle w:val="FootnoteReference"/>
        </w:rPr>
        <w:footnoteReference w:id="12"/>
      </w:r>
      <w:r>
        <w:t>)</w:t>
      </w:r>
      <w:r w:rsidR="00C651FF">
        <w:t>, omit regulation 13(6)(a).</w:t>
      </w:r>
    </w:p>
    <w:p w:rsidR="00C651FF" w:rsidRDefault="00C651FF" w:rsidP="00C651FF">
      <w:pPr>
        <w:pStyle w:val="H1"/>
      </w:pPr>
      <w:r>
        <w:t>Amendment of th</w:t>
      </w:r>
      <w:r w:rsidRPr="00C651FF">
        <w:t>e Agricultural Products, Food and Drink (Amendment) (EU Exit) Regulations 2020</w:t>
      </w:r>
    </w:p>
    <w:p w:rsidR="00C651FF" w:rsidRDefault="00C651FF" w:rsidP="00C651FF">
      <w:pPr>
        <w:pStyle w:val="N1"/>
      </w:pPr>
      <w:r>
        <w:t xml:space="preserve"> In the </w:t>
      </w:r>
      <w:r w:rsidRPr="00C651FF">
        <w:t>Agricultural Products, Food and Drink (Amendment) (EU Exit) Regulations 2020</w:t>
      </w:r>
      <w:r>
        <w:t>(</w:t>
      </w:r>
      <w:r>
        <w:rPr>
          <w:rStyle w:val="FootnoteReference"/>
        </w:rPr>
        <w:footnoteReference w:id="13"/>
      </w:r>
      <w:r>
        <w:t>), omit regulation 11(3).</w:t>
      </w:r>
    </w:p>
    <w:p w:rsidR="00D36379" w:rsidRPr="00D36379" w:rsidRDefault="00D36379" w:rsidP="00D36379">
      <w:pPr>
        <w:pStyle w:val="H1"/>
      </w:pPr>
      <w:r>
        <w:lastRenderedPageBreak/>
        <w:t xml:space="preserve">Amendment of the </w:t>
      </w:r>
      <w:r w:rsidRPr="00D36379">
        <w:t>Food Information Regulations</w:t>
      </w:r>
      <w:r>
        <w:t xml:space="preserve"> (Northern Ireland)</w:t>
      </w:r>
      <w:r w:rsidRPr="00D36379">
        <w:t xml:space="preserve"> 2014  </w:t>
      </w:r>
    </w:p>
    <w:p w:rsidR="00F52988" w:rsidRDefault="00D36379" w:rsidP="00D36379">
      <w:pPr>
        <w:pStyle w:val="N1"/>
      </w:pPr>
      <w:r>
        <w:t> In the Food Information Regulations (Northern Ireland) 2014(</w:t>
      </w:r>
      <w:r>
        <w:rPr>
          <w:rStyle w:val="FootnoteReference"/>
        </w:rPr>
        <w:footnoteReference w:id="14"/>
      </w:r>
      <w:r>
        <w:t>)</w:t>
      </w:r>
      <w:r w:rsidR="00E740C1">
        <w:t>, at the end of the second column of Part 5 of Schedule 5, insert—</w:t>
      </w:r>
    </w:p>
    <w:p w:rsidR="00E740C1" w:rsidRDefault="00E740C1" w:rsidP="00E740C1">
      <w:pPr>
        <w:pStyle w:val="LQT1"/>
      </w:pPr>
      <w:r w:rsidRPr="00E740C1">
        <w:fldChar w:fldCharType="begin"/>
      </w:r>
      <w:r w:rsidRPr="00E740C1">
        <w:instrText xml:space="preserve"> SYMBOL 147 \* MERGEFORMAT </w:instrText>
      </w:r>
      <w:r w:rsidRPr="00E740C1">
        <w:fldChar w:fldCharType="end"/>
      </w:r>
      <w:r>
        <w:t>and Article 14(2) of Regulation (EU) 2019/787 of the European Parliament and of the Council.</w:t>
      </w:r>
      <w:r w:rsidRPr="00E740C1">
        <w:fldChar w:fldCharType="begin"/>
      </w:r>
      <w:r w:rsidRPr="00E740C1">
        <w:instrText xml:space="preserve"> SYMBOL 148 \* MERGEFORMAT </w:instrText>
      </w:r>
      <w:r w:rsidRPr="00E740C1">
        <w:fldChar w:fldCharType="end"/>
      </w:r>
    </w:p>
    <w:p w:rsidR="00E740C1" w:rsidRDefault="00E740C1" w:rsidP="00E740C1">
      <w:pPr>
        <w:pStyle w:val="H1"/>
      </w:pPr>
      <w:r>
        <w:t xml:space="preserve">Amendment to </w:t>
      </w:r>
      <w:r w:rsidRPr="00E740C1">
        <w:t>the Weights and Measures (Intoxicating Liquor) Order (Northern Ireland) 1989</w:t>
      </w:r>
    </w:p>
    <w:p w:rsidR="00E740C1" w:rsidRDefault="00E740C1" w:rsidP="00E740C1">
      <w:pPr>
        <w:pStyle w:val="N1"/>
      </w:pPr>
      <w:r>
        <w:t>—</w:t>
      </w:r>
      <w:r>
        <w:fldChar w:fldCharType="begin"/>
      </w:r>
      <w:r>
        <w:instrText xml:space="preserve"> LISTNUM "SEQ1" \l 2 </w:instrText>
      </w:r>
      <w:r>
        <w:fldChar w:fldCharType="end"/>
      </w:r>
      <w:r>
        <w:t> </w:t>
      </w:r>
      <w:r w:rsidRPr="00E740C1">
        <w:t xml:space="preserve">The Weights and Measures (Intoxicating </w:t>
      </w:r>
      <w:r>
        <w:t>Liquor)</w:t>
      </w:r>
      <w:r w:rsidR="00422D45" w:rsidRPr="00422D45">
        <w:rPr>
          <w:sz w:val="24"/>
          <w:szCs w:val="24"/>
          <w:lang w:eastAsia="en-GB"/>
        </w:rPr>
        <w:t xml:space="preserve"> </w:t>
      </w:r>
      <w:r w:rsidR="00422D45" w:rsidRPr="00422D45">
        <w:t>Order</w:t>
      </w:r>
      <w:r>
        <w:t xml:space="preserve"> (Northern Ireland) 1989(</w:t>
      </w:r>
      <w:r>
        <w:rPr>
          <w:rStyle w:val="FootnoteReference"/>
        </w:rPr>
        <w:footnoteReference w:id="15"/>
      </w:r>
      <w:r>
        <w:t>) is a</w:t>
      </w:r>
      <w:r w:rsidRPr="00E740C1">
        <w:t>mended as follows.</w:t>
      </w:r>
    </w:p>
    <w:p w:rsidR="00E27165" w:rsidRDefault="001F2FB8" w:rsidP="00E27165">
      <w:pPr>
        <w:pStyle w:val="N2"/>
      </w:pPr>
      <w:r w:rsidRPr="001F2FB8">
        <w:t>In article 1(2), after the definition of “made wine” but before the “and” insert—</w:t>
      </w:r>
    </w:p>
    <w:p w:rsidR="001F2FB8" w:rsidRDefault="001F2FB8" w:rsidP="001F2FB8">
      <w:pPr>
        <w:pStyle w:val="LQT1"/>
      </w:pPr>
      <w:r w:rsidRPr="001F2FB8">
        <w:fldChar w:fldCharType="begin"/>
      </w:r>
      <w:r w:rsidRPr="001F2FB8">
        <w:instrText xml:space="preserve"> SYMBOL 147 \* MERGEFORMAT </w:instrText>
      </w:r>
      <w:r w:rsidRPr="001F2FB8">
        <w:fldChar w:fldCharType="end"/>
      </w:r>
      <w:r>
        <w:t>“single distilled shochu”</w:t>
      </w:r>
      <w:r w:rsidRPr="003B65CF">
        <w:t xml:space="preserve"> </w:t>
      </w:r>
      <w:r w:rsidRPr="001F2FB8">
        <w:t>means the spirit drink known as single distilled shochu which is single distilled, produced by pot still and bottled in Japan;</w:t>
      </w:r>
      <w:r w:rsidRPr="001F2FB8">
        <w:fldChar w:fldCharType="begin"/>
      </w:r>
      <w:r w:rsidRPr="001F2FB8">
        <w:instrText xml:space="preserve"> SYMBOL 148 \* MERGEFORMAT </w:instrText>
      </w:r>
      <w:r w:rsidRPr="001F2FB8">
        <w:fldChar w:fldCharType="end"/>
      </w:r>
      <w:r>
        <w:t>.</w:t>
      </w:r>
    </w:p>
    <w:p w:rsidR="00422D45" w:rsidRDefault="001F2FB8" w:rsidP="001F2FB8">
      <w:pPr>
        <w:pStyle w:val="N2"/>
      </w:pPr>
      <w:r w:rsidRPr="001F2FB8">
        <w:t xml:space="preserve">In the table in Schedule A1, in the </w:t>
      </w:r>
      <w:r w:rsidR="00422D45">
        <w:t>row relating to “Spirit drinks”—</w:t>
      </w:r>
    </w:p>
    <w:p w:rsidR="00422D45" w:rsidRDefault="00422D45" w:rsidP="00422D45">
      <w:pPr>
        <w:pStyle w:val="N3"/>
      </w:pPr>
      <w:r>
        <w:t>in the second column, for the definition of Sprit Dinks, substitute—</w:t>
      </w:r>
    </w:p>
    <w:p w:rsidR="00422D45" w:rsidRPr="00632D69" w:rsidRDefault="00422D45" w:rsidP="00422D45">
      <w:pPr>
        <w:pStyle w:val="LQT1"/>
      </w:pPr>
      <w:r w:rsidRPr="00422D45">
        <w:fldChar w:fldCharType="begin"/>
      </w:r>
      <w:r w:rsidRPr="00422D45">
        <w:instrText xml:space="preserve"> SYMBOL 147 \* MERGEFORMAT </w:instrText>
      </w:r>
      <w:r w:rsidRPr="00422D45">
        <w:fldChar w:fldCharType="end"/>
      </w:r>
      <w:r>
        <w:t xml:space="preserve">Spirit drinks as defined in Article 2 of </w:t>
      </w:r>
      <w:r w:rsidRPr="00422D45">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w:t>
      </w:r>
      <w:r w:rsidR="003C4314">
        <w:t>, as that Regulation applies in Northern Ireland</w:t>
      </w:r>
      <w:r w:rsidR="00632D69">
        <w:t>.</w:t>
      </w:r>
      <w:r w:rsidR="00632D69" w:rsidRPr="00632D69">
        <w:fldChar w:fldCharType="begin"/>
      </w:r>
      <w:r w:rsidR="00632D69" w:rsidRPr="00632D69">
        <w:instrText xml:space="preserve"> SYMBOL 148 \* MERGEFORMAT </w:instrText>
      </w:r>
      <w:r w:rsidR="00632D69" w:rsidRPr="00632D69">
        <w:fldChar w:fldCharType="end"/>
      </w:r>
    </w:p>
    <w:p w:rsidR="001F2FB8" w:rsidRPr="001F2FB8" w:rsidRDefault="001F2FB8" w:rsidP="00422D45">
      <w:pPr>
        <w:pStyle w:val="N3"/>
      </w:pPr>
      <w:r w:rsidRPr="001F2FB8">
        <w:t>in the fourth column, at the end, insert “, or single distilled shochu in containers of a capacity of 720 ml and 1800 ml”</w:t>
      </w:r>
      <w:r>
        <w:t>.</w:t>
      </w:r>
    </w:p>
    <w:p w:rsidR="005C1FC0" w:rsidRPr="005C1FC0" w:rsidRDefault="005C1FC0" w:rsidP="005C1FC0">
      <w:pPr>
        <w:pStyle w:val="linespace"/>
      </w:pPr>
    </w:p>
    <w:p w:rsidR="005C1FC0" w:rsidRDefault="005C1FC0">
      <w:pPr>
        <w:pStyle w:val="SigBlock"/>
      </w:pPr>
      <w:r>
        <w:rPr>
          <w:rStyle w:val="Sigsignatory"/>
        </w:rPr>
        <w:t>Sealed</w:t>
      </w:r>
      <w:r w:rsidR="003B65CF" w:rsidRPr="003B65CF">
        <w:rPr>
          <w:rStyle w:val="Sigsignatory"/>
        </w:rPr>
        <w:t xml:space="preserve"> </w:t>
      </w:r>
      <w:r>
        <w:rPr>
          <w:rStyle w:val="Sigsignatory"/>
        </w:rPr>
        <w:t>with</w:t>
      </w:r>
      <w:r w:rsidR="003B65CF" w:rsidRPr="003B65CF">
        <w:rPr>
          <w:rStyle w:val="Sigsignatory"/>
        </w:rPr>
        <w:t xml:space="preserve"> </w:t>
      </w:r>
      <w:r>
        <w:rPr>
          <w:rStyle w:val="Sigsignatory"/>
        </w:rPr>
        <w:t>the</w:t>
      </w:r>
      <w:r w:rsidR="003B65CF" w:rsidRPr="003B65CF">
        <w:rPr>
          <w:rStyle w:val="Sigsignatory"/>
        </w:rPr>
        <w:t xml:space="preserve"> </w:t>
      </w:r>
      <w:r>
        <w:rPr>
          <w:rStyle w:val="Sigsignatory"/>
        </w:rPr>
        <w:t>Official</w:t>
      </w:r>
      <w:r w:rsidR="003B65CF" w:rsidRPr="003B65CF">
        <w:rPr>
          <w:rStyle w:val="Sigsignatory"/>
        </w:rPr>
        <w:t xml:space="preserve"> </w:t>
      </w:r>
      <w:r>
        <w:rPr>
          <w:rStyle w:val="Sigsignatory"/>
        </w:rPr>
        <w:t>Seal</w:t>
      </w:r>
      <w:r w:rsidR="003B65CF" w:rsidRPr="003B65CF">
        <w:rPr>
          <w:rStyle w:val="Sigsignatory"/>
        </w:rPr>
        <w:t xml:space="preserve"> </w:t>
      </w:r>
      <w:r>
        <w:rPr>
          <w:rStyle w:val="Sigsignatory"/>
        </w:rPr>
        <w:t>of</w:t>
      </w:r>
      <w:r w:rsidR="003B65CF" w:rsidRPr="003B65CF">
        <w:rPr>
          <w:rStyle w:val="Sigsignatory"/>
        </w:rPr>
        <w:t xml:space="preserve"> </w:t>
      </w:r>
      <w:r>
        <w:rPr>
          <w:rStyle w:val="Sigsignatory"/>
        </w:rPr>
        <w:t>the</w:t>
      </w:r>
      <w:r w:rsidR="003B65CF" w:rsidRPr="003B65CF">
        <w:rPr>
          <w:rStyle w:val="Sigsignatory"/>
        </w:rPr>
        <w:t xml:space="preserve"> </w:t>
      </w:r>
      <w:r>
        <w:rPr>
          <w:rStyle w:val="Sigsignatory"/>
        </w:rPr>
        <w:t>Department</w:t>
      </w:r>
      <w:r w:rsidR="003B65CF" w:rsidRPr="003B65CF">
        <w:rPr>
          <w:rStyle w:val="Sigsignatory"/>
        </w:rPr>
        <w:t xml:space="preserve"> </w:t>
      </w:r>
      <w:r>
        <w:rPr>
          <w:rStyle w:val="Sigsignatory"/>
        </w:rPr>
        <w:t>of</w:t>
      </w:r>
      <w:r w:rsidR="003B65CF" w:rsidRPr="003B65CF">
        <w:rPr>
          <w:rStyle w:val="Sigsignatory"/>
        </w:rPr>
        <w:t xml:space="preserve"> </w:t>
      </w:r>
      <w:r>
        <w:rPr>
          <w:rStyle w:val="Sigsignatory"/>
        </w:rPr>
        <w:t>Agriculture,</w:t>
      </w:r>
      <w:r w:rsidR="003B65CF" w:rsidRPr="003B65CF">
        <w:rPr>
          <w:rStyle w:val="Sigsignatory"/>
        </w:rPr>
        <w:t xml:space="preserve"> </w:t>
      </w:r>
      <w:r>
        <w:rPr>
          <w:rStyle w:val="Sigsignatory"/>
        </w:rPr>
        <w:t>Environment</w:t>
      </w:r>
      <w:r w:rsidR="003B65CF" w:rsidRPr="003B65CF">
        <w:rPr>
          <w:rStyle w:val="Sigsignatory"/>
        </w:rPr>
        <w:t xml:space="preserve"> </w:t>
      </w:r>
      <w:r>
        <w:rPr>
          <w:rStyle w:val="Sigsignatory"/>
        </w:rPr>
        <w:t>and</w:t>
      </w:r>
      <w:r w:rsidR="003B65CF" w:rsidRPr="003B65CF">
        <w:rPr>
          <w:rStyle w:val="Sigsignatory"/>
        </w:rPr>
        <w:t xml:space="preserve"> </w:t>
      </w:r>
      <w:r>
        <w:rPr>
          <w:rStyle w:val="Sigsignatory"/>
        </w:rPr>
        <w:t>Rural</w:t>
      </w:r>
      <w:r w:rsidR="003B65CF" w:rsidRPr="003B65CF">
        <w:rPr>
          <w:rStyle w:val="Sigsignatory"/>
        </w:rPr>
        <w:t xml:space="preserve"> </w:t>
      </w:r>
      <w:r>
        <w:rPr>
          <w:rStyle w:val="Sigsignatory"/>
        </w:rPr>
        <w:t>Affairs</w:t>
      </w:r>
      <w:r w:rsidR="003B65CF" w:rsidRPr="003B65CF">
        <w:rPr>
          <w:rStyle w:val="Sigsignatory"/>
        </w:rPr>
        <w:t xml:space="preserve"> </w:t>
      </w:r>
      <w:r>
        <w:rPr>
          <w:rStyle w:val="Sigsignatory"/>
        </w:rPr>
        <w:t>on</w:t>
      </w:r>
      <w:r w:rsidR="003B65CF" w:rsidRPr="003B65CF">
        <w:rPr>
          <w:rStyle w:val="Sigsignatory"/>
        </w:rPr>
        <w:t xml:space="preserve"> </w:t>
      </w:r>
      <w:r>
        <w:rPr>
          <w:rStyle w:val="Sigsignatory"/>
        </w:rPr>
        <w:t>***</w:t>
      </w:r>
    </w:p>
    <w:p w:rsidR="005C1FC0" w:rsidRDefault="005C1FC0">
      <w:pPr>
        <w:pStyle w:val="SigBlock"/>
      </w:pPr>
    </w:p>
    <w:p w:rsidR="006864AE" w:rsidRDefault="006864AE">
      <w:pPr>
        <w:pStyle w:val="SigBlock"/>
      </w:pPr>
    </w:p>
    <w:p w:rsidR="006864AE" w:rsidRDefault="006864AE">
      <w:pPr>
        <w:pStyle w:val="SigBlock"/>
      </w:pPr>
    </w:p>
    <w:p w:rsidR="006864AE" w:rsidRDefault="006864AE">
      <w:pPr>
        <w:pStyle w:val="SigBlock"/>
      </w:pPr>
    </w:p>
    <w:p w:rsidR="006864AE" w:rsidRDefault="006864AE">
      <w:pPr>
        <w:pStyle w:val="SigBlock"/>
      </w:pPr>
    </w:p>
    <w:p w:rsidR="006864AE" w:rsidRDefault="006864AE">
      <w:pPr>
        <w:pStyle w:val="SigBlock"/>
      </w:pPr>
    </w:p>
    <w:p w:rsidR="006864AE" w:rsidRDefault="006864AE">
      <w:pPr>
        <w:pStyle w:val="SigBlock"/>
      </w:pPr>
    </w:p>
    <w:p w:rsidR="006864AE" w:rsidRDefault="006864AE">
      <w:pPr>
        <w:pStyle w:val="SigBlock"/>
      </w:pPr>
    </w:p>
    <w:p w:rsidR="005C1FC0" w:rsidRDefault="003B65CF">
      <w:pPr>
        <w:pStyle w:val="SigBlock"/>
      </w:pPr>
      <w:r w:rsidRPr="003B65CF">
        <w:tab/>
      </w:r>
      <w:r w:rsidR="005C1FC0">
        <w:rPr>
          <w:rStyle w:val="SigSignee"/>
        </w:rPr>
        <w:t>Name</w:t>
      </w:r>
    </w:p>
    <w:p w:rsidR="003B65CF" w:rsidRDefault="003B65CF">
      <w:pPr>
        <w:pStyle w:val="SigBlock"/>
        <w:rPr>
          <w:rStyle w:val="Sigtitle"/>
        </w:rPr>
      </w:pPr>
      <w:r w:rsidRPr="003B65CF">
        <w:tab/>
      </w:r>
      <w:r w:rsidR="005C1FC0">
        <w:rPr>
          <w:rStyle w:val="Sigtitle"/>
        </w:rPr>
        <w:t>A</w:t>
      </w:r>
      <w:r w:rsidRPr="003B65CF">
        <w:rPr>
          <w:rStyle w:val="Sigtitle"/>
        </w:rPr>
        <w:t xml:space="preserve"> </w:t>
      </w:r>
      <w:r w:rsidR="005C1FC0">
        <w:rPr>
          <w:rStyle w:val="Sigtitle"/>
        </w:rPr>
        <w:t>senior</w:t>
      </w:r>
      <w:r w:rsidRPr="003B65CF">
        <w:rPr>
          <w:rStyle w:val="Sigtitle"/>
        </w:rPr>
        <w:t xml:space="preserve"> </w:t>
      </w:r>
      <w:r w:rsidR="005C1FC0">
        <w:rPr>
          <w:rStyle w:val="Sigtitle"/>
        </w:rPr>
        <w:t>officer</w:t>
      </w:r>
      <w:r w:rsidRPr="003B65CF">
        <w:rPr>
          <w:rStyle w:val="Sigtitle"/>
        </w:rPr>
        <w:t xml:space="preserve"> </w:t>
      </w:r>
      <w:r w:rsidR="005C1FC0">
        <w:rPr>
          <w:rStyle w:val="Sigtitle"/>
        </w:rPr>
        <w:t>of</w:t>
      </w:r>
      <w:r w:rsidRPr="003B65CF">
        <w:rPr>
          <w:rStyle w:val="Sigtitle"/>
        </w:rPr>
        <w:t xml:space="preserve"> </w:t>
      </w:r>
      <w:r w:rsidR="005C1FC0">
        <w:rPr>
          <w:rStyle w:val="Sigtitle"/>
        </w:rPr>
        <w:t>the</w:t>
      </w:r>
    </w:p>
    <w:p w:rsidR="005C1FC0" w:rsidRDefault="003B65CF" w:rsidP="005C1FC0">
      <w:pPr>
        <w:pStyle w:val="SigBlock"/>
        <w:rPr>
          <w:rStyle w:val="Sigtitle"/>
        </w:rPr>
      </w:pPr>
      <w:r w:rsidRPr="003B65CF">
        <w:tab/>
      </w:r>
      <w:r w:rsidR="005C1FC0">
        <w:rPr>
          <w:rStyle w:val="Sigtitle"/>
        </w:rPr>
        <w:t>Department</w:t>
      </w:r>
      <w:r w:rsidRPr="003B65CF">
        <w:rPr>
          <w:rStyle w:val="Sigtitle"/>
        </w:rPr>
        <w:t xml:space="preserve"> </w:t>
      </w:r>
      <w:r w:rsidR="005C1FC0">
        <w:rPr>
          <w:rStyle w:val="Sigtitle"/>
        </w:rPr>
        <w:t>of</w:t>
      </w:r>
      <w:r w:rsidRPr="003B65CF">
        <w:rPr>
          <w:rStyle w:val="Sigtitle"/>
        </w:rPr>
        <w:t xml:space="preserve"> </w:t>
      </w:r>
      <w:r w:rsidR="005C1FC0">
        <w:rPr>
          <w:rStyle w:val="Sigtitle"/>
        </w:rPr>
        <w:t>Agriculture,</w:t>
      </w:r>
      <w:r w:rsidRPr="003B65CF">
        <w:rPr>
          <w:rStyle w:val="Sigtitle"/>
        </w:rPr>
        <w:t xml:space="preserve"> </w:t>
      </w:r>
      <w:r w:rsidR="005C1FC0">
        <w:rPr>
          <w:rStyle w:val="Sigtitle"/>
        </w:rPr>
        <w:t>Environment</w:t>
      </w:r>
      <w:r w:rsidRPr="003B65CF">
        <w:rPr>
          <w:rStyle w:val="Sigtitle"/>
        </w:rPr>
        <w:t xml:space="preserve"> </w:t>
      </w:r>
      <w:r w:rsidR="005C1FC0">
        <w:rPr>
          <w:rStyle w:val="Sigtitle"/>
        </w:rPr>
        <w:t>and</w:t>
      </w:r>
      <w:r w:rsidRPr="003B65CF">
        <w:rPr>
          <w:rStyle w:val="Sigtitle"/>
        </w:rPr>
        <w:t xml:space="preserve"> </w:t>
      </w:r>
      <w:r w:rsidR="005C1FC0">
        <w:rPr>
          <w:rStyle w:val="Sigtitle"/>
        </w:rPr>
        <w:t>Rural</w:t>
      </w:r>
      <w:r w:rsidRPr="003B65CF">
        <w:rPr>
          <w:rStyle w:val="Sigtitle"/>
        </w:rPr>
        <w:t xml:space="preserve"> </w:t>
      </w:r>
      <w:r w:rsidR="005C1FC0">
        <w:rPr>
          <w:rStyle w:val="Sigtitle"/>
        </w:rPr>
        <w:t>Affairs</w:t>
      </w:r>
    </w:p>
    <w:p w:rsidR="005C1FC0" w:rsidRDefault="003B65CF" w:rsidP="007779C5">
      <w:pPr>
        <w:pStyle w:val="Schedule"/>
        <w:pageBreakBefore/>
        <w:rPr>
          <w:rStyle w:val="Ref"/>
        </w:rPr>
      </w:pPr>
      <w:r w:rsidRPr="003B65CF">
        <w:lastRenderedPageBreak/>
        <w:tab/>
      </w:r>
      <w:r w:rsidR="005C1FC0">
        <w:t>SCHEDULE</w:t>
      </w:r>
      <w:r w:rsidRPr="003B65CF">
        <w:t xml:space="preserve"> </w:t>
      </w:r>
      <w:r w:rsidR="005C1FC0">
        <w:rPr>
          <w:noProof/>
        </w:rPr>
        <w:fldChar w:fldCharType="begin"/>
      </w:r>
      <w:r w:rsidR="005C1FC0">
        <w:rPr>
          <w:noProof/>
        </w:rPr>
        <w:instrText xml:space="preserve"> SEQ schedule\* arabic </w:instrText>
      </w:r>
      <w:r w:rsidR="005C1FC0">
        <w:rPr>
          <w:noProof/>
        </w:rPr>
        <w:fldChar w:fldCharType="separate"/>
      </w:r>
      <w:r>
        <w:rPr>
          <w:noProof/>
        </w:rPr>
        <w:t>1</w:t>
      </w:r>
      <w:r w:rsidR="005C1FC0">
        <w:rPr>
          <w:noProof/>
        </w:rPr>
        <w:fldChar w:fldCharType="end"/>
      </w:r>
      <w:r w:rsidRPr="003B65CF">
        <w:tab/>
      </w:r>
      <w:r w:rsidR="005C1FC0">
        <w:rPr>
          <w:rStyle w:val="Ref"/>
        </w:rPr>
        <w:t>Regulation</w:t>
      </w:r>
      <w:r w:rsidRPr="003B65CF">
        <w:rPr>
          <w:rStyle w:val="Ref"/>
        </w:rPr>
        <w:t xml:space="preserve"> </w:t>
      </w:r>
      <w:r w:rsidR="00C41234">
        <w:rPr>
          <w:rStyle w:val="Ref"/>
        </w:rPr>
        <w:t>2(3),</w:t>
      </w:r>
      <w:r w:rsidRPr="003B65CF">
        <w:rPr>
          <w:rStyle w:val="Ref"/>
        </w:rPr>
        <w:t xml:space="preserve"> </w:t>
      </w:r>
      <w:r w:rsidR="00C41234">
        <w:rPr>
          <w:rStyle w:val="Ref"/>
        </w:rPr>
        <w:t>3(1),</w:t>
      </w:r>
      <w:r w:rsidRPr="003B65CF">
        <w:rPr>
          <w:rStyle w:val="Ref"/>
        </w:rPr>
        <w:t xml:space="preserve"> </w:t>
      </w:r>
      <w:r w:rsidR="00C41234">
        <w:rPr>
          <w:rStyle w:val="Ref"/>
        </w:rPr>
        <w:t>9(5)</w:t>
      </w:r>
      <w:r w:rsidRPr="003B65CF">
        <w:rPr>
          <w:rStyle w:val="Ref"/>
        </w:rPr>
        <w:t xml:space="preserve"> </w:t>
      </w:r>
      <w:r w:rsidR="00C41234">
        <w:rPr>
          <w:rStyle w:val="Ref"/>
        </w:rPr>
        <w:t>and</w:t>
      </w:r>
      <w:r w:rsidRPr="003B65CF">
        <w:rPr>
          <w:rStyle w:val="Ref"/>
        </w:rPr>
        <w:t xml:space="preserve"> </w:t>
      </w:r>
      <w:r w:rsidR="00C41234">
        <w:rPr>
          <w:rStyle w:val="Ref"/>
        </w:rPr>
        <w:t>19(3)</w:t>
      </w:r>
    </w:p>
    <w:p w:rsidR="00C41234" w:rsidRDefault="003D2B3A" w:rsidP="00C41234">
      <w:pPr>
        <w:pStyle w:val="ScheduleHead"/>
      </w:pPr>
      <w:r>
        <w:t>EUROPEAN</w:t>
      </w:r>
      <w:r w:rsidR="003B65CF" w:rsidRPr="003B65CF">
        <w:t xml:space="preserve"> </w:t>
      </w:r>
      <w:r>
        <w:t>UNION</w:t>
      </w:r>
      <w:r w:rsidR="003B65CF" w:rsidRPr="003B65CF">
        <w:t xml:space="preserve"> </w:t>
      </w:r>
      <w:r w:rsidR="00C41234" w:rsidRPr="00C41234">
        <w:t>PROVISIONS</w:t>
      </w:r>
      <w:r w:rsidR="003B65CF" w:rsidRPr="003B65CF">
        <w:t xml:space="preserve"> </w:t>
      </w:r>
      <w:r w:rsidR="00C41234" w:rsidRPr="00C41234">
        <w:t>CONTRAVENTION</w:t>
      </w:r>
      <w:r w:rsidR="003B65CF" w:rsidRPr="003B65CF">
        <w:t xml:space="preserve"> </w:t>
      </w:r>
      <w:r w:rsidR="00C41234" w:rsidRPr="00C41234">
        <w:t>OF</w:t>
      </w:r>
      <w:r w:rsidR="003B65CF" w:rsidRPr="003B65CF">
        <w:t xml:space="preserve"> </w:t>
      </w:r>
      <w:r w:rsidR="00C41234" w:rsidRPr="00C41234">
        <w:t>WHICH</w:t>
      </w:r>
      <w:r w:rsidR="003B65CF" w:rsidRPr="003B65CF">
        <w:t xml:space="preserve"> </w:t>
      </w:r>
      <w:r w:rsidR="00C41234" w:rsidRPr="00C41234">
        <w:t>IS</w:t>
      </w:r>
      <w:r w:rsidR="003B65CF" w:rsidRPr="003B65CF">
        <w:t xml:space="preserve"> </w:t>
      </w:r>
      <w:r w:rsidR="00C41234" w:rsidRPr="00C41234">
        <w:t>AN</w:t>
      </w:r>
      <w:r w:rsidR="003B65CF" w:rsidRPr="003B65CF">
        <w:t xml:space="preserve"> </w:t>
      </w:r>
      <w:r w:rsidR="00C41234" w:rsidRPr="00C41234">
        <w:t>OFFENCE</w:t>
      </w:r>
    </w:p>
    <w:p w:rsidR="00C41234" w:rsidRDefault="00C41234">
      <w:pPr>
        <w:pStyle w:val="Part"/>
        <w:rPr>
          <w:noProof/>
        </w:rPr>
      </w:pPr>
      <w:r>
        <w:t>PART</w:t>
      </w:r>
      <w:r w:rsidR="003B65CF" w:rsidRPr="003B65CF">
        <w:t xml:space="preserve"> </w:t>
      </w:r>
      <w:r>
        <w:rPr>
          <w:noProof/>
        </w:rPr>
        <w:fldChar w:fldCharType="begin"/>
      </w:r>
      <w:r>
        <w:rPr>
          <w:noProof/>
        </w:rPr>
        <w:instrText xml:space="preserve"> SEQ Part_ \* arabic \r 1</w:instrText>
      </w:r>
      <w:r>
        <w:rPr>
          <w:noProof/>
        </w:rPr>
        <w:fldChar w:fldCharType="separate"/>
      </w:r>
      <w:r w:rsidR="003B65CF">
        <w:rPr>
          <w:noProof/>
        </w:rPr>
        <w:t>1</w:t>
      </w:r>
      <w:r>
        <w:rPr>
          <w:noProof/>
        </w:rPr>
        <w:fldChar w:fldCharType="end"/>
      </w:r>
    </w:p>
    <w:p w:rsidR="00C41234" w:rsidRDefault="00C41234" w:rsidP="00C41234">
      <w:pPr>
        <w:pStyle w:val="PartHead"/>
      </w:pPr>
      <w:r>
        <w:t>Interpretation</w:t>
      </w:r>
    </w:p>
    <w:p w:rsidR="003B65CF" w:rsidRDefault="00C41234" w:rsidP="00C41234">
      <w:pPr>
        <w:pStyle w:val="T1"/>
      </w:pPr>
      <w:r>
        <w:t>In</w:t>
      </w:r>
      <w:r w:rsidR="003B65CF" w:rsidRPr="003B65CF">
        <w:t xml:space="preserve"> </w:t>
      </w:r>
      <w:r>
        <w:t>this</w:t>
      </w:r>
      <w:r w:rsidR="003B65CF" w:rsidRPr="003B65CF">
        <w:t xml:space="preserve"> </w:t>
      </w:r>
      <w:r>
        <w:t>Schedule</w:t>
      </w:r>
      <w:r w:rsidR="003B65CF" w:rsidRPr="003B65CF">
        <w:t xml:space="preserve"> </w:t>
      </w:r>
      <w:r>
        <w:t>–</w:t>
      </w:r>
    </w:p>
    <w:p w:rsidR="00C41234" w:rsidRDefault="00C41234" w:rsidP="00C41234">
      <w:pPr>
        <w:pStyle w:val="DefPara"/>
      </w:pPr>
      <w:r>
        <w:t>“categories</w:t>
      </w:r>
      <w:r w:rsidR="003B65CF" w:rsidRPr="003B65CF">
        <w:t xml:space="preserve"> </w:t>
      </w:r>
      <w:r>
        <w:t>1</w:t>
      </w:r>
      <w:r w:rsidR="003B65CF" w:rsidRPr="003B65CF">
        <w:t xml:space="preserve"> </w:t>
      </w:r>
      <w:r>
        <w:t>to</w:t>
      </w:r>
      <w:r w:rsidR="003B65CF" w:rsidRPr="003B65CF">
        <w:t xml:space="preserve"> </w:t>
      </w:r>
      <w:r>
        <w:t>14”</w:t>
      </w:r>
      <w:r w:rsidR="003B65CF" w:rsidRPr="003B65CF">
        <w:t xml:space="preserve"> </w:t>
      </w:r>
      <w:r>
        <w:t>means</w:t>
      </w:r>
      <w:r w:rsidR="003B65CF" w:rsidRPr="003B65CF">
        <w:t xml:space="preserve"> </w:t>
      </w:r>
      <w:r>
        <w:t>the</w:t>
      </w:r>
      <w:r w:rsidR="003B65CF" w:rsidRPr="003B65CF">
        <w:t xml:space="preserve"> </w:t>
      </w:r>
      <w:r>
        <w:t>categories</w:t>
      </w:r>
      <w:r w:rsidR="003B65CF" w:rsidRPr="003B65CF">
        <w:t xml:space="preserve"> </w:t>
      </w:r>
      <w:r>
        <w:t>of</w:t>
      </w:r>
      <w:r w:rsidR="003B65CF" w:rsidRPr="003B65CF">
        <w:t xml:space="preserve"> </w:t>
      </w:r>
      <w:r>
        <w:t>spirit</w:t>
      </w:r>
      <w:r w:rsidR="003B65CF" w:rsidRPr="003B65CF">
        <w:t xml:space="preserve"> </w:t>
      </w:r>
      <w:r>
        <w:t>drinks</w:t>
      </w:r>
      <w:r w:rsidR="003B65CF" w:rsidRPr="003B65CF">
        <w:t xml:space="preserve"> </w:t>
      </w:r>
      <w:r>
        <w:t>numbered</w:t>
      </w:r>
      <w:r w:rsidR="003B65CF" w:rsidRPr="003B65CF">
        <w:t xml:space="preserve"> </w:t>
      </w:r>
      <w:r>
        <w:t>1</w:t>
      </w:r>
      <w:r w:rsidR="003B65CF" w:rsidRPr="003B65CF">
        <w:t xml:space="preserve"> </w:t>
      </w:r>
      <w:r>
        <w:t>to</w:t>
      </w:r>
      <w:r w:rsidR="003B65CF" w:rsidRPr="003B65CF">
        <w:t xml:space="preserve"> </w:t>
      </w:r>
      <w:r>
        <w:t>14</w:t>
      </w:r>
      <w:r w:rsidR="003B65CF" w:rsidRPr="003B65CF">
        <w:t xml:space="preserve"> </w:t>
      </w:r>
      <w:r w:rsidR="0062736C">
        <w:t>in</w:t>
      </w:r>
      <w:r w:rsidR="003B65CF" w:rsidRPr="003B65CF">
        <w:t xml:space="preserve"> </w:t>
      </w:r>
      <w:r>
        <w:t>Annex</w:t>
      </w:r>
      <w:r w:rsidR="003B65CF" w:rsidRPr="003B65CF">
        <w:t xml:space="preserve"> </w:t>
      </w:r>
      <w:r>
        <w:t>I</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p w:rsidR="00C41234" w:rsidRDefault="00C41234" w:rsidP="00C41234">
      <w:pPr>
        <w:pStyle w:val="DefPara"/>
      </w:pPr>
      <w:r>
        <w:t>“categories</w:t>
      </w:r>
      <w:r w:rsidR="003B65CF" w:rsidRPr="003B65CF">
        <w:t xml:space="preserve"> </w:t>
      </w:r>
      <w:r>
        <w:t>1</w:t>
      </w:r>
      <w:r w:rsidR="003B65CF" w:rsidRPr="003B65CF">
        <w:t xml:space="preserve"> </w:t>
      </w:r>
      <w:r>
        <w:t>to</w:t>
      </w:r>
      <w:r w:rsidR="003B65CF" w:rsidRPr="003B65CF">
        <w:t xml:space="preserve"> </w:t>
      </w:r>
      <w:r>
        <w:t>44”</w:t>
      </w:r>
      <w:r w:rsidR="003B65CF" w:rsidRPr="003B65CF">
        <w:t xml:space="preserve"> </w:t>
      </w:r>
      <w:r>
        <w:t>means</w:t>
      </w:r>
      <w:r w:rsidR="003B65CF" w:rsidRPr="003B65CF">
        <w:t xml:space="preserve"> </w:t>
      </w:r>
      <w:r>
        <w:t>the</w:t>
      </w:r>
      <w:r w:rsidR="003B65CF" w:rsidRPr="003B65CF">
        <w:t xml:space="preserve"> </w:t>
      </w:r>
      <w:r>
        <w:t>categories</w:t>
      </w:r>
      <w:r w:rsidR="003B65CF" w:rsidRPr="003B65CF">
        <w:t xml:space="preserve"> </w:t>
      </w:r>
      <w:r>
        <w:t>of</w:t>
      </w:r>
      <w:r w:rsidR="003B65CF" w:rsidRPr="003B65CF">
        <w:t xml:space="preserve"> </w:t>
      </w:r>
      <w:r>
        <w:t>spirit</w:t>
      </w:r>
      <w:r w:rsidR="003B65CF" w:rsidRPr="003B65CF">
        <w:t xml:space="preserve"> </w:t>
      </w:r>
      <w:r>
        <w:t>drinks</w:t>
      </w:r>
      <w:r w:rsidR="003B65CF" w:rsidRPr="003B65CF">
        <w:t xml:space="preserve"> </w:t>
      </w:r>
      <w:r>
        <w:t>numbered</w:t>
      </w:r>
      <w:r w:rsidR="003B65CF" w:rsidRPr="003B65CF">
        <w:t xml:space="preserve"> </w:t>
      </w:r>
      <w:r>
        <w:t>1</w:t>
      </w:r>
      <w:r w:rsidR="003B65CF" w:rsidRPr="003B65CF">
        <w:t xml:space="preserve"> </w:t>
      </w:r>
      <w:r>
        <w:t>to</w:t>
      </w:r>
      <w:r w:rsidR="003B65CF" w:rsidRPr="003B65CF">
        <w:t xml:space="preserve"> </w:t>
      </w:r>
      <w:r>
        <w:t>44</w:t>
      </w:r>
      <w:r w:rsidR="003B65CF" w:rsidRPr="003B65CF">
        <w:t xml:space="preserve"> </w:t>
      </w:r>
      <w:r>
        <w:t>in</w:t>
      </w:r>
      <w:r w:rsidR="003B65CF" w:rsidRPr="003B65CF">
        <w:t xml:space="preserve"> </w:t>
      </w:r>
      <w:r>
        <w:t>Annex</w:t>
      </w:r>
      <w:r w:rsidR="003B65CF" w:rsidRPr="003B65CF">
        <w:t xml:space="preserve"> </w:t>
      </w:r>
      <w:r>
        <w:t>I</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p w:rsidR="00C41234" w:rsidRDefault="00C41234">
      <w:pPr>
        <w:pStyle w:val="Part"/>
        <w:rPr>
          <w:sz w:val="21"/>
        </w:rPr>
      </w:pPr>
      <w:r>
        <w:t>PART</w:t>
      </w:r>
      <w:r w:rsidR="003B65CF" w:rsidRPr="003B65CF">
        <w:t xml:space="preserve"> </w:t>
      </w:r>
      <w:r>
        <w:rPr>
          <w:noProof/>
        </w:rPr>
        <w:fldChar w:fldCharType="begin"/>
      </w:r>
      <w:r>
        <w:rPr>
          <w:noProof/>
        </w:rPr>
        <w:instrText xml:space="preserve"> SEQ Part_ \* arabic </w:instrText>
      </w:r>
      <w:r>
        <w:rPr>
          <w:noProof/>
        </w:rPr>
        <w:fldChar w:fldCharType="separate"/>
      </w:r>
      <w:r w:rsidR="003B65CF">
        <w:rPr>
          <w:noProof/>
        </w:rPr>
        <w:t>2</w:t>
      </w:r>
      <w:r>
        <w:rPr>
          <w:noProof/>
        </w:rPr>
        <w:fldChar w:fldCharType="end"/>
      </w:r>
    </w:p>
    <w:p w:rsidR="00C41234" w:rsidRDefault="00C41234" w:rsidP="00C41234">
      <w:pPr>
        <w:pStyle w:val="PartHead"/>
      </w:pPr>
      <w:r w:rsidRPr="00C41234">
        <w:t>The</w:t>
      </w:r>
      <w:r w:rsidR="003B65CF" w:rsidRPr="003B65CF">
        <w:t xml:space="preserve"> </w:t>
      </w:r>
      <w:r w:rsidRPr="00C41234">
        <w:t>provisions</w:t>
      </w:r>
      <w:r w:rsidR="003B65CF" w:rsidRPr="003B65CF">
        <w:t xml:space="preserve"> </w:t>
      </w:r>
      <w:r w:rsidRPr="00C41234">
        <w:t>of</w:t>
      </w:r>
      <w:r w:rsidR="003B65CF" w:rsidRPr="003B65CF">
        <w:t xml:space="preserve"> </w:t>
      </w:r>
      <w:r w:rsidRPr="00C41234">
        <w:t>Regulation</w:t>
      </w:r>
      <w:r w:rsidR="003B65CF" w:rsidRPr="003B65CF">
        <w:t xml:space="preserve"> </w:t>
      </w:r>
      <w:r w:rsidRPr="00C41234">
        <w:t>(EU)</w:t>
      </w:r>
      <w:r w:rsidR="003B65CF" w:rsidRPr="003B65CF">
        <w:t xml:space="preserve"> </w:t>
      </w:r>
      <w:r w:rsidRPr="00C41234">
        <w:t>No</w:t>
      </w:r>
      <w:r w:rsidR="003B65CF" w:rsidRPr="003B65CF">
        <w:t xml:space="preserve"> </w:t>
      </w:r>
      <w:r w:rsidRPr="00C41234">
        <w:t>2019/787</w:t>
      </w:r>
    </w:p>
    <w:tbl>
      <w:tblPr>
        <w:tblW w:w="7962" w:type="dxa"/>
        <w:tblInd w:w="567" w:type="dxa"/>
        <w:tblLayout w:type="fixed"/>
        <w:tblLook w:val="0000" w:firstRow="0" w:lastRow="0" w:firstColumn="0" w:lastColumn="0" w:noHBand="0" w:noVBand="0"/>
      </w:tblPr>
      <w:tblGrid>
        <w:gridCol w:w="2654"/>
        <w:gridCol w:w="2654"/>
        <w:gridCol w:w="2654"/>
      </w:tblGrid>
      <w:tr w:rsidR="00C41234" w:rsidRPr="00D61D06" w:rsidTr="009A1998">
        <w:tc>
          <w:tcPr>
            <w:tcW w:w="2654" w:type="dxa"/>
            <w:tcBorders>
              <w:top w:val="single" w:sz="4" w:space="0" w:color="auto"/>
              <w:bottom w:val="single" w:sz="4" w:space="0" w:color="auto"/>
            </w:tcBorders>
            <w:shd w:val="clear" w:color="auto" w:fill="auto"/>
          </w:tcPr>
          <w:p w:rsidR="00C41234" w:rsidRDefault="00C41234" w:rsidP="008C4E45">
            <w:pPr>
              <w:pStyle w:val="ColumnHeader"/>
            </w:pPr>
            <w:r>
              <w:t>Column</w:t>
            </w:r>
            <w:r w:rsidR="003B65CF" w:rsidRPr="003B65CF">
              <w:t xml:space="preserve"> </w:t>
            </w:r>
            <w:r>
              <w:t>1</w:t>
            </w:r>
          </w:p>
          <w:p w:rsidR="00C41234" w:rsidRPr="00D61D06" w:rsidRDefault="00C41234" w:rsidP="008C4E45">
            <w:pPr>
              <w:pStyle w:val="ColumnHeader"/>
            </w:pPr>
            <w:r>
              <w:t>Relevant</w:t>
            </w:r>
            <w:r w:rsidR="003B65CF" w:rsidRPr="003B65CF">
              <w:t xml:space="preserve"> </w:t>
            </w:r>
            <w:r>
              <w:t>provision</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Borders>
              <w:top w:val="single" w:sz="4" w:space="0" w:color="auto"/>
              <w:bottom w:val="single" w:sz="4" w:space="0" w:color="auto"/>
            </w:tcBorders>
            <w:shd w:val="clear" w:color="auto" w:fill="auto"/>
          </w:tcPr>
          <w:p w:rsidR="00C41234" w:rsidRDefault="00C41234" w:rsidP="008C4E45">
            <w:pPr>
              <w:pStyle w:val="ColumnHeader"/>
            </w:pPr>
            <w:r>
              <w:t>Column</w:t>
            </w:r>
            <w:r w:rsidR="003B65CF" w:rsidRPr="003B65CF">
              <w:t xml:space="preserve"> </w:t>
            </w:r>
            <w:r>
              <w:t>2</w:t>
            </w:r>
          </w:p>
          <w:p w:rsidR="00C41234" w:rsidRPr="00D61D06" w:rsidRDefault="00C41234" w:rsidP="008C4E45">
            <w:pPr>
              <w:pStyle w:val="ColumnHeader"/>
            </w:pPr>
            <w:r>
              <w:t>Provisions</w:t>
            </w:r>
            <w:r w:rsidR="003B65CF" w:rsidRPr="003B65CF">
              <w:t xml:space="preserve"> </w:t>
            </w:r>
            <w:r>
              <w:t>to</w:t>
            </w:r>
            <w:r w:rsidR="003B65CF" w:rsidRPr="003B65CF">
              <w:t xml:space="preserve"> </w:t>
            </w:r>
            <w:r>
              <w:t>be</w:t>
            </w:r>
            <w:r w:rsidR="003B65CF" w:rsidRPr="003B65CF">
              <w:t xml:space="preserve"> </w:t>
            </w:r>
            <w:r>
              <w:t>read</w:t>
            </w:r>
            <w:r w:rsidR="003B65CF" w:rsidRPr="003B65CF">
              <w:t xml:space="preserve"> </w:t>
            </w:r>
            <w:r>
              <w:t>with</w:t>
            </w:r>
            <w:r w:rsidR="003B65CF" w:rsidRPr="003B65CF">
              <w:t xml:space="preserve"> </w:t>
            </w:r>
            <w:r>
              <w:t>the</w:t>
            </w:r>
            <w:r w:rsidR="003B65CF" w:rsidRPr="003B65CF">
              <w:t xml:space="preserve"> </w:t>
            </w:r>
            <w:r>
              <w:t>provision</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r w:rsidR="003B65CF" w:rsidRPr="003B65CF">
              <w:t xml:space="preserve"> </w:t>
            </w:r>
            <w:r>
              <w:t>mentioned</w:t>
            </w:r>
            <w:r w:rsidR="003B65CF" w:rsidRPr="003B65CF">
              <w:t xml:space="preserve"> </w:t>
            </w:r>
            <w:r>
              <w:t>in</w:t>
            </w:r>
            <w:r w:rsidR="003B65CF" w:rsidRPr="003B65CF">
              <w:t xml:space="preserve"> </w:t>
            </w:r>
            <w:r>
              <w:t>Column</w:t>
            </w:r>
            <w:r w:rsidR="003B65CF" w:rsidRPr="003B65CF">
              <w:t xml:space="preserve"> </w:t>
            </w:r>
            <w:r>
              <w:t>1</w:t>
            </w:r>
          </w:p>
        </w:tc>
        <w:tc>
          <w:tcPr>
            <w:tcW w:w="2654" w:type="dxa"/>
            <w:tcBorders>
              <w:top w:val="single" w:sz="4" w:space="0" w:color="auto"/>
              <w:bottom w:val="single" w:sz="4" w:space="0" w:color="auto"/>
            </w:tcBorders>
            <w:shd w:val="clear" w:color="auto" w:fill="auto"/>
          </w:tcPr>
          <w:p w:rsidR="00C41234" w:rsidRDefault="00C41234" w:rsidP="008C4E45">
            <w:pPr>
              <w:pStyle w:val="ColumnHeader"/>
            </w:pPr>
            <w:r>
              <w:t>Column</w:t>
            </w:r>
            <w:r w:rsidR="003B65CF" w:rsidRPr="003B65CF">
              <w:t xml:space="preserve"> </w:t>
            </w:r>
            <w:r>
              <w:t>3</w:t>
            </w:r>
          </w:p>
          <w:p w:rsidR="00C41234" w:rsidRPr="00D61D06" w:rsidRDefault="00C41234" w:rsidP="008C4E45">
            <w:pPr>
              <w:pStyle w:val="ColumnHeader"/>
            </w:pPr>
            <w:r>
              <w:t>Subject</w:t>
            </w:r>
            <w:r w:rsidR="003B65CF" w:rsidRPr="003B65CF">
              <w:t xml:space="preserve"> </w:t>
            </w:r>
            <w:r>
              <w:t>Matter</w:t>
            </w:r>
          </w:p>
        </w:tc>
      </w:tr>
      <w:tr w:rsidR="00C41234" w:rsidRPr="00D61D06" w:rsidTr="009A1998">
        <w:tc>
          <w:tcPr>
            <w:tcW w:w="2654" w:type="dxa"/>
          </w:tcPr>
          <w:p w:rsidR="00C41234" w:rsidRPr="00D61D06" w:rsidRDefault="00C41234" w:rsidP="008C4E45">
            <w:pPr>
              <w:pStyle w:val="TableText"/>
            </w:pPr>
          </w:p>
        </w:tc>
        <w:tc>
          <w:tcPr>
            <w:tcW w:w="2654" w:type="dxa"/>
          </w:tcPr>
          <w:p w:rsidR="00C41234" w:rsidRPr="00D61D06" w:rsidRDefault="00C41234" w:rsidP="008C4E45">
            <w:pPr>
              <w:pStyle w:val="TableText"/>
            </w:pPr>
          </w:p>
        </w:tc>
        <w:tc>
          <w:tcPr>
            <w:tcW w:w="2654" w:type="dxa"/>
          </w:tcPr>
          <w:p w:rsidR="00C41234" w:rsidRPr="00D61D06" w:rsidRDefault="00C41234" w:rsidP="008C4E45">
            <w:pPr>
              <w:pStyle w:val="TableText"/>
            </w:pPr>
          </w:p>
        </w:tc>
      </w:tr>
      <w:tr w:rsidR="00C41234" w:rsidRPr="00D61D06" w:rsidTr="009A1998">
        <w:tc>
          <w:tcPr>
            <w:tcW w:w="2654" w:type="dxa"/>
          </w:tcPr>
          <w:p w:rsidR="008E17BA" w:rsidRPr="00D61D06" w:rsidRDefault="00C41234" w:rsidP="008C4E45">
            <w:pPr>
              <w:pStyle w:val="TableText"/>
            </w:pPr>
            <w:r>
              <w:t>Article</w:t>
            </w:r>
            <w:r w:rsidR="003B65CF" w:rsidRPr="003B65CF">
              <w:t xml:space="preserve"> </w:t>
            </w:r>
            <w:r>
              <w:t>6(1)</w:t>
            </w:r>
          </w:p>
        </w:tc>
        <w:tc>
          <w:tcPr>
            <w:tcW w:w="2654" w:type="dxa"/>
          </w:tcPr>
          <w:p w:rsidR="00C41234" w:rsidRPr="00D61D06" w:rsidRDefault="0032097F" w:rsidP="008C4E45">
            <w:pPr>
              <w:pStyle w:val="TableText"/>
            </w:pPr>
            <w:r>
              <w:t>Article</w:t>
            </w:r>
            <w:r w:rsidR="003B65CF" w:rsidRPr="003B65CF">
              <w:t xml:space="preserve"> </w:t>
            </w:r>
            <w:r>
              <w:t>5</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r w:rsidR="003B65CF" w:rsidRPr="003B65CF">
              <w:t xml:space="preserve"> </w:t>
            </w:r>
            <w:r>
              <w:t>and</w:t>
            </w:r>
            <w:r w:rsidR="003B65CF" w:rsidRPr="003B65CF">
              <w:t xml:space="preserve"> </w:t>
            </w:r>
            <w:r w:rsidR="00C41234">
              <w:t>Annex</w:t>
            </w:r>
            <w:r w:rsidR="003B65CF" w:rsidRPr="003B65CF">
              <w:t xml:space="preserve"> </w:t>
            </w:r>
            <w:r w:rsidR="00C41234">
              <w:t>I</w:t>
            </w:r>
            <w:r w:rsidR="003B65CF" w:rsidRPr="003B65CF">
              <w:t xml:space="preserve"> </w:t>
            </w:r>
            <w:r w:rsidR="00C41234">
              <w:t>to</w:t>
            </w:r>
            <w:r w:rsidR="003B65CF" w:rsidRPr="003B65CF">
              <w:t xml:space="preserve"> </w:t>
            </w:r>
            <w:r w:rsidR="00C41234">
              <w:t>the</w:t>
            </w:r>
            <w:r w:rsidR="003B65CF" w:rsidRPr="003B65CF">
              <w:t xml:space="preserve"> </w:t>
            </w:r>
            <w:r w:rsidR="00C221F0">
              <w:t>T</w:t>
            </w:r>
            <w:r w:rsidR="00C41234">
              <w:t>reaty</w:t>
            </w:r>
            <w:r w:rsidR="003B65CF" w:rsidRPr="003B65CF">
              <w:t xml:space="preserve"> </w:t>
            </w:r>
            <w:r w:rsidR="00C41234">
              <w:t>on</w:t>
            </w:r>
            <w:r w:rsidR="003B65CF" w:rsidRPr="003B65CF">
              <w:t xml:space="preserve"> </w:t>
            </w:r>
            <w:r w:rsidR="00C41234">
              <w:t>the</w:t>
            </w:r>
            <w:r w:rsidR="003B65CF" w:rsidRPr="003B65CF">
              <w:t xml:space="preserve"> </w:t>
            </w:r>
            <w:r w:rsidR="00C41234">
              <w:t>Functioning</w:t>
            </w:r>
            <w:r w:rsidR="003B65CF" w:rsidRPr="003B65CF">
              <w:t xml:space="preserve"> </w:t>
            </w:r>
            <w:r w:rsidR="00C41234">
              <w:t>of</w:t>
            </w:r>
            <w:r w:rsidR="003B65CF" w:rsidRPr="003B65CF">
              <w:t xml:space="preserve"> </w:t>
            </w:r>
            <w:r w:rsidR="00C41234">
              <w:t>the</w:t>
            </w:r>
            <w:r w:rsidR="003B65CF" w:rsidRPr="003B65CF">
              <w:t xml:space="preserve"> </w:t>
            </w:r>
            <w:r w:rsidR="00C41234">
              <w:t>European</w:t>
            </w:r>
            <w:r w:rsidR="003B65CF" w:rsidRPr="003B65CF">
              <w:t xml:space="preserve"> </w:t>
            </w:r>
            <w:r w:rsidR="00C41234">
              <w:t>Union</w:t>
            </w:r>
          </w:p>
        </w:tc>
        <w:tc>
          <w:tcPr>
            <w:tcW w:w="2654" w:type="dxa"/>
          </w:tcPr>
          <w:p w:rsidR="00C41234" w:rsidRPr="00D61D06" w:rsidRDefault="00C41234" w:rsidP="008C4E45">
            <w:pPr>
              <w:pStyle w:val="TableText"/>
            </w:pPr>
            <w:r>
              <w:t>Agricultural</w:t>
            </w:r>
            <w:r w:rsidR="003B65CF" w:rsidRPr="003B65CF">
              <w:t xml:space="preserve"> </w:t>
            </w:r>
            <w:r>
              <w:t>origin</w:t>
            </w:r>
            <w:r w:rsidR="003B65CF" w:rsidRPr="003B65CF">
              <w:t xml:space="preserve"> </w:t>
            </w:r>
            <w:r>
              <w:t>of</w:t>
            </w:r>
            <w:r w:rsidR="003B65CF" w:rsidRPr="003B65CF">
              <w:t xml:space="preserve"> </w:t>
            </w:r>
            <w:r>
              <w:t>ethyl</w:t>
            </w:r>
            <w:r w:rsidR="003B65CF" w:rsidRPr="003B65CF">
              <w:t xml:space="preserve"> </w:t>
            </w:r>
            <w:r>
              <w:t>alcohol</w:t>
            </w:r>
            <w:r w:rsidR="003B65CF" w:rsidRPr="003B65CF">
              <w:t xml:space="preserve"> </w:t>
            </w:r>
            <w:r w:rsidR="00C221F0">
              <w:t>and</w:t>
            </w:r>
            <w:r w:rsidR="003B65CF" w:rsidRPr="003B65CF">
              <w:t xml:space="preserve"> </w:t>
            </w:r>
            <w:r w:rsidR="00C221F0">
              <w:t>distillates</w:t>
            </w:r>
            <w:r w:rsidR="003B65CF" w:rsidRPr="003B65CF">
              <w:t xml:space="preserve"> </w:t>
            </w:r>
            <w:r>
              <w:t>used</w:t>
            </w:r>
            <w:r w:rsidR="003B65CF" w:rsidRPr="003B65CF">
              <w:t xml:space="preserve"> </w:t>
            </w:r>
            <w:r>
              <w:t>in</w:t>
            </w:r>
            <w:r w:rsidR="003B65CF" w:rsidRPr="003B65CF">
              <w:t xml:space="preserve"> </w:t>
            </w:r>
            <w:r>
              <w:t>the</w:t>
            </w:r>
            <w:r w:rsidR="003B65CF" w:rsidRPr="003B65CF">
              <w:t xml:space="preserve"> </w:t>
            </w:r>
            <w:r>
              <w:t>production</w:t>
            </w:r>
            <w:r w:rsidR="003B65CF" w:rsidRPr="003B65CF">
              <w:t xml:space="preserve"> </w:t>
            </w:r>
            <w:r>
              <w:t>of</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7779C5">
              <w:t>.</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6(2)</w:t>
            </w:r>
            <w:r w:rsidR="00C221F0">
              <w:t>,</w:t>
            </w:r>
            <w:r w:rsidR="003B65CF" w:rsidRPr="003B65CF">
              <w:t xml:space="preserve"> </w:t>
            </w:r>
            <w:r w:rsidR="00C221F0">
              <w:t>first</w:t>
            </w:r>
            <w:r w:rsidR="003B65CF" w:rsidRPr="003B65CF">
              <w:t xml:space="preserve"> </w:t>
            </w:r>
            <w:r w:rsidR="00C221F0">
              <w:t>sentence</w:t>
            </w:r>
          </w:p>
        </w:tc>
        <w:tc>
          <w:tcPr>
            <w:tcW w:w="2654" w:type="dxa"/>
          </w:tcPr>
          <w:p w:rsidR="00C41234" w:rsidRPr="00D61D06" w:rsidRDefault="00C41234" w:rsidP="008C4E45">
            <w:pPr>
              <w:pStyle w:val="TableText"/>
            </w:pPr>
            <w:r>
              <w:t>Categories</w:t>
            </w:r>
            <w:r w:rsidR="003B65CF" w:rsidRPr="003B65CF">
              <w:t xml:space="preserve"> </w:t>
            </w:r>
            <w:r>
              <w:t>1</w:t>
            </w:r>
            <w:r w:rsidR="003B65CF" w:rsidRPr="003B65CF">
              <w:t xml:space="preserve"> </w:t>
            </w:r>
            <w:r w:rsidR="00C221F0">
              <w:t>to</w:t>
            </w:r>
            <w:r w:rsidR="003B65CF" w:rsidRPr="003B65CF">
              <w:t xml:space="preserve"> </w:t>
            </w:r>
            <w:r>
              <w:t>14</w:t>
            </w:r>
            <w:r w:rsidR="003B65CF" w:rsidRPr="003B65CF">
              <w:t xml:space="preserve"> </w:t>
            </w:r>
            <w:r w:rsidR="00C221F0">
              <w:t>of</w:t>
            </w:r>
            <w:r w:rsidR="003B65CF" w:rsidRPr="003B65CF">
              <w:t xml:space="preserve"> </w:t>
            </w:r>
            <w:r w:rsidR="006020BD">
              <w:t>Annex</w:t>
            </w:r>
            <w:r w:rsidR="003B65CF" w:rsidRPr="003B65CF">
              <w:t xml:space="preserve"> </w:t>
            </w:r>
            <w:r w:rsidR="006020BD">
              <w:t>I</w:t>
            </w:r>
          </w:p>
        </w:tc>
        <w:tc>
          <w:tcPr>
            <w:tcW w:w="2654" w:type="dxa"/>
          </w:tcPr>
          <w:p w:rsidR="0032097F" w:rsidRPr="00D61D06" w:rsidRDefault="00C41234" w:rsidP="008C4E45">
            <w:pPr>
              <w:pStyle w:val="TableText"/>
            </w:pPr>
            <w:r>
              <w:t>The</w:t>
            </w:r>
            <w:r w:rsidR="003B65CF" w:rsidRPr="003B65CF">
              <w:t xml:space="preserve"> </w:t>
            </w:r>
            <w:r>
              <w:t>dilution</w:t>
            </w:r>
            <w:r w:rsidR="003B65CF" w:rsidRPr="003B65CF">
              <w:t xml:space="preserve"> </w:t>
            </w:r>
            <w:r>
              <w:t>and</w:t>
            </w:r>
            <w:r w:rsidR="003B65CF" w:rsidRPr="003B65CF">
              <w:t xml:space="preserve"> </w:t>
            </w:r>
            <w:r>
              <w:t>dissolution</w:t>
            </w:r>
            <w:r w:rsidR="003B65CF" w:rsidRPr="003B65CF">
              <w:t xml:space="preserve"> </w:t>
            </w:r>
            <w:r>
              <w:t>of</w:t>
            </w:r>
            <w:r w:rsidR="003B65CF" w:rsidRPr="003B65CF">
              <w:t xml:space="preserve"> </w:t>
            </w:r>
            <w:r>
              <w:t>colours,</w:t>
            </w:r>
            <w:r w:rsidR="003B65CF" w:rsidRPr="003B65CF">
              <w:t xml:space="preserve"> </w:t>
            </w:r>
            <w:r>
              <w:t>flavourings</w:t>
            </w:r>
            <w:r w:rsidR="003B65CF" w:rsidRPr="003B65CF">
              <w:t xml:space="preserve"> </w:t>
            </w:r>
            <w:r>
              <w:t>and</w:t>
            </w:r>
            <w:r w:rsidR="003B65CF" w:rsidRPr="003B65CF">
              <w:t xml:space="preserve"> </w:t>
            </w:r>
            <w:r>
              <w:t>other</w:t>
            </w:r>
            <w:r w:rsidR="003B65CF" w:rsidRPr="003B65CF">
              <w:t xml:space="preserve"> </w:t>
            </w:r>
            <w:r>
              <w:t>authorised</w:t>
            </w:r>
            <w:r w:rsidR="003B65CF" w:rsidRPr="003B65CF">
              <w:t xml:space="preserve"> </w:t>
            </w:r>
            <w:r w:rsidR="00C221F0">
              <w:t>ingredients</w:t>
            </w:r>
            <w:r w:rsidR="003B65CF" w:rsidRPr="003B65CF">
              <w:t xml:space="preserve"> </w:t>
            </w:r>
            <w:r w:rsidR="00C221F0">
              <w:t>used</w:t>
            </w:r>
            <w:r w:rsidR="003B65CF" w:rsidRPr="003B65CF">
              <w:t xml:space="preserve"> </w:t>
            </w:r>
            <w:r w:rsidR="00C221F0">
              <w:t>in</w:t>
            </w:r>
            <w:r w:rsidR="003B65CF" w:rsidRPr="003B65CF">
              <w:t xml:space="preserve"> </w:t>
            </w:r>
            <w:r w:rsidR="00C221F0">
              <w:t>the</w:t>
            </w:r>
            <w:r w:rsidR="003B65CF" w:rsidRPr="003B65CF">
              <w:t xml:space="preserve"> </w:t>
            </w:r>
            <w:r w:rsidR="00C221F0">
              <w:t>preparation</w:t>
            </w:r>
            <w:r w:rsidR="003B65CF" w:rsidRPr="003B65CF">
              <w:t xml:space="preserve"> </w:t>
            </w:r>
            <w:r w:rsidR="00C221F0">
              <w:t>of</w:t>
            </w:r>
            <w:r w:rsidR="003B65CF" w:rsidRPr="003B65CF">
              <w:t xml:space="preserve"> </w:t>
            </w:r>
            <w:r w:rsidR="00C221F0">
              <w:t>alcoholic</w:t>
            </w:r>
            <w:r w:rsidR="003B65CF" w:rsidRPr="003B65CF">
              <w:t xml:space="preserve"> </w:t>
            </w:r>
            <w:r w:rsidR="00C221F0">
              <w:t>beverages</w:t>
            </w:r>
            <w:r w:rsidR="007779C5">
              <w:t>.</w:t>
            </w:r>
          </w:p>
        </w:tc>
      </w:tr>
      <w:tr w:rsidR="0032097F" w:rsidRPr="00D61D06" w:rsidTr="009A1998">
        <w:tc>
          <w:tcPr>
            <w:tcW w:w="2654" w:type="dxa"/>
          </w:tcPr>
          <w:p w:rsidR="0032097F" w:rsidRDefault="0032097F" w:rsidP="008C4E45">
            <w:pPr>
              <w:pStyle w:val="TableText"/>
            </w:pPr>
            <w:r>
              <w:t>Article</w:t>
            </w:r>
            <w:r w:rsidR="003B65CF" w:rsidRPr="003B65CF">
              <w:t xml:space="preserve"> </w:t>
            </w:r>
            <w:r>
              <w:t>6(2),</w:t>
            </w:r>
            <w:r w:rsidR="003B65CF" w:rsidRPr="003B65CF">
              <w:t xml:space="preserve"> </w:t>
            </w:r>
            <w:r>
              <w:t>second</w:t>
            </w:r>
            <w:r w:rsidR="003B65CF" w:rsidRPr="003B65CF">
              <w:t xml:space="preserve"> </w:t>
            </w:r>
            <w:r>
              <w:t>sentence</w:t>
            </w:r>
          </w:p>
        </w:tc>
        <w:tc>
          <w:tcPr>
            <w:tcW w:w="2654" w:type="dxa"/>
          </w:tcPr>
          <w:p w:rsidR="0032097F" w:rsidRDefault="0032097F" w:rsidP="008C4E45">
            <w:pPr>
              <w:pStyle w:val="TableText"/>
            </w:pPr>
            <w:r>
              <w:t>Article</w:t>
            </w:r>
            <w:r w:rsidR="003B65CF" w:rsidRPr="003B65CF">
              <w:t xml:space="preserve"> </w:t>
            </w:r>
            <w:r>
              <w:t>6(2),</w:t>
            </w:r>
            <w:r w:rsidR="003B65CF" w:rsidRPr="003B65CF">
              <w:t xml:space="preserve"> </w:t>
            </w:r>
            <w:r>
              <w:t>first</w:t>
            </w:r>
            <w:r w:rsidR="003B65CF" w:rsidRPr="003B65CF">
              <w:t xml:space="preserve"> </w:t>
            </w:r>
            <w:r>
              <w:t>sentence</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Pr>
          <w:p w:rsidR="0032097F" w:rsidRDefault="0032097F" w:rsidP="0032097F">
            <w:pPr>
              <w:pStyle w:val="TableText"/>
            </w:pPr>
            <w:r>
              <w:t>Amounts</w:t>
            </w:r>
            <w:r w:rsidR="003B65CF" w:rsidRPr="003B65CF">
              <w:t xml:space="preserve"> </w:t>
            </w:r>
            <w:r>
              <w:t>of</w:t>
            </w:r>
            <w:r w:rsidR="003B65CF" w:rsidRPr="003B65CF">
              <w:t xml:space="preserve"> </w:t>
            </w:r>
            <w:r>
              <w:t>alcohol</w:t>
            </w:r>
            <w:r w:rsidR="003B65CF" w:rsidRPr="003B65CF">
              <w:t xml:space="preserve"> </w:t>
            </w:r>
            <w:r>
              <w:t>to</w:t>
            </w:r>
            <w:r w:rsidR="003B65CF" w:rsidRPr="003B65CF">
              <w:t xml:space="preserve"> </w:t>
            </w:r>
            <w:r>
              <w:t>be</w:t>
            </w:r>
            <w:r w:rsidR="003B65CF" w:rsidRPr="003B65CF">
              <w:t xml:space="preserve"> </w:t>
            </w:r>
            <w:r>
              <w:t>used</w:t>
            </w:r>
            <w:r w:rsidR="003B65CF" w:rsidRPr="003B65CF">
              <w:t xml:space="preserve"> </w:t>
            </w:r>
            <w:r>
              <w:t>in</w:t>
            </w:r>
            <w:r w:rsidR="003B65CF" w:rsidRPr="003B65CF">
              <w:t xml:space="preserve"> </w:t>
            </w:r>
            <w:r>
              <w:t>the</w:t>
            </w:r>
            <w:r w:rsidR="003B65CF" w:rsidRPr="003B65CF">
              <w:t xml:space="preserve"> </w:t>
            </w:r>
            <w:r>
              <w:t>dilution</w:t>
            </w:r>
            <w:r w:rsidR="003B65CF" w:rsidRPr="003B65CF">
              <w:t xml:space="preserve"> </w:t>
            </w:r>
            <w:r>
              <w:t>and</w:t>
            </w:r>
            <w:r w:rsidR="003B65CF" w:rsidRPr="003B65CF">
              <w:t xml:space="preserve"> </w:t>
            </w:r>
            <w:r>
              <w:t>dissolution</w:t>
            </w:r>
            <w:r w:rsidR="003B65CF" w:rsidRPr="003B65CF">
              <w:t xml:space="preserve"> </w:t>
            </w:r>
            <w:r>
              <w:t>of</w:t>
            </w:r>
            <w:r w:rsidR="003B65CF" w:rsidRPr="003B65CF">
              <w:t xml:space="preserve"> </w:t>
            </w:r>
            <w:r>
              <w:t>colours,</w:t>
            </w:r>
            <w:r w:rsidR="003B65CF" w:rsidRPr="003B65CF">
              <w:t xml:space="preserve"> </w:t>
            </w:r>
            <w:r>
              <w:t>flavourings</w:t>
            </w:r>
            <w:r w:rsidR="003B65CF" w:rsidRPr="003B65CF">
              <w:t xml:space="preserve"> </w:t>
            </w:r>
            <w:r>
              <w:t>and</w:t>
            </w:r>
            <w:r w:rsidR="003B65CF" w:rsidRPr="003B65CF">
              <w:t xml:space="preserve"> </w:t>
            </w:r>
            <w:r>
              <w:t>other</w:t>
            </w:r>
            <w:r w:rsidR="003B65CF" w:rsidRPr="003B65CF">
              <w:t xml:space="preserve"> </w:t>
            </w:r>
            <w:r>
              <w:t>authorised</w:t>
            </w:r>
            <w:r w:rsidR="003B65CF" w:rsidRPr="003B65CF">
              <w:t xml:space="preserve"> </w:t>
            </w:r>
            <w:r>
              <w:t>ingredients</w:t>
            </w:r>
            <w:r w:rsidR="003B65CF" w:rsidRPr="003B65CF">
              <w:t xml:space="preserve"> </w:t>
            </w:r>
            <w:r>
              <w:t>in</w:t>
            </w:r>
            <w:r w:rsidR="003B65CF" w:rsidRPr="003B65CF">
              <w:t xml:space="preserve"> </w:t>
            </w:r>
            <w:r>
              <w:t>the</w:t>
            </w:r>
            <w:r w:rsidR="003B65CF" w:rsidRPr="003B65CF">
              <w:t xml:space="preserve"> </w:t>
            </w:r>
            <w:r>
              <w:t>preparation</w:t>
            </w:r>
            <w:r w:rsidR="003B65CF" w:rsidRPr="003B65CF">
              <w:t xml:space="preserve"> </w:t>
            </w:r>
            <w:r>
              <w:t>of</w:t>
            </w:r>
            <w:r w:rsidR="003B65CF" w:rsidRPr="003B65CF">
              <w:t xml:space="preserve"> </w:t>
            </w:r>
            <w:r>
              <w:t>alcoholic</w:t>
            </w:r>
            <w:r w:rsidR="003B65CF" w:rsidRPr="003B65CF">
              <w:t xml:space="preserve"> </w:t>
            </w:r>
            <w:r>
              <w:t>beverages.</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6(3)</w:t>
            </w:r>
          </w:p>
        </w:tc>
        <w:tc>
          <w:tcPr>
            <w:tcW w:w="2654" w:type="dxa"/>
          </w:tcPr>
          <w:p w:rsidR="00C41234" w:rsidRPr="00D61D06" w:rsidRDefault="00C41234" w:rsidP="008C4E45">
            <w:pPr>
              <w:pStyle w:val="TableText"/>
            </w:pPr>
            <w:r>
              <w:t>Annex</w:t>
            </w:r>
            <w:r w:rsidR="003B65CF" w:rsidRPr="003B65CF">
              <w:t xml:space="preserve"> </w:t>
            </w:r>
            <w:r>
              <w:t>I</w:t>
            </w:r>
            <w:r w:rsidR="003B65CF" w:rsidRPr="003B65CF">
              <w:t xml:space="preserve"> </w:t>
            </w:r>
            <w:r>
              <w:t>to</w:t>
            </w:r>
            <w:r w:rsidR="003B65CF" w:rsidRPr="003B65CF">
              <w:t xml:space="preserve"> </w:t>
            </w:r>
            <w:r>
              <w:t>the</w:t>
            </w:r>
            <w:r w:rsidR="003B65CF" w:rsidRPr="003B65CF">
              <w:t xml:space="preserve"> </w:t>
            </w:r>
            <w:r w:rsidR="00D82F9F">
              <w:t>T</w:t>
            </w:r>
            <w:r>
              <w:t>reaty</w:t>
            </w:r>
            <w:r w:rsidR="003B65CF" w:rsidRPr="003B65CF">
              <w:t xml:space="preserve"> </w:t>
            </w:r>
            <w:r>
              <w:t>on</w:t>
            </w:r>
            <w:r w:rsidR="003B65CF" w:rsidRPr="003B65CF">
              <w:t xml:space="preserve"> </w:t>
            </w:r>
            <w:r>
              <w:t>the</w:t>
            </w:r>
            <w:r w:rsidR="003B65CF" w:rsidRPr="003B65CF">
              <w:t xml:space="preserve"> </w:t>
            </w:r>
            <w:r w:rsidR="00D82F9F">
              <w:t>F</w:t>
            </w:r>
            <w:r>
              <w:t>unctioning</w:t>
            </w:r>
            <w:r w:rsidR="003B65CF" w:rsidRPr="003B65CF">
              <w:t xml:space="preserve"> </w:t>
            </w:r>
            <w:r>
              <w:t>of</w:t>
            </w:r>
            <w:r w:rsidR="003B65CF" w:rsidRPr="003B65CF">
              <w:t xml:space="preserve"> </w:t>
            </w:r>
            <w:r>
              <w:t>the</w:t>
            </w:r>
            <w:r w:rsidR="003B65CF" w:rsidRPr="003B65CF">
              <w:t xml:space="preserve"> </w:t>
            </w:r>
            <w:r>
              <w:t>European</w:t>
            </w:r>
            <w:r w:rsidR="003B65CF" w:rsidRPr="003B65CF">
              <w:t xml:space="preserve"> </w:t>
            </w:r>
            <w:r>
              <w:t>Union</w:t>
            </w:r>
          </w:p>
        </w:tc>
        <w:tc>
          <w:tcPr>
            <w:tcW w:w="2654" w:type="dxa"/>
          </w:tcPr>
          <w:p w:rsidR="00C41234" w:rsidRPr="00D61D06" w:rsidRDefault="00C41234" w:rsidP="008C4E45">
            <w:pPr>
              <w:pStyle w:val="TableText"/>
            </w:pPr>
            <w:r>
              <w:t>Prohibition</w:t>
            </w:r>
            <w:r w:rsidR="003B65CF" w:rsidRPr="003B65CF">
              <w:t xml:space="preserve"> </w:t>
            </w:r>
            <w:r>
              <w:t>on</w:t>
            </w:r>
            <w:r w:rsidR="003B65CF" w:rsidRPr="003B65CF">
              <w:t xml:space="preserve"> </w:t>
            </w:r>
            <w:r>
              <w:t>the</w:t>
            </w:r>
            <w:r w:rsidR="003B65CF" w:rsidRPr="003B65CF">
              <w:t xml:space="preserve"> </w:t>
            </w:r>
            <w:r>
              <w:t>use</w:t>
            </w:r>
            <w:r w:rsidR="003B65CF" w:rsidRPr="003B65CF">
              <w:t xml:space="preserve"> </w:t>
            </w:r>
            <w:r>
              <w:t>of</w:t>
            </w:r>
            <w:r w:rsidR="003B65CF" w:rsidRPr="003B65CF">
              <w:t xml:space="preserve"> </w:t>
            </w:r>
            <w:r>
              <w:t>alcohol</w:t>
            </w:r>
            <w:r w:rsidR="003B65CF" w:rsidRPr="003B65CF">
              <w:t xml:space="preserve"> </w:t>
            </w:r>
            <w:r>
              <w:t>of</w:t>
            </w:r>
            <w:r w:rsidR="003B65CF" w:rsidRPr="003B65CF">
              <w:t xml:space="preserve"> </w:t>
            </w:r>
            <w:r>
              <w:t>synthetic</w:t>
            </w:r>
            <w:r w:rsidR="003B65CF" w:rsidRPr="003B65CF">
              <w:t xml:space="preserve"> </w:t>
            </w:r>
            <w:r>
              <w:t>origin</w:t>
            </w:r>
            <w:r w:rsidR="003B65CF" w:rsidRPr="003B65CF">
              <w:t xml:space="preserve"> </w:t>
            </w:r>
            <w:r w:rsidR="00D82F9F">
              <w:t>and</w:t>
            </w:r>
            <w:r w:rsidR="003B65CF" w:rsidRPr="003B65CF">
              <w:t xml:space="preserve"> </w:t>
            </w:r>
            <w:r w:rsidR="00D82F9F">
              <w:t>other</w:t>
            </w:r>
            <w:r w:rsidR="003B65CF" w:rsidRPr="003B65CF">
              <w:t xml:space="preserve"> </w:t>
            </w:r>
            <w:r w:rsidR="00D82F9F">
              <w:t>alcohol</w:t>
            </w:r>
            <w:r w:rsidR="003B65CF" w:rsidRPr="003B65CF">
              <w:t xml:space="preserve"> </w:t>
            </w:r>
            <w:r w:rsidR="00D82F9F">
              <w:t>of</w:t>
            </w:r>
            <w:r w:rsidR="003B65CF" w:rsidRPr="003B65CF">
              <w:t xml:space="preserve"> </w:t>
            </w:r>
            <w:r w:rsidR="00D82F9F">
              <w:t>non-agricultural</w:t>
            </w:r>
            <w:r w:rsidR="003B65CF" w:rsidRPr="003B65CF">
              <w:t xml:space="preserve"> </w:t>
            </w:r>
            <w:r w:rsidR="00D82F9F">
              <w:t>origin</w:t>
            </w:r>
            <w:r w:rsidR="003B65CF" w:rsidRPr="003B65CF">
              <w:t xml:space="preserve"> </w:t>
            </w:r>
            <w:r w:rsidR="00D82F9F">
              <w:t>in</w:t>
            </w:r>
            <w:r w:rsidR="003B65CF" w:rsidRPr="003B65CF">
              <w:t xml:space="preserve"> </w:t>
            </w:r>
            <w:r w:rsidR="00D82F9F">
              <w:t>alcoholic</w:t>
            </w:r>
            <w:r w:rsidR="003B65CF" w:rsidRPr="003B65CF">
              <w:t xml:space="preserve"> </w:t>
            </w:r>
            <w:r w:rsidR="00D82F9F">
              <w:t>beverages</w:t>
            </w:r>
            <w:r w:rsidR="007779C5">
              <w:t>.</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7(2)</w:t>
            </w:r>
          </w:p>
        </w:tc>
        <w:tc>
          <w:tcPr>
            <w:tcW w:w="2654" w:type="dxa"/>
          </w:tcPr>
          <w:p w:rsidR="00C41234" w:rsidRPr="00D61D06" w:rsidRDefault="00C41234" w:rsidP="008C4E45">
            <w:pPr>
              <w:pStyle w:val="TableText"/>
            </w:pPr>
            <w:r>
              <w:t>Categories</w:t>
            </w:r>
            <w:r w:rsidR="003B65CF" w:rsidRPr="003B65CF">
              <w:t xml:space="preserve"> </w:t>
            </w:r>
            <w:r>
              <w:t>1</w:t>
            </w:r>
            <w:r w:rsidR="003B65CF" w:rsidRPr="003B65CF">
              <w:t xml:space="preserve"> </w:t>
            </w:r>
            <w:r w:rsidR="00853BC6">
              <w:t>to</w:t>
            </w:r>
            <w:r w:rsidR="003B65CF" w:rsidRPr="003B65CF">
              <w:t xml:space="preserve"> </w:t>
            </w:r>
            <w:r>
              <w:t>14</w:t>
            </w:r>
            <w:r w:rsidR="003B65CF" w:rsidRPr="003B65CF">
              <w:t xml:space="preserve"> </w:t>
            </w:r>
            <w:r w:rsidR="00853BC6">
              <w:t>of</w:t>
            </w:r>
            <w:r w:rsidR="003B65CF" w:rsidRPr="003B65CF">
              <w:t xml:space="preserve"> </w:t>
            </w:r>
            <w:r w:rsidR="006020BD">
              <w:t>Annex</w:t>
            </w:r>
            <w:r w:rsidR="003B65CF" w:rsidRPr="003B65CF">
              <w:t xml:space="preserve"> </w:t>
            </w:r>
            <w:r w:rsidR="006020BD">
              <w:t>I</w:t>
            </w:r>
          </w:p>
        </w:tc>
        <w:tc>
          <w:tcPr>
            <w:tcW w:w="2654" w:type="dxa"/>
          </w:tcPr>
          <w:p w:rsidR="00C41234" w:rsidRPr="00D61D06" w:rsidRDefault="00C41234" w:rsidP="008C4E45">
            <w:pPr>
              <w:pStyle w:val="TableText"/>
            </w:pPr>
            <w:r w:rsidRPr="00EE1A4B">
              <w:t>General</w:t>
            </w:r>
            <w:r w:rsidR="003B65CF" w:rsidRPr="003B65CF">
              <w:t xml:space="preserve"> </w:t>
            </w:r>
            <w:r w:rsidRPr="00EE1A4B">
              <w:t>requirements</w:t>
            </w:r>
            <w:r w:rsidR="003B65CF" w:rsidRPr="003B65CF">
              <w:t xml:space="preserve"> </w:t>
            </w:r>
            <w:r w:rsidRPr="00EE1A4B">
              <w:t>relating</w:t>
            </w:r>
            <w:r w:rsidR="003B65CF" w:rsidRPr="003B65CF">
              <w:t xml:space="preserve"> </w:t>
            </w:r>
            <w:r w:rsidRPr="00EE1A4B">
              <w:t>to</w:t>
            </w:r>
            <w:r w:rsidR="003B65CF" w:rsidRPr="003B65CF">
              <w:t xml:space="preserve"> </w:t>
            </w:r>
            <w:r w:rsidRPr="00EE1A4B">
              <w:t>the</w:t>
            </w:r>
            <w:r w:rsidR="003B65CF" w:rsidRPr="003B65CF">
              <w:t xml:space="preserve"> </w:t>
            </w:r>
            <w:r w:rsidRPr="00EE1A4B">
              <w:t>production,</w:t>
            </w:r>
            <w:r w:rsidR="003B65CF" w:rsidRPr="003B65CF">
              <w:t xml:space="preserve"> </w:t>
            </w:r>
            <w:r w:rsidRPr="00EE1A4B">
              <w:t>content</w:t>
            </w:r>
            <w:r w:rsidR="00853BC6">
              <w:t>,</w:t>
            </w:r>
            <w:r w:rsidR="003B65CF" w:rsidRPr="003B65CF">
              <w:t xml:space="preserve"> </w:t>
            </w:r>
            <w:r w:rsidR="00853BC6">
              <w:t>colouring</w:t>
            </w:r>
            <w:r w:rsidR="003B65CF" w:rsidRPr="003B65CF">
              <w:t xml:space="preserve"> </w:t>
            </w:r>
            <w:r w:rsidRPr="00EE1A4B">
              <w:t>and</w:t>
            </w:r>
            <w:r w:rsidR="003B65CF" w:rsidRPr="003B65CF">
              <w:t xml:space="preserve"> </w:t>
            </w:r>
            <w:r w:rsidRPr="00EE1A4B">
              <w:t>sweetening</w:t>
            </w:r>
            <w:r w:rsidR="003B65CF" w:rsidRPr="003B65CF">
              <w:t xml:space="preserve"> </w:t>
            </w:r>
            <w:r w:rsidRPr="00EE1A4B">
              <w:t>of</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3B65CF" w:rsidRPr="003B65CF">
              <w:t xml:space="preserve"> </w:t>
            </w:r>
            <w:r w:rsidRPr="00EE1A4B">
              <w:t>falling</w:t>
            </w:r>
            <w:r w:rsidR="003B65CF" w:rsidRPr="003B65CF">
              <w:t xml:space="preserve"> </w:t>
            </w:r>
            <w:r w:rsidRPr="00EE1A4B">
              <w:t>within</w:t>
            </w:r>
            <w:r w:rsidR="003B65CF" w:rsidRPr="003B65CF">
              <w:t xml:space="preserve"> </w:t>
            </w:r>
            <w:r w:rsidRPr="00EE1A4B">
              <w:t>categories</w:t>
            </w:r>
            <w:r w:rsidR="003B65CF" w:rsidRPr="003B65CF">
              <w:t xml:space="preserve"> </w:t>
            </w:r>
            <w:r w:rsidRPr="00EE1A4B">
              <w:t>1</w:t>
            </w:r>
            <w:r w:rsidR="003B65CF" w:rsidRPr="003B65CF">
              <w:t xml:space="preserve"> </w:t>
            </w:r>
            <w:r w:rsidRPr="00EE1A4B">
              <w:t>to</w:t>
            </w:r>
            <w:r w:rsidR="003B65CF" w:rsidRPr="003B65CF">
              <w:t xml:space="preserve"> </w:t>
            </w:r>
            <w:r w:rsidRPr="00EE1A4B">
              <w:t>14</w:t>
            </w:r>
            <w:r w:rsidR="007779C5">
              <w:t>.</w:t>
            </w:r>
          </w:p>
        </w:tc>
      </w:tr>
      <w:tr w:rsidR="00C41234" w:rsidRPr="00D61D06" w:rsidTr="009A1998">
        <w:tc>
          <w:tcPr>
            <w:tcW w:w="2654" w:type="dxa"/>
          </w:tcPr>
          <w:p w:rsidR="00C41234" w:rsidRPr="00D61D06" w:rsidRDefault="00C41234" w:rsidP="008C4E45">
            <w:pPr>
              <w:pStyle w:val="TableText"/>
            </w:pPr>
            <w:r>
              <w:lastRenderedPageBreak/>
              <w:t>Article</w:t>
            </w:r>
            <w:r w:rsidR="003B65CF" w:rsidRPr="003B65CF">
              <w:t xml:space="preserve"> </w:t>
            </w:r>
            <w:r>
              <w:t>7(3)</w:t>
            </w:r>
          </w:p>
        </w:tc>
        <w:tc>
          <w:tcPr>
            <w:tcW w:w="2654" w:type="dxa"/>
          </w:tcPr>
          <w:p w:rsidR="00C41234" w:rsidRPr="00D61D06" w:rsidRDefault="00C41234" w:rsidP="008C4E45">
            <w:pPr>
              <w:pStyle w:val="TableText"/>
            </w:pPr>
            <w:r w:rsidRPr="00EE1A4B">
              <w:t>Annex</w:t>
            </w:r>
            <w:r w:rsidR="003B65CF" w:rsidRPr="003B65CF">
              <w:t xml:space="preserve"> </w:t>
            </w:r>
            <w:r w:rsidRPr="00EE1A4B">
              <w:t>I</w:t>
            </w:r>
            <w:r w:rsidR="003B65CF" w:rsidRPr="003B65CF">
              <w:t xml:space="preserve"> </w:t>
            </w:r>
            <w:r w:rsidRPr="00EE1A4B">
              <w:t>to</w:t>
            </w:r>
            <w:r w:rsidR="003B65CF" w:rsidRPr="003B65CF">
              <w:t xml:space="preserve"> </w:t>
            </w:r>
            <w:r w:rsidRPr="00EE1A4B">
              <w:t>the</w:t>
            </w:r>
            <w:r w:rsidR="003B65CF" w:rsidRPr="003B65CF">
              <w:t xml:space="preserve"> </w:t>
            </w:r>
            <w:r w:rsidRPr="00EE1A4B">
              <w:t>Treaty</w:t>
            </w:r>
            <w:r w:rsidR="003B65CF" w:rsidRPr="003B65CF">
              <w:t xml:space="preserve"> </w:t>
            </w:r>
            <w:r w:rsidRPr="00EE1A4B">
              <w:t>on</w:t>
            </w:r>
            <w:r w:rsidR="003B65CF" w:rsidRPr="003B65CF">
              <w:t xml:space="preserve"> </w:t>
            </w:r>
            <w:r w:rsidRPr="00EE1A4B">
              <w:t>the</w:t>
            </w:r>
            <w:r w:rsidR="003B65CF" w:rsidRPr="003B65CF">
              <w:t xml:space="preserve"> </w:t>
            </w:r>
            <w:r w:rsidRPr="00EE1A4B">
              <w:t>Functioning</w:t>
            </w:r>
            <w:r w:rsidR="003B65CF" w:rsidRPr="003B65CF">
              <w:t xml:space="preserve"> </w:t>
            </w:r>
            <w:r w:rsidRPr="00EE1A4B">
              <w:t>of</w:t>
            </w:r>
            <w:r w:rsidR="003B65CF" w:rsidRPr="003B65CF">
              <w:t xml:space="preserve"> </w:t>
            </w:r>
            <w:r w:rsidRPr="00EE1A4B">
              <w:t>the</w:t>
            </w:r>
            <w:r w:rsidR="003B65CF" w:rsidRPr="003B65CF">
              <w:t xml:space="preserve"> </w:t>
            </w:r>
            <w:r w:rsidRPr="00EE1A4B">
              <w:t>European</w:t>
            </w:r>
            <w:r w:rsidR="003B65CF" w:rsidRPr="003B65CF">
              <w:t xml:space="preserve"> </w:t>
            </w:r>
            <w:r w:rsidRPr="00EE1A4B">
              <w:t>Union</w:t>
            </w:r>
            <w:r w:rsidR="003B65CF" w:rsidRPr="003B65CF">
              <w:t xml:space="preserve"> </w:t>
            </w:r>
            <w:r w:rsidRPr="00EE1A4B">
              <w:t>and</w:t>
            </w:r>
            <w:r w:rsidR="003B65CF" w:rsidRPr="003B65CF">
              <w:t xml:space="preserve"> </w:t>
            </w:r>
            <w:r w:rsidR="006020BD">
              <w:t>Annex</w:t>
            </w:r>
            <w:r w:rsidR="003B65CF" w:rsidRPr="003B65CF">
              <w:t xml:space="preserve"> </w:t>
            </w:r>
            <w:r w:rsidR="006020BD">
              <w:t>I</w:t>
            </w:r>
            <w:r w:rsidR="003B65CF" w:rsidRPr="003B65CF">
              <w:t> </w:t>
            </w:r>
          </w:p>
        </w:tc>
        <w:tc>
          <w:tcPr>
            <w:tcW w:w="2654" w:type="dxa"/>
          </w:tcPr>
          <w:p w:rsidR="00C41234" w:rsidRPr="00D61D06" w:rsidRDefault="00C41234" w:rsidP="008C4E45">
            <w:pPr>
              <w:pStyle w:val="TableText"/>
            </w:pPr>
            <w:r w:rsidRPr="00EE1A4B">
              <w:t>General</w:t>
            </w:r>
            <w:r w:rsidR="003B65CF" w:rsidRPr="003B65CF">
              <w:t xml:space="preserve"> </w:t>
            </w:r>
            <w:r w:rsidRPr="00EE1A4B">
              <w:t>requirements</w:t>
            </w:r>
            <w:r w:rsidR="003B65CF" w:rsidRPr="003B65CF">
              <w:t xml:space="preserve"> </w:t>
            </w:r>
            <w:r w:rsidRPr="00EE1A4B">
              <w:t>relating</w:t>
            </w:r>
            <w:r w:rsidR="003B65CF" w:rsidRPr="003B65CF">
              <w:t xml:space="preserve"> </w:t>
            </w:r>
            <w:r w:rsidRPr="00EE1A4B">
              <w:t>to</w:t>
            </w:r>
            <w:r w:rsidR="003B65CF" w:rsidRPr="003B65CF">
              <w:t xml:space="preserve"> </w:t>
            </w:r>
            <w:r w:rsidRPr="00EE1A4B">
              <w:t>the</w:t>
            </w:r>
            <w:r w:rsidR="003B65CF" w:rsidRPr="003B65CF">
              <w:t xml:space="preserve"> </w:t>
            </w:r>
            <w:r w:rsidRPr="00EE1A4B">
              <w:t>production,</w:t>
            </w:r>
            <w:r w:rsidR="003B65CF" w:rsidRPr="003B65CF">
              <w:t xml:space="preserve"> </w:t>
            </w:r>
            <w:r w:rsidRPr="00EE1A4B">
              <w:t>content</w:t>
            </w:r>
            <w:r w:rsidR="00853BC6">
              <w:t>,</w:t>
            </w:r>
            <w:r w:rsidR="003B65CF" w:rsidRPr="003B65CF">
              <w:t xml:space="preserve"> </w:t>
            </w:r>
            <w:r w:rsidR="00853BC6">
              <w:t>flavouring,</w:t>
            </w:r>
            <w:r w:rsidR="003B65CF" w:rsidRPr="003B65CF">
              <w:t xml:space="preserve"> </w:t>
            </w:r>
            <w:r w:rsidR="00853BC6">
              <w:t>colouring</w:t>
            </w:r>
            <w:r w:rsidR="003B65CF" w:rsidRPr="003B65CF">
              <w:t xml:space="preserve"> </w:t>
            </w:r>
            <w:r w:rsidRPr="00EE1A4B">
              <w:t>and</w:t>
            </w:r>
            <w:r w:rsidR="003B65CF" w:rsidRPr="003B65CF">
              <w:t xml:space="preserve"> </w:t>
            </w:r>
            <w:r w:rsidRPr="00EE1A4B">
              <w:t>sweetening</w:t>
            </w:r>
            <w:r w:rsidR="003B65CF" w:rsidRPr="003B65CF">
              <w:t xml:space="preserve"> </w:t>
            </w:r>
            <w:r w:rsidRPr="00EE1A4B">
              <w:t>of</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3B65CF" w:rsidRPr="003B65CF">
              <w:t xml:space="preserve"> </w:t>
            </w:r>
            <w:r w:rsidRPr="00EE1A4B">
              <w:t>falling</w:t>
            </w:r>
            <w:r w:rsidR="003B65CF" w:rsidRPr="003B65CF">
              <w:t xml:space="preserve"> </w:t>
            </w:r>
            <w:r w:rsidRPr="00EE1A4B">
              <w:t>within</w:t>
            </w:r>
            <w:r w:rsidR="003B65CF" w:rsidRPr="003B65CF">
              <w:t xml:space="preserve"> </w:t>
            </w:r>
            <w:r w:rsidRPr="00EE1A4B">
              <w:t>the</w:t>
            </w:r>
            <w:r w:rsidR="003B65CF" w:rsidRPr="003B65CF">
              <w:t xml:space="preserve"> </w:t>
            </w:r>
            <w:r w:rsidRPr="00EE1A4B">
              <w:t>categories</w:t>
            </w:r>
            <w:r w:rsidR="003B65CF" w:rsidRPr="003B65CF">
              <w:t xml:space="preserve"> </w:t>
            </w:r>
            <w:r w:rsidRPr="00EE1A4B">
              <w:t>of</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3B65CF" w:rsidRPr="003B65CF">
              <w:t xml:space="preserve"> </w:t>
            </w:r>
            <w:r w:rsidRPr="00EE1A4B">
              <w:t>numbered</w:t>
            </w:r>
            <w:r w:rsidR="003B65CF" w:rsidRPr="003B65CF">
              <w:t xml:space="preserve"> </w:t>
            </w:r>
            <w:r w:rsidRPr="00EE1A4B">
              <w:t>15</w:t>
            </w:r>
            <w:r w:rsidR="003B65CF" w:rsidRPr="003B65CF">
              <w:t xml:space="preserve"> </w:t>
            </w:r>
            <w:r w:rsidRPr="00EE1A4B">
              <w:t>to</w:t>
            </w:r>
            <w:r w:rsidR="003B65CF" w:rsidRPr="003B65CF">
              <w:t xml:space="preserve"> </w:t>
            </w:r>
            <w:r w:rsidRPr="00EE1A4B">
              <w:t>44</w:t>
            </w:r>
            <w:r w:rsidR="003B65CF" w:rsidRPr="003B65CF">
              <w:t xml:space="preserve"> </w:t>
            </w:r>
            <w:r w:rsidR="0032097F" w:rsidRPr="0032097F">
              <w:t>of</w:t>
            </w:r>
            <w:r w:rsidR="003B65CF" w:rsidRPr="003B65CF">
              <w:t xml:space="preserve"> </w:t>
            </w:r>
            <w:r w:rsidR="006020BD">
              <w:t>Annex</w:t>
            </w:r>
            <w:r w:rsidR="003B65CF" w:rsidRPr="003B65CF">
              <w:t xml:space="preserve"> </w:t>
            </w:r>
            <w:r w:rsidR="006020BD">
              <w:t>I</w:t>
            </w:r>
            <w:r w:rsidR="007779C5">
              <w:t>.</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7(4)</w:t>
            </w:r>
          </w:p>
        </w:tc>
        <w:tc>
          <w:tcPr>
            <w:tcW w:w="2654" w:type="dxa"/>
          </w:tcPr>
          <w:p w:rsidR="00C41234" w:rsidRPr="00D61D06" w:rsidRDefault="00C41234" w:rsidP="0032097F">
            <w:pPr>
              <w:pStyle w:val="TableText"/>
            </w:pPr>
            <w:r w:rsidRPr="00EE1A4B">
              <w:t>Annex</w:t>
            </w:r>
            <w:r w:rsidR="003B65CF" w:rsidRPr="003B65CF">
              <w:t xml:space="preserve"> </w:t>
            </w:r>
            <w:r w:rsidRPr="00EE1A4B">
              <w:t>I</w:t>
            </w:r>
            <w:r w:rsidR="003B65CF" w:rsidRPr="003B65CF">
              <w:t xml:space="preserve"> </w:t>
            </w:r>
            <w:r w:rsidRPr="00EE1A4B">
              <w:t>to</w:t>
            </w:r>
            <w:r w:rsidR="003B65CF" w:rsidRPr="003B65CF">
              <w:t xml:space="preserve"> </w:t>
            </w:r>
            <w:r w:rsidRPr="00EE1A4B">
              <w:t>the</w:t>
            </w:r>
            <w:r w:rsidR="003B65CF" w:rsidRPr="003B65CF">
              <w:t xml:space="preserve"> </w:t>
            </w:r>
            <w:r w:rsidRPr="00EE1A4B">
              <w:t>Treaty</w:t>
            </w:r>
            <w:r w:rsidR="003B65CF" w:rsidRPr="003B65CF">
              <w:t xml:space="preserve"> </w:t>
            </w:r>
            <w:r w:rsidRPr="00EE1A4B">
              <w:t>on</w:t>
            </w:r>
            <w:r w:rsidR="003B65CF" w:rsidRPr="003B65CF">
              <w:t xml:space="preserve"> </w:t>
            </w:r>
            <w:r w:rsidRPr="00EE1A4B">
              <w:t>the</w:t>
            </w:r>
            <w:r w:rsidR="003B65CF" w:rsidRPr="003B65CF">
              <w:t xml:space="preserve"> </w:t>
            </w:r>
            <w:r w:rsidRPr="00EE1A4B">
              <w:t>Functioning</w:t>
            </w:r>
            <w:r w:rsidR="003B65CF" w:rsidRPr="003B65CF">
              <w:t xml:space="preserve"> </w:t>
            </w:r>
            <w:r w:rsidRPr="00EE1A4B">
              <w:t>of</w:t>
            </w:r>
            <w:r w:rsidR="003B65CF" w:rsidRPr="003B65CF">
              <w:t xml:space="preserve"> </w:t>
            </w:r>
            <w:r w:rsidRPr="00EE1A4B">
              <w:t>the</w:t>
            </w:r>
            <w:r w:rsidR="003B65CF" w:rsidRPr="003B65CF">
              <w:t xml:space="preserve"> </w:t>
            </w:r>
            <w:r w:rsidRPr="00EE1A4B">
              <w:t>European</w:t>
            </w:r>
            <w:r w:rsidR="003B65CF" w:rsidRPr="003B65CF">
              <w:t xml:space="preserve"> </w:t>
            </w:r>
            <w:r w:rsidRPr="00EE1A4B">
              <w:t>Union</w:t>
            </w:r>
            <w:r w:rsidR="003B65CF" w:rsidRPr="003B65CF">
              <w:t xml:space="preserve"> </w:t>
            </w:r>
            <w:r w:rsidRPr="00EE1A4B">
              <w:t>and</w:t>
            </w:r>
            <w:r w:rsidR="003B65CF" w:rsidRPr="003B65CF">
              <w:t xml:space="preserve"> </w:t>
            </w:r>
            <w:r w:rsidR="006020BD">
              <w:t>Annex</w:t>
            </w:r>
            <w:r w:rsidR="003B65CF" w:rsidRPr="003B65CF">
              <w:t xml:space="preserve"> </w:t>
            </w:r>
            <w:r w:rsidR="006020BD">
              <w:t>I</w:t>
            </w:r>
          </w:p>
        </w:tc>
        <w:tc>
          <w:tcPr>
            <w:tcW w:w="2654" w:type="dxa"/>
          </w:tcPr>
          <w:p w:rsidR="00C41234" w:rsidRPr="00D61D06" w:rsidRDefault="00C41234" w:rsidP="008C4E45">
            <w:pPr>
              <w:pStyle w:val="TableText"/>
            </w:pPr>
            <w:r w:rsidRPr="00EE1A4B">
              <w:t>General</w:t>
            </w:r>
            <w:r w:rsidR="003B65CF" w:rsidRPr="003B65CF">
              <w:t xml:space="preserve"> </w:t>
            </w:r>
            <w:r w:rsidRPr="00EE1A4B">
              <w:t>requirements</w:t>
            </w:r>
            <w:r w:rsidR="003B65CF" w:rsidRPr="003B65CF">
              <w:t xml:space="preserve"> </w:t>
            </w:r>
            <w:r w:rsidRPr="00EE1A4B">
              <w:t>relating</w:t>
            </w:r>
            <w:r w:rsidR="003B65CF" w:rsidRPr="003B65CF">
              <w:t xml:space="preserve"> </w:t>
            </w:r>
            <w:r w:rsidRPr="00EE1A4B">
              <w:t>to</w:t>
            </w:r>
            <w:r w:rsidR="003B65CF" w:rsidRPr="003B65CF">
              <w:t xml:space="preserve"> </w:t>
            </w:r>
            <w:r w:rsidRPr="00EE1A4B">
              <w:t>the</w:t>
            </w:r>
            <w:r w:rsidR="003B65CF" w:rsidRPr="003B65CF">
              <w:t xml:space="preserve"> </w:t>
            </w:r>
            <w:r w:rsidRPr="00EE1A4B">
              <w:t>production,</w:t>
            </w:r>
            <w:r w:rsidR="003B65CF" w:rsidRPr="003B65CF">
              <w:t xml:space="preserve"> </w:t>
            </w:r>
            <w:r w:rsidRPr="00EE1A4B">
              <w:t>content</w:t>
            </w:r>
            <w:r w:rsidR="005D086C">
              <w:t>,</w:t>
            </w:r>
            <w:r w:rsidR="003B65CF" w:rsidRPr="003B65CF">
              <w:t xml:space="preserve"> </w:t>
            </w:r>
            <w:r w:rsidR="005D086C">
              <w:t>flavouring,</w:t>
            </w:r>
            <w:r w:rsidR="003B65CF" w:rsidRPr="003B65CF">
              <w:t xml:space="preserve"> </w:t>
            </w:r>
            <w:r w:rsidR="005D086C">
              <w:t>colouring</w:t>
            </w:r>
            <w:r w:rsidR="003B65CF" w:rsidRPr="003B65CF">
              <w:t xml:space="preserve"> </w:t>
            </w:r>
            <w:r w:rsidRPr="00EE1A4B">
              <w:t>and</w:t>
            </w:r>
            <w:r w:rsidR="003B65CF" w:rsidRPr="003B65CF">
              <w:t xml:space="preserve"> </w:t>
            </w:r>
            <w:r w:rsidRPr="00EE1A4B">
              <w:t>sweetening</w:t>
            </w:r>
            <w:r w:rsidR="003B65CF" w:rsidRPr="003B65CF">
              <w:t xml:space="preserve"> </w:t>
            </w:r>
            <w:r w:rsidRPr="00EE1A4B">
              <w:t>of</w:t>
            </w:r>
            <w:r w:rsidR="003B65CF" w:rsidRPr="003B65CF">
              <w:t xml:space="preserve"> </w:t>
            </w:r>
            <w:r w:rsidRPr="00EE1A4B">
              <w:t>spirit</w:t>
            </w:r>
            <w:r w:rsidR="003B65CF" w:rsidRPr="003B65CF">
              <w:t xml:space="preserve"> </w:t>
            </w:r>
            <w:r w:rsidRPr="00EE1A4B">
              <w:t>drinks</w:t>
            </w:r>
            <w:r w:rsidR="003B65CF" w:rsidRPr="003B65CF">
              <w:t xml:space="preserve"> </w:t>
            </w:r>
            <w:r w:rsidRPr="00EE1A4B">
              <w:t>other</w:t>
            </w:r>
            <w:r w:rsidR="003B65CF" w:rsidRPr="003B65CF">
              <w:t xml:space="preserve"> </w:t>
            </w:r>
            <w:r w:rsidRPr="00EE1A4B">
              <w:t>than</w:t>
            </w:r>
            <w:r w:rsidR="003B65CF" w:rsidRPr="003B65CF">
              <w:t xml:space="preserve"> </w:t>
            </w:r>
            <w:r w:rsidRPr="00EE1A4B">
              <w:t>those</w:t>
            </w:r>
            <w:r w:rsidR="003B65CF" w:rsidRPr="003B65CF">
              <w:t xml:space="preserve"> </w:t>
            </w:r>
            <w:r w:rsidRPr="00EE1A4B">
              <w:t>falling</w:t>
            </w:r>
            <w:r w:rsidR="003B65CF" w:rsidRPr="003B65CF">
              <w:t xml:space="preserve"> </w:t>
            </w:r>
            <w:r w:rsidRPr="00EE1A4B">
              <w:t>within</w:t>
            </w:r>
            <w:r w:rsidR="003B65CF" w:rsidRPr="003B65CF">
              <w:t xml:space="preserve"> </w:t>
            </w:r>
            <w:r w:rsidRPr="00EE1A4B">
              <w:t>categories</w:t>
            </w:r>
            <w:r w:rsidR="003B65CF" w:rsidRPr="003B65CF">
              <w:t xml:space="preserve"> </w:t>
            </w:r>
            <w:r w:rsidRPr="00EE1A4B">
              <w:t>1</w:t>
            </w:r>
            <w:r w:rsidR="003B65CF" w:rsidRPr="003B65CF">
              <w:t xml:space="preserve"> </w:t>
            </w:r>
            <w:r w:rsidRPr="00EE1A4B">
              <w:t>to</w:t>
            </w:r>
            <w:r w:rsidR="003B65CF" w:rsidRPr="003B65CF">
              <w:t xml:space="preserve"> </w:t>
            </w:r>
            <w:r w:rsidRPr="00EE1A4B">
              <w:t>44</w:t>
            </w:r>
            <w:r w:rsidR="007779C5">
              <w:t>.</w:t>
            </w:r>
          </w:p>
        </w:tc>
      </w:tr>
      <w:tr w:rsidR="0032097F" w:rsidRPr="00D61D06" w:rsidTr="009A1998">
        <w:tc>
          <w:tcPr>
            <w:tcW w:w="2654" w:type="dxa"/>
          </w:tcPr>
          <w:p w:rsidR="0032097F" w:rsidRDefault="0032097F" w:rsidP="0032097F">
            <w:pPr>
              <w:pStyle w:val="TableText"/>
            </w:pPr>
            <w:r>
              <w:t>Article</w:t>
            </w:r>
            <w:r w:rsidR="003B65CF" w:rsidRPr="003B65CF">
              <w:t xml:space="preserve"> </w:t>
            </w:r>
            <w:r>
              <w:t>10(1),</w:t>
            </w:r>
            <w:r w:rsidR="003B65CF" w:rsidRPr="003B65CF">
              <w:t xml:space="preserve"> </w:t>
            </w:r>
            <w:r>
              <w:t>second</w:t>
            </w:r>
            <w:r w:rsidR="003B65CF" w:rsidRPr="003B65CF">
              <w:t xml:space="preserve"> </w:t>
            </w:r>
            <w:r>
              <w:t>subparagraph</w:t>
            </w:r>
          </w:p>
        </w:tc>
        <w:tc>
          <w:tcPr>
            <w:tcW w:w="2654" w:type="dxa"/>
          </w:tcPr>
          <w:p w:rsidR="0032097F" w:rsidRPr="00EE1A4B" w:rsidRDefault="0032097F" w:rsidP="0032097F">
            <w:pPr>
              <w:pStyle w:val="TableText"/>
            </w:pPr>
          </w:p>
        </w:tc>
        <w:tc>
          <w:tcPr>
            <w:tcW w:w="2654" w:type="dxa"/>
          </w:tcPr>
          <w:p w:rsidR="0032097F" w:rsidRPr="00EE1A4B" w:rsidRDefault="004854CA" w:rsidP="004854CA">
            <w:pPr>
              <w:pStyle w:val="TableText"/>
            </w:pPr>
            <w:r>
              <w:t>A</w:t>
            </w:r>
            <w:r w:rsidR="003B65CF" w:rsidRPr="003B65CF">
              <w:t xml:space="preserve"> </w:t>
            </w:r>
            <w:r>
              <w:t>spirit</w:t>
            </w:r>
            <w:r w:rsidR="003B65CF" w:rsidRPr="003B65CF">
              <w:t xml:space="preserve"> </w:t>
            </w:r>
            <w:r>
              <w:t>drink</w:t>
            </w:r>
            <w:r w:rsidR="003B65CF" w:rsidRPr="003B65CF">
              <w:t xml:space="preserve"> </w:t>
            </w:r>
            <w:r w:rsidR="0032097F" w:rsidRPr="0032097F">
              <w:t>shall</w:t>
            </w:r>
            <w:r w:rsidR="003B65CF" w:rsidRPr="003B65CF">
              <w:t xml:space="preserve"> </w:t>
            </w:r>
            <w:r w:rsidR="0032097F" w:rsidRPr="0032097F">
              <w:t>bear</w:t>
            </w:r>
            <w:r w:rsidR="003B65CF" w:rsidRPr="003B65CF">
              <w:t xml:space="preserve"> </w:t>
            </w:r>
            <w:r>
              <w:t>a</w:t>
            </w:r>
            <w:r w:rsidR="003B65CF" w:rsidRPr="003B65CF">
              <w:t xml:space="preserve"> </w:t>
            </w:r>
            <w:r>
              <w:t>legal</w:t>
            </w:r>
            <w:r w:rsidR="003B65CF" w:rsidRPr="003B65CF">
              <w:t xml:space="preserve"> </w:t>
            </w:r>
            <w:r>
              <w:t>name</w:t>
            </w:r>
            <w:r w:rsidR="003B65CF" w:rsidRPr="003B65CF">
              <w:t xml:space="preserve"> </w:t>
            </w:r>
            <w:r w:rsidR="0032097F" w:rsidRPr="0032097F">
              <w:t>in</w:t>
            </w:r>
            <w:r w:rsidR="003B65CF" w:rsidRPr="003B65CF">
              <w:t xml:space="preserve"> </w:t>
            </w:r>
            <w:r>
              <w:t>its</w:t>
            </w:r>
            <w:r w:rsidR="003B65CF" w:rsidRPr="003B65CF">
              <w:t xml:space="preserve"> </w:t>
            </w:r>
            <w:r w:rsidR="0032097F" w:rsidRPr="0032097F">
              <w:t>description,</w:t>
            </w:r>
            <w:r w:rsidR="003B65CF" w:rsidRPr="003B65CF">
              <w:t xml:space="preserve"> </w:t>
            </w:r>
            <w:r w:rsidR="0032097F" w:rsidRPr="0032097F">
              <w:t>presentation</w:t>
            </w:r>
            <w:r w:rsidR="003B65CF" w:rsidRPr="003B65CF">
              <w:t xml:space="preserve"> </w:t>
            </w:r>
            <w:r w:rsidR="0032097F" w:rsidRPr="0032097F">
              <w:t>and</w:t>
            </w:r>
            <w:r w:rsidR="003B65CF" w:rsidRPr="003B65CF">
              <w:t xml:space="preserve"> </w:t>
            </w:r>
            <w:r w:rsidR="0032097F" w:rsidRPr="0032097F">
              <w:t>labelling.</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10(1)</w:t>
            </w:r>
            <w:r w:rsidR="00A31204">
              <w:t>,</w:t>
            </w:r>
            <w:r w:rsidR="003B65CF" w:rsidRPr="003B65CF">
              <w:t xml:space="preserve"> </w:t>
            </w:r>
            <w:r w:rsidR="00A31204">
              <w:t>third</w:t>
            </w:r>
            <w:r w:rsidR="003B65CF" w:rsidRPr="003B65CF">
              <w:t xml:space="preserve"> </w:t>
            </w:r>
            <w:r w:rsidR="00A31204">
              <w:t>subparagraph</w:t>
            </w:r>
          </w:p>
        </w:tc>
        <w:tc>
          <w:tcPr>
            <w:tcW w:w="2654" w:type="dxa"/>
          </w:tcPr>
          <w:p w:rsidR="00C41234" w:rsidRPr="00D61D06" w:rsidRDefault="00C41234" w:rsidP="008C4E45">
            <w:pPr>
              <w:pStyle w:val="TableText"/>
            </w:pPr>
          </w:p>
        </w:tc>
        <w:tc>
          <w:tcPr>
            <w:tcW w:w="2654" w:type="dxa"/>
          </w:tcPr>
          <w:p w:rsidR="00C41234" w:rsidRPr="00D61D06" w:rsidRDefault="00C41234" w:rsidP="008C4E45">
            <w:pPr>
              <w:pStyle w:val="TableText"/>
            </w:pPr>
            <w:r w:rsidRPr="00EE1A4B">
              <w:t>Legal</w:t>
            </w:r>
            <w:r w:rsidR="003B65CF" w:rsidRPr="003B65CF">
              <w:t xml:space="preserve"> </w:t>
            </w:r>
            <w:r w:rsidRPr="00EE1A4B">
              <w:t>names</w:t>
            </w:r>
            <w:r w:rsidR="003B65CF" w:rsidRPr="003B65CF">
              <w:t xml:space="preserve"> </w:t>
            </w:r>
            <w:r w:rsidRPr="00EE1A4B">
              <w:t>shall</w:t>
            </w:r>
            <w:r w:rsidR="003B65CF" w:rsidRPr="003B65CF">
              <w:t xml:space="preserve"> </w:t>
            </w:r>
            <w:r w:rsidRPr="00EE1A4B">
              <w:t>be</w:t>
            </w:r>
            <w:r w:rsidR="003B65CF" w:rsidRPr="003B65CF">
              <w:t xml:space="preserve"> </w:t>
            </w:r>
            <w:r w:rsidRPr="00EE1A4B">
              <w:t>shown</w:t>
            </w:r>
            <w:r w:rsidR="003B65CF" w:rsidRPr="003B65CF">
              <w:t xml:space="preserve"> </w:t>
            </w:r>
            <w:r w:rsidRPr="00EE1A4B">
              <w:t>clearly</w:t>
            </w:r>
            <w:r w:rsidR="003B65CF" w:rsidRPr="003B65CF">
              <w:t xml:space="preserve"> </w:t>
            </w:r>
            <w:r w:rsidRPr="00EE1A4B">
              <w:t>and</w:t>
            </w:r>
            <w:r w:rsidR="003B65CF" w:rsidRPr="003B65CF">
              <w:t xml:space="preserve"> </w:t>
            </w:r>
            <w:r w:rsidRPr="00EE1A4B">
              <w:t>visibly</w:t>
            </w:r>
            <w:r w:rsidR="003B65CF" w:rsidRPr="003B65CF">
              <w:t xml:space="preserve"> </w:t>
            </w:r>
            <w:r w:rsidRPr="00EE1A4B">
              <w:t>on</w:t>
            </w:r>
            <w:r w:rsidR="003B65CF" w:rsidRPr="003B65CF">
              <w:t xml:space="preserve"> </w:t>
            </w:r>
            <w:r w:rsidRPr="00EE1A4B">
              <w:t>the</w:t>
            </w:r>
            <w:r w:rsidR="003B65CF" w:rsidRPr="003B65CF">
              <w:t xml:space="preserve"> </w:t>
            </w:r>
            <w:r w:rsidRPr="00EE1A4B">
              <w:t>label</w:t>
            </w:r>
            <w:r w:rsidR="003B65CF" w:rsidRPr="003B65CF">
              <w:t xml:space="preserve"> </w:t>
            </w:r>
            <w:r w:rsidRPr="00EE1A4B">
              <w:t>of</w:t>
            </w:r>
            <w:r w:rsidR="003B65CF" w:rsidRPr="003B65CF">
              <w:t xml:space="preserve"> </w:t>
            </w:r>
            <w:r w:rsidRPr="00EE1A4B">
              <w:t>the</w:t>
            </w:r>
            <w:r w:rsidR="003B65CF" w:rsidRPr="003B65CF">
              <w:t xml:space="preserve"> </w:t>
            </w:r>
            <w:r w:rsidRPr="00EE1A4B">
              <w:t>spirit</w:t>
            </w:r>
            <w:r w:rsidR="003B65CF" w:rsidRPr="003B65CF">
              <w:t xml:space="preserve"> </w:t>
            </w:r>
            <w:r w:rsidRPr="00EE1A4B">
              <w:t>drink</w:t>
            </w:r>
            <w:r w:rsidR="003B65CF" w:rsidRPr="003B65CF">
              <w:t xml:space="preserve"> </w:t>
            </w:r>
            <w:r w:rsidRPr="00EE1A4B">
              <w:t>and</w:t>
            </w:r>
            <w:r w:rsidR="003B65CF" w:rsidRPr="003B65CF">
              <w:t xml:space="preserve"> </w:t>
            </w:r>
            <w:r w:rsidRPr="00EE1A4B">
              <w:t>shall</w:t>
            </w:r>
            <w:r w:rsidR="003B65CF" w:rsidRPr="003B65CF">
              <w:t xml:space="preserve"> </w:t>
            </w:r>
            <w:r w:rsidRPr="00EE1A4B">
              <w:t>not</w:t>
            </w:r>
            <w:r w:rsidR="003B65CF" w:rsidRPr="003B65CF">
              <w:t xml:space="preserve"> </w:t>
            </w:r>
            <w:r w:rsidRPr="00EE1A4B">
              <w:t>be</w:t>
            </w:r>
            <w:r w:rsidR="003B65CF" w:rsidRPr="003B65CF">
              <w:t xml:space="preserve"> </w:t>
            </w:r>
            <w:r w:rsidRPr="00EE1A4B">
              <w:t>replaced</w:t>
            </w:r>
            <w:r w:rsidR="003B65CF" w:rsidRPr="003B65CF">
              <w:t xml:space="preserve"> </w:t>
            </w:r>
            <w:r w:rsidRPr="00EE1A4B">
              <w:t>or</w:t>
            </w:r>
            <w:r w:rsidR="003B65CF" w:rsidRPr="003B65CF">
              <w:t xml:space="preserve"> </w:t>
            </w:r>
            <w:r w:rsidRPr="00EE1A4B">
              <w:t>altered</w:t>
            </w:r>
            <w:r w:rsidR="007779C5">
              <w:t>.</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10(2)</w:t>
            </w:r>
          </w:p>
        </w:tc>
        <w:tc>
          <w:tcPr>
            <w:tcW w:w="2654" w:type="dxa"/>
          </w:tcPr>
          <w:p w:rsidR="00C41234" w:rsidRPr="00D61D06" w:rsidRDefault="008456EB" w:rsidP="008C4E45">
            <w:pPr>
              <w:pStyle w:val="TableText"/>
            </w:pPr>
            <w:r>
              <w:t>Article</w:t>
            </w:r>
            <w:r w:rsidR="003B65CF" w:rsidRPr="003B65CF">
              <w:t xml:space="preserve"> </w:t>
            </w:r>
            <w:r>
              <w:t>10(4)</w:t>
            </w:r>
            <w:r w:rsidR="003B65CF" w:rsidRPr="003B65CF">
              <w:t xml:space="preserve"> </w:t>
            </w:r>
            <w:r>
              <w:t>of,</w:t>
            </w:r>
            <w:r w:rsidR="003B65CF" w:rsidRPr="003B65CF">
              <w:t xml:space="preserve"> </w:t>
            </w:r>
            <w:r>
              <w:t>and</w:t>
            </w:r>
            <w:r w:rsidR="003B65CF" w:rsidRPr="003B65CF">
              <w:t xml:space="preserve"> </w:t>
            </w:r>
            <w:r w:rsidR="00C41234">
              <w:t>Annex</w:t>
            </w:r>
            <w:r w:rsidR="003B65CF" w:rsidRPr="003B65CF">
              <w:t xml:space="preserve"> </w:t>
            </w:r>
            <w:r w:rsidR="00C41234">
              <w:t>I</w:t>
            </w:r>
            <w:r w:rsidR="003B65CF" w:rsidRPr="003B65CF">
              <w:t xml:space="preserve"> </w:t>
            </w:r>
            <w:r w:rsidR="00C41234">
              <w:t>to</w:t>
            </w:r>
            <w:r>
              <w:t>,</w:t>
            </w:r>
            <w:r w:rsidR="003B65CF" w:rsidRPr="003B65CF">
              <w:t xml:space="preserve"> </w:t>
            </w:r>
            <w:r w:rsidR="00C41234">
              <w:t>Regulation</w:t>
            </w:r>
            <w:r w:rsidR="003B65CF" w:rsidRPr="003B65CF">
              <w:t xml:space="preserve"> </w:t>
            </w:r>
            <w:r w:rsidR="00C41234">
              <w:t>(EU)</w:t>
            </w:r>
            <w:r w:rsidR="003B65CF" w:rsidRPr="003B65CF">
              <w:t xml:space="preserve"> </w:t>
            </w:r>
            <w:r w:rsidR="00C41234">
              <w:t>2019/787</w:t>
            </w:r>
          </w:p>
        </w:tc>
        <w:tc>
          <w:tcPr>
            <w:tcW w:w="2654" w:type="dxa"/>
          </w:tcPr>
          <w:p w:rsidR="00C41234" w:rsidRPr="00D61D06" w:rsidRDefault="00BB1FD9" w:rsidP="008C4E45">
            <w:pPr>
              <w:pStyle w:val="TableText"/>
            </w:pPr>
            <w:r>
              <w:t>Legal</w:t>
            </w:r>
            <w:r w:rsidR="003B65CF" w:rsidRPr="003B65CF">
              <w:t xml:space="preserve"> </w:t>
            </w:r>
            <w:r>
              <w:t>name</w:t>
            </w:r>
            <w:r w:rsidR="003B65CF" w:rsidRPr="003B65CF">
              <w:t xml:space="preserve"> </w:t>
            </w:r>
            <w:r w:rsidR="00C41234" w:rsidRPr="00EE1A4B">
              <w:t>for</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3B65CF" w:rsidRPr="003B65CF">
              <w:t xml:space="preserve"> </w:t>
            </w:r>
            <w:r w:rsidR="00C41234" w:rsidRPr="00EE1A4B">
              <w:t>falling</w:t>
            </w:r>
            <w:r w:rsidR="003B65CF" w:rsidRPr="003B65CF">
              <w:t xml:space="preserve"> </w:t>
            </w:r>
            <w:r w:rsidR="00C41234" w:rsidRPr="00EE1A4B">
              <w:t>within</w:t>
            </w:r>
            <w:r w:rsidR="003B65CF" w:rsidRPr="003B65CF">
              <w:t xml:space="preserve"> </w:t>
            </w:r>
            <w:r w:rsidR="00C41234" w:rsidRPr="00EE1A4B">
              <w:t>categories</w:t>
            </w:r>
            <w:r w:rsidR="003B65CF" w:rsidRPr="003B65CF">
              <w:t xml:space="preserve"> </w:t>
            </w:r>
            <w:r w:rsidR="00C41234" w:rsidRPr="00EE1A4B">
              <w:t>1</w:t>
            </w:r>
            <w:r w:rsidR="003B65CF" w:rsidRPr="003B65CF">
              <w:t xml:space="preserve"> </w:t>
            </w:r>
            <w:r w:rsidR="00C41234" w:rsidRPr="00EE1A4B">
              <w:t>to</w:t>
            </w:r>
            <w:r w:rsidR="003B65CF" w:rsidRPr="003B65CF">
              <w:t xml:space="preserve"> </w:t>
            </w:r>
            <w:r w:rsidR="00C41234" w:rsidRPr="00EE1A4B">
              <w:t>44</w:t>
            </w:r>
            <w:r w:rsidR="007779C5">
              <w:t>.</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10(3)</w:t>
            </w:r>
          </w:p>
        </w:tc>
        <w:tc>
          <w:tcPr>
            <w:tcW w:w="2654" w:type="dxa"/>
          </w:tcPr>
          <w:p w:rsidR="00C41234" w:rsidRPr="00D61D06" w:rsidRDefault="006020BD" w:rsidP="008C4E45">
            <w:pPr>
              <w:pStyle w:val="TableText"/>
            </w:pPr>
            <w:r>
              <w:t>Annex</w:t>
            </w:r>
            <w:r w:rsidR="003B65CF" w:rsidRPr="003B65CF">
              <w:t xml:space="preserve"> </w:t>
            </w:r>
            <w:r>
              <w:t>I</w:t>
            </w:r>
          </w:p>
        </w:tc>
        <w:tc>
          <w:tcPr>
            <w:tcW w:w="2654" w:type="dxa"/>
          </w:tcPr>
          <w:p w:rsidR="00C41234" w:rsidRPr="00D61D06" w:rsidRDefault="00C41234" w:rsidP="008C4E45">
            <w:pPr>
              <w:pStyle w:val="TableText"/>
            </w:pPr>
            <w:r w:rsidRPr="00CE0704">
              <w:t>Use</w:t>
            </w:r>
            <w:r w:rsidR="003B65CF" w:rsidRPr="003B65CF">
              <w:t xml:space="preserve"> </w:t>
            </w:r>
            <w:r w:rsidRPr="00CE0704">
              <w:t>of</w:t>
            </w:r>
            <w:r w:rsidR="003B65CF" w:rsidRPr="003B65CF">
              <w:t xml:space="preserve"> </w:t>
            </w:r>
            <w:r w:rsidRPr="00CE0704">
              <w:t>the</w:t>
            </w:r>
            <w:r w:rsidR="003B65CF" w:rsidRPr="003B65CF">
              <w:t xml:space="preserve"> </w:t>
            </w:r>
            <w:r w:rsidRPr="00CE0704">
              <w:t>“spirit</w:t>
            </w:r>
            <w:r w:rsidR="003B65CF" w:rsidRPr="003B65CF">
              <w:t xml:space="preserve"> </w:t>
            </w:r>
            <w:r w:rsidRPr="00CE0704">
              <w:t>drink”</w:t>
            </w:r>
            <w:r w:rsidR="003B65CF" w:rsidRPr="003B65CF">
              <w:t xml:space="preserve"> </w:t>
            </w:r>
            <w:r w:rsidR="00BB1FD9">
              <w:t>legal</w:t>
            </w:r>
            <w:r w:rsidR="003B65CF" w:rsidRPr="003B65CF">
              <w:t xml:space="preserve"> </w:t>
            </w:r>
            <w:r w:rsidR="00BB1FD9">
              <w:t>name</w:t>
            </w:r>
            <w:r w:rsidR="003B65CF" w:rsidRPr="003B65CF">
              <w:t xml:space="preserve"> </w:t>
            </w:r>
            <w:r w:rsidRPr="00CE0704">
              <w:t>for</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rsidR="003B65CF" w:rsidRPr="003B65CF">
              <w:t xml:space="preserve"> </w:t>
            </w:r>
            <w:r w:rsidRPr="00CE0704">
              <w:t>that</w:t>
            </w:r>
            <w:r w:rsidR="003B65CF" w:rsidRPr="003B65CF">
              <w:t xml:space="preserve"> </w:t>
            </w:r>
            <w:r w:rsidRPr="00CE0704">
              <w:t>do</w:t>
            </w:r>
            <w:r w:rsidR="004854CA">
              <w:t>es</w:t>
            </w:r>
            <w:r w:rsidR="003B65CF" w:rsidRPr="003B65CF">
              <w:t xml:space="preserve"> </w:t>
            </w:r>
            <w:r w:rsidRPr="00CE0704">
              <w:t>not</w:t>
            </w:r>
            <w:r w:rsidR="003B65CF" w:rsidRPr="003B65CF">
              <w:t xml:space="preserve"> </w:t>
            </w:r>
            <w:r w:rsidRPr="00CE0704">
              <w:t>fall</w:t>
            </w:r>
            <w:r w:rsidR="003B65CF" w:rsidRPr="003B65CF">
              <w:t xml:space="preserve"> </w:t>
            </w:r>
            <w:r w:rsidRPr="00CE0704">
              <w:t>within</w:t>
            </w:r>
            <w:r w:rsidR="003B65CF" w:rsidRPr="003B65CF">
              <w:t xml:space="preserve"> </w:t>
            </w:r>
            <w:r w:rsidRPr="00CE0704">
              <w:t>any</w:t>
            </w:r>
            <w:r w:rsidR="003B65CF" w:rsidRPr="003B65CF">
              <w:t xml:space="preserve"> </w:t>
            </w:r>
            <w:r w:rsidRPr="00CE0704">
              <w:t>of</w:t>
            </w:r>
            <w:r w:rsidR="003B65CF" w:rsidRPr="003B65CF">
              <w:t xml:space="preserve"> </w:t>
            </w:r>
            <w:r w:rsidRPr="00CE0704">
              <w:t>the</w:t>
            </w:r>
            <w:r w:rsidR="003B65CF" w:rsidRPr="003B65CF">
              <w:t xml:space="preserve"> </w:t>
            </w:r>
            <w:r w:rsidRPr="00CE0704">
              <w:t>categories</w:t>
            </w:r>
            <w:r w:rsidR="003B65CF" w:rsidRPr="003B65CF">
              <w:t xml:space="preserve"> </w:t>
            </w:r>
            <w:r w:rsidRPr="00CE0704">
              <w:t>numbered</w:t>
            </w:r>
            <w:r w:rsidR="003B65CF" w:rsidRPr="003B65CF">
              <w:t xml:space="preserve"> </w:t>
            </w:r>
            <w:r w:rsidRPr="00CE0704">
              <w:t>1</w:t>
            </w:r>
            <w:r w:rsidR="003B65CF" w:rsidRPr="003B65CF">
              <w:t xml:space="preserve"> </w:t>
            </w:r>
            <w:r w:rsidRPr="00CE0704">
              <w:t>to</w:t>
            </w:r>
            <w:r w:rsidR="003B65CF" w:rsidRPr="003B65CF">
              <w:t xml:space="preserve"> </w:t>
            </w:r>
            <w:r w:rsidRPr="00CE0704">
              <w:t>44</w:t>
            </w:r>
            <w:r w:rsidR="007779C5">
              <w:t>.</w:t>
            </w:r>
          </w:p>
        </w:tc>
      </w:tr>
      <w:tr w:rsidR="00811FD9" w:rsidRPr="00D61D06" w:rsidTr="009A1998">
        <w:tc>
          <w:tcPr>
            <w:tcW w:w="2654" w:type="dxa"/>
          </w:tcPr>
          <w:p w:rsidR="00811FD9" w:rsidRDefault="00811FD9" w:rsidP="008C4E45">
            <w:pPr>
              <w:pStyle w:val="TableText"/>
            </w:pPr>
            <w:r>
              <w:t>Article</w:t>
            </w:r>
            <w:r w:rsidR="003B65CF" w:rsidRPr="003B65CF">
              <w:t xml:space="preserve"> </w:t>
            </w:r>
            <w:r>
              <w:t>10(5)(b)</w:t>
            </w:r>
          </w:p>
        </w:tc>
        <w:tc>
          <w:tcPr>
            <w:tcW w:w="2654" w:type="dxa"/>
          </w:tcPr>
          <w:p w:rsidR="00811FD9" w:rsidRPr="00CE0704" w:rsidRDefault="00811FD9" w:rsidP="008C4E45">
            <w:pPr>
              <w:pStyle w:val="TableText"/>
            </w:pPr>
            <w:r>
              <w:t>Category</w:t>
            </w:r>
            <w:r w:rsidR="003B65CF" w:rsidRPr="003B65CF">
              <w:t xml:space="preserve"> </w:t>
            </w:r>
            <w:r>
              <w:t>33</w:t>
            </w:r>
            <w:r w:rsidR="003B65CF" w:rsidRPr="003B65CF">
              <w:t xml:space="preserve"> </w:t>
            </w:r>
            <w:r>
              <w:t>of</w:t>
            </w:r>
            <w:r w:rsidR="003B65CF" w:rsidRPr="003B65CF">
              <w:t xml:space="preserve"> </w:t>
            </w:r>
            <w:r w:rsidR="006020BD">
              <w:t>Annex</w:t>
            </w:r>
            <w:r w:rsidR="003B65CF" w:rsidRPr="003B65CF">
              <w:t xml:space="preserve"> </w:t>
            </w:r>
            <w:r w:rsidR="006020BD">
              <w:t>I</w:t>
            </w:r>
          </w:p>
        </w:tc>
        <w:tc>
          <w:tcPr>
            <w:tcW w:w="2654" w:type="dxa"/>
          </w:tcPr>
          <w:p w:rsidR="00811FD9" w:rsidRDefault="00811FD9" w:rsidP="008C4E45">
            <w:pPr>
              <w:pStyle w:val="TableText"/>
            </w:pPr>
            <w:r>
              <w:t>Restriction</w:t>
            </w:r>
            <w:r w:rsidR="003B65CF" w:rsidRPr="003B65CF">
              <w:t xml:space="preserve"> </w:t>
            </w:r>
            <w:r>
              <w:t>on</w:t>
            </w:r>
            <w:r w:rsidR="003B65CF" w:rsidRPr="003B65CF">
              <w:t xml:space="preserve"> </w:t>
            </w:r>
            <w:r>
              <w:t>the</w:t>
            </w:r>
            <w:r w:rsidR="003B65CF" w:rsidRPr="003B65CF">
              <w:t xml:space="preserve"> </w:t>
            </w:r>
            <w:r>
              <w:t>replacement</w:t>
            </w:r>
            <w:r w:rsidR="003B65CF" w:rsidRPr="003B65CF">
              <w:t xml:space="preserve"> </w:t>
            </w:r>
            <w:r>
              <w:t>of</w:t>
            </w:r>
            <w:r w:rsidR="003B65CF" w:rsidRPr="003B65CF">
              <w:t xml:space="preserve"> </w:t>
            </w:r>
            <w:r>
              <w:t>a</w:t>
            </w:r>
            <w:r w:rsidR="003B65CF" w:rsidRPr="003B65CF">
              <w:t xml:space="preserve"> </w:t>
            </w:r>
            <w:r w:rsidR="00BB1FD9">
              <w:t>legal</w:t>
            </w:r>
            <w:r w:rsidR="003B65CF" w:rsidRPr="003B65CF">
              <w:t xml:space="preserve"> </w:t>
            </w:r>
            <w:r w:rsidR="00BB1FD9">
              <w:t>name</w:t>
            </w:r>
            <w:r w:rsidR="003B65CF" w:rsidRPr="003B65CF">
              <w:t xml:space="preserve"> </w:t>
            </w:r>
            <w:r>
              <w:t>by</w:t>
            </w:r>
            <w:r w:rsidR="003B65CF" w:rsidRPr="003B65CF">
              <w:t xml:space="preserve"> </w:t>
            </w:r>
            <w:r>
              <w:t>a</w:t>
            </w:r>
            <w:r w:rsidR="003B65CF" w:rsidRPr="003B65CF">
              <w:t xml:space="preserve"> </w:t>
            </w:r>
            <w:r>
              <w:t>compound</w:t>
            </w:r>
            <w:r w:rsidR="003B65CF" w:rsidRPr="003B65CF">
              <w:t xml:space="preserve"> </w:t>
            </w:r>
            <w:r>
              <w:t>term</w:t>
            </w:r>
            <w:r w:rsidR="003B65CF" w:rsidRPr="003B65CF">
              <w:t xml:space="preserve"> </w:t>
            </w:r>
            <w:r>
              <w:t>which</w:t>
            </w:r>
            <w:r w:rsidR="003B65CF" w:rsidRPr="003B65CF">
              <w:t xml:space="preserve"> </w:t>
            </w:r>
            <w:r>
              <w:t>includes</w:t>
            </w:r>
            <w:r w:rsidR="003B65CF" w:rsidRPr="003B65CF">
              <w:t xml:space="preserve"> </w:t>
            </w:r>
            <w:r>
              <w:t>the</w:t>
            </w:r>
            <w:r w:rsidR="003B65CF" w:rsidRPr="003B65CF">
              <w:t xml:space="preserve"> </w:t>
            </w:r>
            <w:r>
              <w:t>term</w:t>
            </w:r>
            <w:r w:rsidR="003B65CF" w:rsidRPr="003B65CF">
              <w:t xml:space="preserve"> </w:t>
            </w:r>
            <w:r>
              <w:t>‘liqueur’</w:t>
            </w:r>
            <w:r w:rsidR="003B65CF" w:rsidRPr="003B65CF">
              <w:t xml:space="preserve"> </w:t>
            </w:r>
            <w:r>
              <w:t>or</w:t>
            </w:r>
            <w:r w:rsidR="003B65CF" w:rsidRPr="003B65CF">
              <w:t xml:space="preserve"> </w:t>
            </w:r>
            <w:r>
              <w:t>‘cream’.</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10(6)</w:t>
            </w:r>
          </w:p>
        </w:tc>
        <w:tc>
          <w:tcPr>
            <w:tcW w:w="2654" w:type="dxa"/>
          </w:tcPr>
          <w:p w:rsidR="00C41234" w:rsidRPr="00D61D06" w:rsidRDefault="0032097F" w:rsidP="008C4E45">
            <w:pPr>
              <w:pStyle w:val="TableText"/>
            </w:pPr>
            <w:r>
              <w:t>Articles</w:t>
            </w:r>
            <w:r w:rsidR="003B65CF" w:rsidRPr="003B65CF">
              <w:t xml:space="preserve"> </w:t>
            </w:r>
            <w:r>
              <w:t>11</w:t>
            </w:r>
            <w:r w:rsidR="003B65CF" w:rsidRPr="003B65CF">
              <w:t xml:space="preserve"> </w:t>
            </w:r>
            <w:r>
              <w:t>and</w:t>
            </w:r>
            <w:r w:rsidR="003B65CF" w:rsidRPr="003B65CF">
              <w:t xml:space="preserve"> </w:t>
            </w:r>
            <w:r>
              <w:t>12</w:t>
            </w:r>
            <w:r w:rsidR="003B65CF" w:rsidRPr="003B65CF">
              <w:t xml:space="preserve"> </w:t>
            </w:r>
            <w:r>
              <w:t>of,</w:t>
            </w:r>
            <w:r w:rsidR="003B65CF" w:rsidRPr="003B65CF">
              <w:t xml:space="preserve"> </w:t>
            </w:r>
            <w:r>
              <w:t>and</w:t>
            </w:r>
            <w:r w:rsidR="003B65CF" w:rsidRPr="003B65CF">
              <w:t xml:space="preserve"> </w:t>
            </w:r>
            <w:r>
              <w:t>Annex</w:t>
            </w:r>
            <w:r w:rsidR="003B65CF" w:rsidRPr="003B65CF">
              <w:t xml:space="preserve"> </w:t>
            </w:r>
            <w:r>
              <w:t>I</w:t>
            </w:r>
            <w:r w:rsidR="003B65CF" w:rsidRPr="003B65CF">
              <w:t xml:space="preserve"> </w:t>
            </w:r>
            <w:r>
              <w:t>to,</w:t>
            </w:r>
            <w:r w:rsidR="003B65CF" w:rsidRPr="003B65CF">
              <w:t xml:space="preserve"> </w:t>
            </w:r>
            <w:r>
              <w:t>Regulation</w:t>
            </w:r>
            <w:r w:rsidR="003B65CF" w:rsidRPr="003B65CF">
              <w:t xml:space="preserve"> </w:t>
            </w:r>
            <w:r>
              <w:t>(EU)</w:t>
            </w:r>
            <w:r w:rsidR="003B65CF" w:rsidRPr="003B65CF">
              <w:t xml:space="preserve"> </w:t>
            </w:r>
            <w:r>
              <w:t>2019/787</w:t>
            </w:r>
            <w:r w:rsidR="003B65CF" w:rsidRPr="003B65CF">
              <w:t xml:space="preserve"> </w:t>
            </w:r>
            <w:r>
              <w:t>and</w:t>
            </w:r>
            <w:r w:rsidR="003B65CF" w:rsidRPr="003B65CF">
              <w:t xml:space="preserve"> </w:t>
            </w:r>
            <w:r w:rsidR="00C41234" w:rsidRPr="00CE0704">
              <w:t>Regulation</w:t>
            </w:r>
            <w:r w:rsidR="003B65CF" w:rsidRPr="003B65CF">
              <w:t xml:space="preserve"> </w:t>
            </w:r>
            <w:r w:rsidR="00C41234" w:rsidRPr="00CE0704">
              <w:t>(EU)</w:t>
            </w:r>
            <w:r w:rsidR="003B65CF" w:rsidRPr="003B65CF">
              <w:t xml:space="preserve"> </w:t>
            </w:r>
            <w:r w:rsidR="00C41234" w:rsidRPr="00CE0704">
              <w:t>No</w:t>
            </w:r>
            <w:r w:rsidR="003B65CF" w:rsidRPr="003B65CF">
              <w:t xml:space="preserve"> </w:t>
            </w:r>
            <w:r w:rsidR="00C41234" w:rsidRPr="00CE0704">
              <w:t>1169/2011</w:t>
            </w:r>
            <w:r w:rsidR="003B65CF" w:rsidRPr="003B65CF">
              <w:t xml:space="preserve"> </w:t>
            </w:r>
            <w:r w:rsidR="00C41234" w:rsidRPr="00CE0704">
              <w:t>of</w:t>
            </w:r>
            <w:r w:rsidR="003B65CF" w:rsidRPr="003B65CF">
              <w:t xml:space="preserve"> </w:t>
            </w:r>
            <w:r w:rsidR="00C41234" w:rsidRPr="00CE0704">
              <w:t>the</w:t>
            </w:r>
            <w:r w:rsidR="003B65CF" w:rsidRPr="003B65CF">
              <w:t xml:space="preserve"> </w:t>
            </w:r>
            <w:r w:rsidR="00C41234" w:rsidRPr="00CE0704">
              <w:t>European</w:t>
            </w:r>
            <w:r w:rsidR="003B65CF" w:rsidRPr="003B65CF">
              <w:t xml:space="preserve"> </w:t>
            </w:r>
            <w:r w:rsidR="00C41234" w:rsidRPr="00CE0704">
              <w:t>Parliament</w:t>
            </w:r>
            <w:r w:rsidR="003B65CF" w:rsidRPr="003B65CF">
              <w:t xml:space="preserve"> </w:t>
            </w:r>
            <w:r w:rsidR="00C41234" w:rsidRPr="00CE0704">
              <w:t>and</w:t>
            </w:r>
            <w:r w:rsidR="003B65CF" w:rsidRPr="003B65CF">
              <w:t xml:space="preserve"> </w:t>
            </w:r>
            <w:r w:rsidR="00C41234" w:rsidRPr="00CE0704">
              <w:t>of</w:t>
            </w:r>
            <w:r w:rsidR="003B65CF" w:rsidRPr="003B65CF">
              <w:t xml:space="preserve"> </w:t>
            </w:r>
            <w:r w:rsidR="00C41234" w:rsidRPr="00CE0704">
              <w:t>the</w:t>
            </w:r>
            <w:r w:rsidR="003B65CF" w:rsidRPr="003B65CF">
              <w:t xml:space="preserve"> </w:t>
            </w:r>
            <w:r w:rsidR="00C41234" w:rsidRPr="00CE0704">
              <w:t>Council</w:t>
            </w:r>
            <w:r w:rsidR="003B65CF" w:rsidRPr="003B65CF">
              <w:t xml:space="preserve"> </w:t>
            </w:r>
            <w:r w:rsidR="00C41234" w:rsidRPr="00CE0704">
              <w:t>on</w:t>
            </w:r>
            <w:r w:rsidR="003B65CF" w:rsidRPr="003B65CF">
              <w:t xml:space="preserve"> </w:t>
            </w:r>
            <w:r w:rsidR="00C41234" w:rsidRPr="00CE0704">
              <w:t>the</w:t>
            </w:r>
            <w:r w:rsidR="003B65CF" w:rsidRPr="003B65CF">
              <w:t xml:space="preserve"> </w:t>
            </w:r>
            <w:r w:rsidR="00C41234" w:rsidRPr="00CE0704">
              <w:t>provision</w:t>
            </w:r>
            <w:r w:rsidR="003B65CF" w:rsidRPr="003B65CF">
              <w:t xml:space="preserve"> </w:t>
            </w:r>
            <w:r w:rsidR="00C41234" w:rsidRPr="00CE0704">
              <w:t>of</w:t>
            </w:r>
            <w:r w:rsidR="003B65CF" w:rsidRPr="003B65CF">
              <w:t xml:space="preserve"> </w:t>
            </w:r>
            <w:r w:rsidR="00C41234" w:rsidRPr="00CE0704">
              <w:t>food</w:t>
            </w:r>
            <w:r w:rsidR="003B65CF" w:rsidRPr="003B65CF">
              <w:t xml:space="preserve"> </w:t>
            </w:r>
            <w:r w:rsidR="00C41234" w:rsidRPr="00CE0704">
              <w:t>information</w:t>
            </w:r>
            <w:r w:rsidR="003B65CF" w:rsidRPr="003B65CF">
              <w:t xml:space="preserve"> </w:t>
            </w:r>
            <w:r w:rsidR="00C41234" w:rsidRPr="00CE0704">
              <w:t>to</w:t>
            </w:r>
            <w:r w:rsidR="003B65CF" w:rsidRPr="003B65CF">
              <w:t xml:space="preserve"> </w:t>
            </w:r>
            <w:r w:rsidR="00C41234" w:rsidRPr="00CE0704">
              <w:t>consumers</w:t>
            </w:r>
          </w:p>
        </w:tc>
        <w:tc>
          <w:tcPr>
            <w:tcW w:w="2654" w:type="dxa"/>
          </w:tcPr>
          <w:p w:rsidR="00C41234" w:rsidRPr="00D61D06" w:rsidRDefault="00C41234" w:rsidP="008C4E45">
            <w:pPr>
              <w:pStyle w:val="TableText"/>
            </w:pPr>
            <w:r w:rsidRPr="00CE0704">
              <w:t>Requirements</w:t>
            </w:r>
            <w:r w:rsidR="003B65CF" w:rsidRPr="003B65CF">
              <w:t xml:space="preserve"> </w:t>
            </w:r>
            <w:r w:rsidRPr="00CE0704">
              <w:t>re</w:t>
            </w:r>
            <w:r>
              <w:t>lat</w:t>
            </w:r>
            <w:r w:rsidRPr="00CE0704">
              <w:t>ing</w:t>
            </w:r>
            <w:r w:rsidR="003B65CF" w:rsidRPr="003B65CF">
              <w:t xml:space="preserve"> </w:t>
            </w:r>
            <w:r w:rsidRPr="00CE0704">
              <w:t>to</w:t>
            </w:r>
            <w:r w:rsidR="003B65CF" w:rsidRPr="003B65CF">
              <w:t xml:space="preserve"> </w:t>
            </w:r>
            <w:r w:rsidRPr="00CE0704">
              <w:t>the</w:t>
            </w:r>
            <w:r w:rsidR="003B65CF" w:rsidRPr="003B65CF">
              <w:t xml:space="preserve"> </w:t>
            </w:r>
            <w:r w:rsidRPr="00CE0704">
              <w:t>supplementation</w:t>
            </w:r>
            <w:r w:rsidR="003B65CF" w:rsidRPr="003B65CF">
              <w:t xml:space="preserve"> </w:t>
            </w:r>
            <w:r w:rsidRPr="00CE0704">
              <w:t>of</w:t>
            </w:r>
            <w:r w:rsidR="003B65CF" w:rsidRPr="003B65CF">
              <w:t xml:space="preserve"> </w:t>
            </w:r>
            <w:r w:rsidRPr="00CE0704">
              <w:t>legal</w:t>
            </w:r>
            <w:r w:rsidR="003B65CF" w:rsidRPr="003B65CF">
              <w:t xml:space="preserve"> </w:t>
            </w:r>
            <w:r w:rsidRPr="00CE0704">
              <w:t>names</w:t>
            </w:r>
            <w:r w:rsidR="007779C5">
              <w:t>.</w:t>
            </w:r>
          </w:p>
        </w:tc>
      </w:tr>
      <w:tr w:rsidR="007779C5" w:rsidRPr="00D61D06" w:rsidTr="009A1998">
        <w:tc>
          <w:tcPr>
            <w:tcW w:w="2654" w:type="dxa"/>
          </w:tcPr>
          <w:p w:rsidR="007779C5" w:rsidRDefault="00EE4B86" w:rsidP="008C4E45">
            <w:pPr>
              <w:pStyle w:val="TableText"/>
            </w:pPr>
            <w:r>
              <w:t>A</w:t>
            </w:r>
            <w:r w:rsidR="00A06CF9">
              <w:t>rticle</w:t>
            </w:r>
            <w:r w:rsidR="003B65CF" w:rsidRPr="003B65CF">
              <w:t xml:space="preserve"> </w:t>
            </w:r>
            <w:r w:rsidR="00A06CF9">
              <w:t>11(2)</w:t>
            </w:r>
          </w:p>
        </w:tc>
        <w:tc>
          <w:tcPr>
            <w:tcW w:w="2654" w:type="dxa"/>
          </w:tcPr>
          <w:p w:rsidR="007779C5" w:rsidRPr="00D61D06" w:rsidRDefault="00A06CF9" w:rsidP="008C4E45">
            <w:pPr>
              <w:pStyle w:val="TableText"/>
            </w:pPr>
            <w:r>
              <w:t>Article</w:t>
            </w:r>
            <w:r w:rsidR="003B65CF" w:rsidRPr="003B65CF">
              <w:t xml:space="preserve"> </w:t>
            </w:r>
            <w:r>
              <w:t>10</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Pr>
          <w:p w:rsidR="007779C5" w:rsidRPr="00D61D06" w:rsidRDefault="00A06CF9" w:rsidP="008169AA">
            <w:pPr>
              <w:pStyle w:val="TableText"/>
            </w:pPr>
            <w:r>
              <w:t>Prohibition</w:t>
            </w:r>
            <w:r w:rsidR="003B65CF" w:rsidRPr="003B65CF">
              <w:t xml:space="preserve"> </w:t>
            </w:r>
            <w:r>
              <w:t>on</w:t>
            </w:r>
            <w:r w:rsidR="003B65CF" w:rsidRPr="003B65CF">
              <w:t xml:space="preserve"> </w:t>
            </w:r>
            <w:r>
              <w:t>terms</w:t>
            </w:r>
            <w:r w:rsidR="003B65CF" w:rsidRPr="003B65CF">
              <w:t xml:space="preserve"> </w:t>
            </w:r>
            <w:r>
              <w:t>that</w:t>
            </w:r>
            <w:r w:rsidR="003B65CF" w:rsidRPr="003B65CF">
              <w:t xml:space="preserve"> </w:t>
            </w:r>
            <w:r>
              <w:t>may</w:t>
            </w:r>
            <w:r w:rsidR="003B65CF" w:rsidRPr="003B65CF">
              <w:t xml:space="preserve"> </w:t>
            </w:r>
            <w:r>
              <w:t>be</w:t>
            </w:r>
            <w:r w:rsidR="003B65CF" w:rsidRPr="003B65CF">
              <w:t xml:space="preserve"> </w:t>
            </w:r>
            <w:r>
              <w:t>used</w:t>
            </w:r>
            <w:r w:rsidR="003B65CF" w:rsidRPr="003B65CF">
              <w:t xml:space="preserve"> </w:t>
            </w:r>
            <w:r>
              <w:t>in</w:t>
            </w:r>
            <w:r w:rsidR="003B65CF" w:rsidRPr="003B65CF">
              <w:t xml:space="preserve"> </w:t>
            </w:r>
            <w:r>
              <w:t>a</w:t>
            </w:r>
            <w:r w:rsidR="003B65CF" w:rsidRPr="003B65CF">
              <w:t xml:space="preserve"> </w:t>
            </w:r>
            <w:r>
              <w:t>compound</w:t>
            </w:r>
            <w:r w:rsidR="003B65CF" w:rsidRPr="003B65CF">
              <w:t xml:space="preserve"> </w:t>
            </w:r>
            <w:r>
              <w:t>term</w:t>
            </w:r>
            <w:r w:rsidR="003B65CF" w:rsidRPr="003B65CF">
              <w:t xml:space="preserve"> </w:t>
            </w:r>
            <w:r>
              <w:t>to</w:t>
            </w:r>
            <w:r w:rsidR="003B65CF" w:rsidRPr="003B65CF">
              <w:t xml:space="preserve"> </w:t>
            </w:r>
            <w:r>
              <w:t>describe</w:t>
            </w:r>
            <w:r w:rsidR="003B65CF" w:rsidRPr="003B65CF">
              <w:t xml:space="preserve"> </w:t>
            </w:r>
            <w:r>
              <w:t>an</w:t>
            </w:r>
            <w:r w:rsidR="003B65CF" w:rsidRPr="003B65CF">
              <w:t xml:space="preserve"> </w:t>
            </w:r>
            <w:r>
              <w:t>alcoholic</w:t>
            </w:r>
            <w:r w:rsidR="003B65CF" w:rsidRPr="003B65CF">
              <w:t xml:space="preserve"> </w:t>
            </w:r>
            <w:r>
              <w:t>beverage.</w:t>
            </w:r>
          </w:p>
        </w:tc>
      </w:tr>
      <w:tr w:rsidR="00C41234" w:rsidRPr="00D61D06" w:rsidTr="009A1998">
        <w:tc>
          <w:tcPr>
            <w:tcW w:w="2654" w:type="dxa"/>
          </w:tcPr>
          <w:p w:rsidR="00C41234" w:rsidRPr="00D61D06" w:rsidRDefault="00C41234" w:rsidP="008C4E45">
            <w:pPr>
              <w:pStyle w:val="TableText"/>
            </w:pPr>
            <w:r>
              <w:t>Article</w:t>
            </w:r>
            <w:r w:rsidR="003B65CF" w:rsidRPr="003B65CF">
              <w:t xml:space="preserve"> </w:t>
            </w:r>
            <w:r>
              <w:t>11(3)</w:t>
            </w:r>
          </w:p>
        </w:tc>
        <w:tc>
          <w:tcPr>
            <w:tcW w:w="2654" w:type="dxa"/>
          </w:tcPr>
          <w:p w:rsidR="00C41234" w:rsidRPr="00D61D06" w:rsidRDefault="00C41234" w:rsidP="008C4E45">
            <w:pPr>
              <w:pStyle w:val="TableText"/>
            </w:pPr>
          </w:p>
        </w:tc>
        <w:tc>
          <w:tcPr>
            <w:tcW w:w="2654" w:type="dxa"/>
          </w:tcPr>
          <w:p w:rsidR="00EE4B86" w:rsidRPr="00D61D06" w:rsidRDefault="00A06CF9" w:rsidP="008C4E45">
            <w:pPr>
              <w:pStyle w:val="TableText"/>
            </w:pPr>
            <w:r>
              <w:t>Labelling</w:t>
            </w:r>
            <w:r w:rsidR="003B65CF" w:rsidRPr="003B65CF">
              <w:t xml:space="preserve"> </w:t>
            </w:r>
            <w:r>
              <w:t>requirements</w:t>
            </w:r>
            <w:r w:rsidR="003B65CF" w:rsidRPr="003B65CF">
              <w:t xml:space="preserve"> </w:t>
            </w:r>
            <w:r>
              <w:t>for</w:t>
            </w:r>
            <w:r w:rsidR="003B65CF" w:rsidRPr="003B65CF">
              <w:t xml:space="preserve"> </w:t>
            </w:r>
            <w:r>
              <w:t>compound</w:t>
            </w:r>
            <w:r w:rsidR="003B65CF" w:rsidRPr="003B65CF">
              <w:t xml:space="preserve"> </w:t>
            </w:r>
            <w:r>
              <w:t>terms.</w:t>
            </w:r>
          </w:p>
        </w:tc>
      </w:tr>
      <w:tr w:rsidR="008E17BA" w:rsidRPr="00D61D06" w:rsidTr="009A1998">
        <w:tc>
          <w:tcPr>
            <w:tcW w:w="2654" w:type="dxa"/>
          </w:tcPr>
          <w:p w:rsidR="008E17BA" w:rsidRDefault="008E17BA" w:rsidP="008E17BA">
            <w:pPr>
              <w:pStyle w:val="TableText"/>
            </w:pPr>
            <w:r>
              <w:t>Article</w:t>
            </w:r>
            <w:r w:rsidR="003B65CF" w:rsidRPr="003B65CF">
              <w:t xml:space="preserve"> </w:t>
            </w:r>
            <w:r>
              <w:t>12(4)</w:t>
            </w:r>
          </w:p>
        </w:tc>
        <w:tc>
          <w:tcPr>
            <w:tcW w:w="2654" w:type="dxa"/>
          </w:tcPr>
          <w:p w:rsidR="008E17BA" w:rsidRPr="00D61D06" w:rsidRDefault="00507892" w:rsidP="008E17BA">
            <w:pPr>
              <w:pStyle w:val="TableText"/>
            </w:pPr>
            <w:r>
              <w:t>Article</w:t>
            </w:r>
            <w:r w:rsidR="003B65CF" w:rsidRPr="003B65CF">
              <w:t xml:space="preserve"> </w:t>
            </w:r>
            <w:r>
              <w:t>11(3)(c)</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Pr>
          <w:p w:rsidR="008E17BA" w:rsidRPr="00D61D06" w:rsidRDefault="00E24D8F" w:rsidP="008E17BA">
            <w:pPr>
              <w:pStyle w:val="TableText"/>
            </w:pPr>
            <w:r>
              <w:t>Labelling</w:t>
            </w:r>
            <w:r w:rsidR="003B65CF" w:rsidRPr="003B65CF">
              <w:t xml:space="preserve"> </w:t>
            </w:r>
            <w:r>
              <w:t>requirements</w:t>
            </w:r>
            <w:r w:rsidR="003B65CF" w:rsidRPr="003B65CF">
              <w:t xml:space="preserve"> </w:t>
            </w:r>
            <w:r>
              <w:t>for</w:t>
            </w:r>
            <w:r w:rsidR="003B65CF" w:rsidRPr="003B65CF">
              <w:t xml:space="preserve"> </w:t>
            </w:r>
            <w:r>
              <w:t>the</w:t>
            </w:r>
            <w:r w:rsidR="003B65CF" w:rsidRPr="003B65CF">
              <w:t xml:space="preserve"> </w:t>
            </w:r>
            <w:r>
              <w:t>use</w:t>
            </w:r>
            <w:r w:rsidR="003B65CF" w:rsidRPr="003B65CF">
              <w:t xml:space="preserve"> </w:t>
            </w:r>
            <w:r>
              <w:t>of</w:t>
            </w:r>
            <w:r w:rsidR="003B65CF" w:rsidRPr="003B65CF">
              <w:t xml:space="preserve"> </w:t>
            </w:r>
            <w:r>
              <w:t>allusions</w:t>
            </w:r>
            <w:r w:rsidR="00A06CF9">
              <w:t>.</w:t>
            </w:r>
          </w:p>
        </w:tc>
      </w:tr>
      <w:tr w:rsidR="008E17BA" w:rsidRPr="00D61D06" w:rsidTr="009A1998">
        <w:tc>
          <w:tcPr>
            <w:tcW w:w="2654" w:type="dxa"/>
          </w:tcPr>
          <w:p w:rsidR="008E17BA" w:rsidRPr="00D61D06" w:rsidRDefault="008E17BA" w:rsidP="008E17BA">
            <w:pPr>
              <w:pStyle w:val="TableText"/>
            </w:pPr>
            <w:r>
              <w:t>Article</w:t>
            </w:r>
            <w:r w:rsidR="003B65CF" w:rsidRPr="003B65CF">
              <w:t xml:space="preserve"> </w:t>
            </w:r>
            <w:r>
              <w:t>13</w:t>
            </w:r>
            <w:r w:rsidR="00F273BB">
              <w:t>(1)</w:t>
            </w:r>
            <w:r w:rsidR="0032097F">
              <w:t>,</w:t>
            </w:r>
            <w:r w:rsidR="003B65CF" w:rsidRPr="003B65CF">
              <w:t xml:space="preserve"> </w:t>
            </w:r>
            <w:r w:rsidR="0032097F">
              <w:t>first</w:t>
            </w:r>
            <w:r w:rsidR="003B65CF" w:rsidRPr="003B65CF">
              <w:t xml:space="preserve"> </w:t>
            </w:r>
            <w:r w:rsidR="0032097F">
              <w:t>sentence</w:t>
            </w:r>
          </w:p>
        </w:tc>
        <w:tc>
          <w:tcPr>
            <w:tcW w:w="2654" w:type="dxa"/>
          </w:tcPr>
          <w:p w:rsidR="008E17BA" w:rsidRPr="00D61D06" w:rsidRDefault="008E17BA" w:rsidP="008E17BA">
            <w:pPr>
              <w:pStyle w:val="TableText"/>
            </w:pPr>
          </w:p>
        </w:tc>
        <w:tc>
          <w:tcPr>
            <w:tcW w:w="2654" w:type="dxa"/>
          </w:tcPr>
          <w:p w:rsidR="008E17BA" w:rsidRPr="00D61D06" w:rsidRDefault="00F273BB" w:rsidP="008E17BA">
            <w:pPr>
              <w:pStyle w:val="TableText"/>
            </w:pPr>
            <w:r>
              <w:t>Requirements</w:t>
            </w:r>
            <w:r w:rsidR="003B65CF" w:rsidRPr="003B65CF">
              <w:t xml:space="preserve"> </w:t>
            </w:r>
            <w:r>
              <w:t>for</w:t>
            </w:r>
            <w:r w:rsidR="003B65CF" w:rsidRPr="003B65CF">
              <w:t xml:space="preserve"> </w:t>
            </w:r>
            <w:r>
              <w:t>use</w:t>
            </w:r>
            <w:r w:rsidR="003B65CF" w:rsidRPr="003B65CF">
              <w:t xml:space="preserve"> </w:t>
            </w:r>
            <w:r>
              <w:t>of</w:t>
            </w:r>
            <w:r w:rsidR="003B65CF" w:rsidRPr="003B65CF">
              <w:t xml:space="preserve"> </w:t>
            </w:r>
            <w:r>
              <w:t>references</w:t>
            </w:r>
            <w:r w:rsidR="003B65CF" w:rsidRPr="003B65CF">
              <w:t xml:space="preserve"> </w:t>
            </w:r>
            <w:r>
              <w:t>to</w:t>
            </w:r>
            <w:r w:rsidR="003B65CF" w:rsidRPr="003B65CF">
              <w:t xml:space="preserve"> </w:t>
            </w:r>
            <w:r>
              <w:t>raw</w:t>
            </w:r>
            <w:r w:rsidR="003B65CF" w:rsidRPr="003B65CF">
              <w:t xml:space="preserve"> </w:t>
            </w:r>
            <w:r>
              <w:t>materials</w:t>
            </w:r>
            <w:r w:rsidR="003B65CF" w:rsidRPr="003B65CF">
              <w:t xml:space="preserve"> </w:t>
            </w:r>
            <w:r w:rsidR="005F7118">
              <w:t>in</w:t>
            </w:r>
            <w:r w:rsidR="003B65CF" w:rsidRPr="003B65CF">
              <w:t xml:space="preserve"> </w:t>
            </w:r>
            <w:r w:rsidR="005F7118">
              <w:t>the</w:t>
            </w:r>
            <w:r w:rsidR="003B65CF" w:rsidRPr="003B65CF">
              <w:t xml:space="preserve"> </w:t>
            </w:r>
            <w:r w:rsidR="005F7118">
              <w:t>description,</w:t>
            </w:r>
            <w:r w:rsidR="003B65CF" w:rsidRPr="003B65CF">
              <w:t xml:space="preserve"> </w:t>
            </w:r>
            <w:r w:rsidR="005F7118">
              <w:t>presentation</w:t>
            </w:r>
            <w:r w:rsidR="003B65CF" w:rsidRPr="003B65CF">
              <w:t xml:space="preserve"> </w:t>
            </w:r>
            <w:r w:rsidR="005F7118">
              <w:t>or</w:t>
            </w:r>
            <w:r w:rsidR="003B65CF" w:rsidRPr="003B65CF">
              <w:t xml:space="preserve"> </w:t>
            </w:r>
            <w:r w:rsidR="005F7118">
              <w:t>labelling</w:t>
            </w:r>
            <w:r w:rsidR="003B65CF" w:rsidRPr="003B65CF">
              <w:t xml:space="preserve"> </w:t>
            </w:r>
            <w:r w:rsidR="005F7118">
              <w:t>of</w:t>
            </w:r>
            <w:r w:rsidR="003B65CF" w:rsidRPr="003B65CF">
              <w:t xml:space="preserve"> </w:t>
            </w:r>
            <w:r w:rsidR="005F7118">
              <w:t>a</w:t>
            </w:r>
            <w:r w:rsidR="003B65CF" w:rsidRPr="003B65CF">
              <w:t xml:space="preserve"> </w:t>
            </w:r>
            <w:r w:rsidR="005F7118">
              <w:lastRenderedPageBreak/>
              <w:t>spirit</w:t>
            </w:r>
            <w:r w:rsidR="003B65CF" w:rsidRPr="003B65CF">
              <w:t xml:space="preserve"> </w:t>
            </w:r>
            <w:r w:rsidR="005F7118">
              <w:t>drink</w:t>
            </w:r>
            <w:r w:rsidR="00A06CF9">
              <w:t>.</w:t>
            </w:r>
          </w:p>
        </w:tc>
      </w:tr>
      <w:tr w:rsidR="0032097F" w:rsidRPr="00D61D06" w:rsidTr="009A1998">
        <w:tc>
          <w:tcPr>
            <w:tcW w:w="2654" w:type="dxa"/>
          </w:tcPr>
          <w:p w:rsidR="0032097F" w:rsidRDefault="0032097F" w:rsidP="0032097F">
            <w:pPr>
              <w:pStyle w:val="TableText"/>
            </w:pPr>
            <w:r>
              <w:lastRenderedPageBreak/>
              <w:t>Article</w:t>
            </w:r>
            <w:r w:rsidR="003B65CF" w:rsidRPr="003B65CF">
              <w:t xml:space="preserve"> </w:t>
            </w:r>
            <w:r>
              <w:t>13(1),</w:t>
            </w:r>
            <w:r w:rsidR="003B65CF" w:rsidRPr="003B65CF">
              <w:t xml:space="preserve"> </w:t>
            </w:r>
            <w:r>
              <w:t>second</w:t>
            </w:r>
            <w:r w:rsidR="003B65CF" w:rsidRPr="003B65CF">
              <w:t xml:space="preserve"> </w:t>
            </w:r>
            <w:r>
              <w:t>sentence</w:t>
            </w:r>
          </w:p>
        </w:tc>
        <w:tc>
          <w:tcPr>
            <w:tcW w:w="2654" w:type="dxa"/>
          </w:tcPr>
          <w:p w:rsidR="0032097F" w:rsidRPr="00D61D06" w:rsidRDefault="0032097F" w:rsidP="008E17BA">
            <w:pPr>
              <w:pStyle w:val="TableText"/>
            </w:pPr>
            <w:r>
              <w:t>Article</w:t>
            </w:r>
            <w:r w:rsidR="003B65CF" w:rsidRPr="003B65CF">
              <w:t xml:space="preserve"> </w:t>
            </w:r>
            <w:r>
              <w:t>13(1),</w:t>
            </w:r>
            <w:r w:rsidR="003B65CF" w:rsidRPr="003B65CF">
              <w:t xml:space="preserve"> </w:t>
            </w:r>
            <w:r>
              <w:t>first</w:t>
            </w:r>
            <w:r w:rsidR="003B65CF" w:rsidRPr="003B65CF">
              <w:t xml:space="preserve"> </w:t>
            </w:r>
            <w:r>
              <w:t>sentence,</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Pr>
          <w:p w:rsidR="0032097F" w:rsidRDefault="0032097F" w:rsidP="008E17BA">
            <w:pPr>
              <w:pStyle w:val="TableText"/>
            </w:pPr>
            <w:r>
              <w:t>Requirements</w:t>
            </w:r>
            <w:r w:rsidR="003B65CF" w:rsidRPr="003B65CF">
              <w:t xml:space="preserve"> </w:t>
            </w:r>
            <w:r>
              <w:t>for</w:t>
            </w:r>
            <w:r w:rsidR="003B65CF" w:rsidRPr="003B65CF">
              <w:t xml:space="preserve"> </w:t>
            </w:r>
            <w:r>
              <w:t>presentation</w:t>
            </w:r>
            <w:r w:rsidR="003B65CF" w:rsidRPr="003B65CF">
              <w:t xml:space="preserve"> </w:t>
            </w:r>
            <w:r>
              <w:t>order</w:t>
            </w:r>
            <w:r w:rsidR="003B65CF" w:rsidRPr="003B65CF">
              <w:t xml:space="preserve"> </w:t>
            </w:r>
          </w:p>
        </w:tc>
      </w:tr>
      <w:tr w:rsidR="008E17BA" w:rsidRPr="00D61D06" w:rsidTr="009A1998">
        <w:tc>
          <w:tcPr>
            <w:tcW w:w="2654" w:type="dxa"/>
          </w:tcPr>
          <w:p w:rsidR="008E17BA" w:rsidRPr="00D61D06" w:rsidRDefault="008E17BA" w:rsidP="008E17BA">
            <w:pPr>
              <w:pStyle w:val="TableText"/>
            </w:pPr>
            <w:r>
              <w:t>Article</w:t>
            </w:r>
            <w:r w:rsidR="003B65CF" w:rsidRPr="003B65CF">
              <w:t xml:space="preserve"> </w:t>
            </w:r>
            <w:r>
              <w:t>13(2)</w:t>
            </w:r>
          </w:p>
        </w:tc>
        <w:tc>
          <w:tcPr>
            <w:tcW w:w="2654" w:type="dxa"/>
          </w:tcPr>
          <w:p w:rsidR="008E17BA" w:rsidRPr="00D61D06" w:rsidRDefault="004E02E6" w:rsidP="004E02E6">
            <w:pPr>
              <w:pStyle w:val="TableText"/>
            </w:pPr>
            <w:r w:rsidRPr="00826500">
              <w:t>Articles</w:t>
            </w:r>
            <w:r w:rsidR="003B65CF" w:rsidRPr="003B65CF">
              <w:t xml:space="preserve"> </w:t>
            </w:r>
            <w:r w:rsidRPr="00826500">
              <w:t>18</w:t>
            </w:r>
            <w:r w:rsidR="003B65CF" w:rsidRPr="003B65CF">
              <w:t xml:space="preserve"> </w:t>
            </w:r>
            <w:r w:rsidRPr="00826500">
              <w:t>to</w:t>
            </w:r>
            <w:r w:rsidR="003B65CF" w:rsidRPr="003B65CF">
              <w:t xml:space="preserve"> </w:t>
            </w:r>
            <w:r w:rsidRPr="00826500">
              <w:t>22</w:t>
            </w:r>
            <w:r w:rsidR="003B65CF" w:rsidRPr="003B65CF">
              <w:t xml:space="preserve"> </w:t>
            </w:r>
            <w:r w:rsidRPr="00826500">
              <w:t>of</w:t>
            </w:r>
            <w:r w:rsidR="003B65CF" w:rsidRPr="003B65CF">
              <w:t xml:space="preserve"> </w:t>
            </w:r>
            <w:r w:rsidRPr="00826500">
              <w:t>Regulation</w:t>
            </w:r>
            <w:r w:rsidR="003B65CF" w:rsidRPr="003B65CF">
              <w:t xml:space="preserve"> </w:t>
            </w:r>
            <w:r w:rsidRPr="00826500">
              <w:t>(EU)</w:t>
            </w:r>
            <w:r w:rsidR="003B65CF" w:rsidRPr="003B65CF">
              <w:t xml:space="preserve"> </w:t>
            </w:r>
            <w:r w:rsidRPr="00826500">
              <w:t>No</w:t>
            </w:r>
            <w:r w:rsidR="003B65CF" w:rsidRPr="003B65CF">
              <w:t xml:space="preserve"> </w:t>
            </w:r>
            <w:r w:rsidRPr="00826500">
              <w:t>1169/2011</w:t>
            </w:r>
            <w:r>
              <w:t>,</w:t>
            </w:r>
            <w:r w:rsidR="003B65CF" w:rsidRPr="003B65CF">
              <w:t xml:space="preserve"> </w:t>
            </w:r>
            <w:r>
              <w:t>and</w:t>
            </w:r>
            <w:r w:rsidR="003B65CF" w:rsidRPr="003B65CF">
              <w:t xml:space="preserve"> </w:t>
            </w:r>
            <w:r w:rsidR="008E17BA" w:rsidRPr="00826500">
              <w:t>Article</w:t>
            </w:r>
            <w:r w:rsidR="003B65CF" w:rsidRPr="003B65CF">
              <w:t xml:space="preserve"> </w:t>
            </w:r>
            <w:r w:rsidR="008E17BA" w:rsidRPr="00826500">
              <w:t>10</w:t>
            </w:r>
            <w:r w:rsidR="003B65CF" w:rsidRPr="003B65CF">
              <w:t xml:space="preserve"> </w:t>
            </w:r>
            <w:r w:rsidR="008E17BA" w:rsidRPr="00826500">
              <w:t>of</w:t>
            </w:r>
            <w:r w:rsidR="003B65CF" w:rsidRPr="003B65CF">
              <w:t xml:space="preserve"> </w:t>
            </w:r>
            <w:r w:rsidR="008E17BA" w:rsidRPr="00826500">
              <w:t>Regulation</w:t>
            </w:r>
            <w:r w:rsidR="003B65CF" w:rsidRPr="003B65CF">
              <w:t xml:space="preserve"> </w:t>
            </w:r>
            <w:r w:rsidR="008E17BA" w:rsidRPr="00826500">
              <w:t>(EU)</w:t>
            </w:r>
            <w:r w:rsidR="003B65CF" w:rsidRPr="003B65CF">
              <w:t xml:space="preserve"> </w:t>
            </w:r>
            <w:r w:rsidR="008E17BA" w:rsidRPr="00826500">
              <w:t>2019/787</w:t>
            </w:r>
          </w:p>
        </w:tc>
        <w:tc>
          <w:tcPr>
            <w:tcW w:w="2654" w:type="dxa"/>
          </w:tcPr>
          <w:p w:rsidR="008E17BA" w:rsidRPr="00D61D06" w:rsidRDefault="008E17BA" w:rsidP="008E17BA">
            <w:pPr>
              <w:pStyle w:val="TableText"/>
            </w:pPr>
            <w:r w:rsidRPr="00826500">
              <w:t>Restrictions</w:t>
            </w:r>
            <w:r w:rsidR="003B65CF" w:rsidRPr="003B65CF">
              <w:t xml:space="preserve"> </w:t>
            </w:r>
            <w:r w:rsidRPr="00826500">
              <w:t>on</w:t>
            </w:r>
            <w:r w:rsidR="003B65CF" w:rsidRPr="003B65CF">
              <w:t xml:space="preserve"> </w:t>
            </w:r>
            <w:r w:rsidRPr="00826500">
              <w:t>using</w:t>
            </w:r>
            <w:r w:rsidR="003B65CF" w:rsidRPr="003B65CF">
              <w:t xml:space="preserve"> </w:t>
            </w:r>
            <w:r w:rsidR="007E4210">
              <w:t>s</w:t>
            </w:r>
            <w:r w:rsidRPr="00826500">
              <w:t>pirit</w:t>
            </w:r>
            <w:r w:rsidR="003B65CF" w:rsidRPr="003B65CF">
              <w:t xml:space="preserve"> </w:t>
            </w:r>
            <w:r w:rsidR="007E4210">
              <w:t>d</w:t>
            </w:r>
            <w:r w:rsidRPr="00826500">
              <w:t>rink</w:t>
            </w:r>
            <w:r w:rsidR="003B65CF" w:rsidRPr="003B65CF">
              <w:t xml:space="preserve"> </w:t>
            </w:r>
            <w:r w:rsidRPr="00826500">
              <w:t>legal</w:t>
            </w:r>
            <w:r w:rsidR="003B65CF" w:rsidRPr="003B65CF">
              <w:t xml:space="preserve"> </w:t>
            </w:r>
            <w:r w:rsidRPr="00826500">
              <w:t>names</w:t>
            </w:r>
            <w:r w:rsidR="003B65CF" w:rsidRPr="003B65CF">
              <w:t xml:space="preserve"> </w:t>
            </w:r>
            <w:r w:rsidRPr="00826500">
              <w:t>in</w:t>
            </w:r>
            <w:r w:rsidR="003B65CF" w:rsidRPr="003B65CF">
              <w:t xml:space="preserve"> </w:t>
            </w:r>
            <w:r w:rsidRPr="00826500">
              <w:t>ingredient</w:t>
            </w:r>
            <w:r w:rsidR="003B65CF" w:rsidRPr="003B65CF">
              <w:t xml:space="preserve"> </w:t>
            </w:r>
            <w:r w:rsidRPr="00826500">
              <w:t>lists</w:t>
            </w:r>
            <w:r w:rsidR="003B65CF" w:rsidRPr="003B65CF">
              <w:t xml:space="preserve"> </w:t>
            </w:r>
            <w:r w:rsidRPr="00826500">
              <w:t>for</w:t>
            </w:r>
            <w:r w:rsidR="003B65CF" w:rsidRPr="003B65CF">
              <w:t xml:space="preserve"> </w:t>
            </w:r>
            <w:r w:rsidRPr="00826500">
              <w:t>foodstuffs</w:t>
            </w:r>
            <w:r w:rsidR="00A06CF9">
              <w:t>.</w:t>
            </w:r>
          </w:p>
        </w:tc>
      </w:tr>
      <w:tr w:rsidR="00EC26A6" w:rsidRPr="00D61D06" w:rsidTr="009A1998">
        <w:tc>
          <w:tcPr>
            <w:tcW w:w="2654" w:type="dxa"/>
          </w:tcPr>
          <w:p w:rsidR="00EC26A6" w:rsidRDefault="00EC26A6" w:rsidP="00EC26A6">
            <w:pPr>
              <w:pStyle w:val="TableText"/>
            </w:pPr>
            <w:r w:rsidRPr="00B545B2">
              <w:t>Article</w:t>
            </w:r>
            <w:r w:rsidR="003B65CF" w:rsidRPr="003B65CF">
              <w:t xml:space="preserve"> </w:t>
            </w:r>
            <w:r w:rsidRPr="00B545B2">
              <w:t>13(3),</w:t>
            </w:r>
            <w:r w:rsidR="003B65CF" w:rsidRPr="003B65CF">
              <w:rPr>
                <w:rFonts w:ascii="Arial" w:hAnsi="Arial" w:cs="Arial"/>
                <w:sz w:val="20"/>
                <w:lang w:eastAsia="en-GB"/>
              </w:rPr>
              <w:t xml:space="preserve"> </w:t>
            </w:r>
            <w:r>
              <w:t>the</w:t>
            </w:r>
            <w:r w:rsidR="003B65CF" w:rsidRPr="003B65CF">
              <w:t xml:space="preserve"> </w:t>
            </w:r>
            <w:r>
              <w:t>first</w:t>
            </w:r>
            <w:r w:rsidR="003B65CF" w:rsidRPr="003B65CF">
              <w:t xml:space="preserve"> </w:t>
            </w:r>
            <w:r>
              <w:t>subparagraph</w:t>
            </w:r>
            <w:r w:rsidR="003B65CF" w:rsidRPr="003B65CF">
              <w:t xml:space="preserve"> </w:t>
            </w:r>
          </w:p>
        </w:tc>
        <w:tc>
          <w:tcPr>
            <w:tcW w:w="2654" w:type="dxa"/>
          </w:tcPr>
          <w:p w:rsidR="00EC26A6" w:rsidRPr="00826500" w:rsidRDefault="00EC26A6" w:rsidP="00EC26A6">
            <w:pPr>
              <w:pStyle w:val="TableText"/>
            </w:pPr>
            <w:r w:rsidRPr="00B545B2">
              <w:t>Article</w:t>
            </w:r>
            <w:r w:rsidR="003B65CF" w:rsidRPr="003B65CF">
              <w:t xml:space="preserve"> </w:t>
            </w:r>
            <w:r w:rsidRPr="00B545B2">
              <w:t>13(4)</w:t>
            </w:r>
            <w:r>
              <w:t>,</w:t>
            </w:r>
            <w:r w:rsidR="003B65CF" w:rsidRPr="003B65CF">
              <w:t xml:space="preserve"> </w:t>
            </w:r>
            <w:r w:rsidRPr="00B545B2">
              <w:t>first</w:t>
            </w:r>
            <w:r w:rsidR="003B65CF" w:rsidRPr="003B65CF">
              <w:t xml:space="preserve"> </w:t>
            </w:r>
            <w:r w:rsidRPr="00B545B2">
              <w:t>subparagraph</w:t>
            </w:r>
            <w:r>
              <w:t>,</w:t>
            </w:r>
            <w:r w:rsidR="003B65CF" w:rsidRPr="003B65CF">
              <w:t xml:space="preserve"> </w:t>
            </w:r>
            <w:r>
              <w:t>of</w:t>
            </w:r>
            <w:r w:rsidR="003B65CF" w:rsidRPr="003B65CF">
              <w:t xml:space="preserve"> </w:t>
            </w:r>
            <w:r>
              <w:t>(EU)</w:t>
            </w:r>
            <w:r w:rsidR="003B65CF" w:rsidRPr="003B65CF">
              <w:t xml:space="preserve"> </w:t>
            </w:r>
            <w:r>
              <w:t>Regulation</w:t>
            </w:r>
            <w:r w:rsidR="003B65CF" w:rsidRPr="003B65CF">
              <w:t xml:space="preserve"> </w:t>
            </w:r>
            <w:r>
              <w:t>2019/787</w:t>
            </w:r>
            <w:r w:rsidRPr="00B545B2">
              <w:t>.</w:t>
            </w:r>
          </w:p>
        </w:tc>
        <w:tc>
          <w:tcPr>
            <w:tcW w:w="2654" w:type="dxa"/>
          </w:tcPr>
          <w:p w:rsidR="00EC26A6" w:rsidRPr="00826500" w:rsidRDefault="00EC26A6" w:rsidP="00EC26A6">
            <w:pPr>
              <w:pStyle w:val="TableText"/>
            </w:pPr>
            <w:r>
              <w:t>Labelling</w:t>
            </w:r>
            <w:r w:rsidR="003B65CF" w:rsidRPr="003B65CF">
              <w:t xml:space="preserve"> </w:t>
            </w:r>
            <w:r>
              <w:t>requirements</w:t>
            </w:r>
            <w:r w:rsidR="003B65CF" w:rsidRPr="003B65CF">
              <w:t xml:space="preserve"> </w:t>
            </w:r>
            <w:r>
              <w:t>for</w:t>
            </w:r>
            <w:r w:rsidR="003B65CF" w:rsidRPr="003B65CF">
              <w:t xml:space="preserve"> </w:t>
            </w:r>
            <w:r>
              <w:t>mixtures.</w:t>
            </w:r>
          </w:p>
        </w:tc>
      </w:tr>
      <w:tr w:rsidR="00EC26A6" w:rsidRPr="00D61D06" w:rsidTr="009A1998">
        <w:tc>
          <w:tcPr>
            <w:tcW w:w="2654" w:type="dxa"/>
          </w:tcPr>
          <w:p w:rsidR="00EC26A6" w:rsidRPr="00B545B2" w:rsidRDefault="00EC26A6" w:rsidP="00EC26A6">
            <w:pPr>
              <w:pStyle w:val="TableText"/>
            </w:pPr>
            <w:r w:rsidRPr="004C7E6D">
              <w:t>Article</w:t>
            </w:r>
            <w:r w:rsidR="003B65CF" w:rsidRPr="003B65CF">
              <w:t xml:space="preserve"> </w:t>
            </w:r>
            <w:r w:rsidRPr="004C7E6D">
              <w:t>13(3),</w:t>
            </w:r>
            <w:r w:rsidR="003B65CF" w:rsidRPr="003B65CF">
              <w:t xml:space="preserve"> </w:t>
            </w:r>
            <w:r w:rsidRPr="004C7E6D">
              <w:t>the</w:t>
            </w:r>
            <w:r w:rsidR="003B65CF" w:rsidRPr="003B65CF">
              <w:t xml:space="preserve"> </w:t>
            </w:r>
            <w:r w:rsidRPr="004C7E6D">
              <w:t>second</w:t>
            </w:r>
            <w:r w:rsidR="003B65CF" w:rsidRPr="003B65CF">
              <w:t xml:space="preserve"> </w:t>
            </w:r>
            <w:r w:rsidRPr="004C7E6D">
              <w:t>subparagraph</w:t>
            </w:r>
          </w:p>
        </w:tc>
        <w:tc>
          <w:tcPr>
            <w:tcW w:w="2654" w:type="dxa"/>
          </w:tcPr>
          <w:p w:rsidR="00EC26A6" w:rsidRPr="00B545B2" w:rsidRDefault="00EC26A6" w:rsidP="00EC26A6">
            <w:pPr>
              <w:pStyle w:val="TableText"/>
            </w:pPr>
            <w:r w:rsidRPr="004C7E6D">
              <w:t>Article</w:t>
            </w:r>
            <w:r w:rsidR="003B65CF" w:rsidRPr="003B65CF">
              <w:t xml:space="preserve"> </w:t>
            </w:r>
            <w:r w:rsidRPr="004C7E6D">
              <w:t>13(4)</w:t>
            </w:r>
            <w:r>
              <w:t>,</w:t>
            </w:r>
            <w:r w:rsidR="003B65CF" w:rsidRPr="003B65CF">
              <w:t xml:space="preserve"> </w:t>
            </w:r>
            <w:r w:rsidRPr="004C7E6D">
              <w:t>first</w:t>
            </w:r>
            <w:r w:rsidR="003B65CF" w:rsidRPr="003B65CF">
              <w:t xml:space="preserve"> </w:t>
            </w:r>
            <w:r w:rsidRPr="004C7E6D">
              <w:t>subparagraph</w:t>
            </w:r>
            <w:r>
              <w:t>,</w:t>
            </w:r>
            <w:r w:rsidR="003B65CF" w:rsidRPr="003B65CF">
              <w:t xml:space="preserve"> </w:t>
            </w:r>
            <w:r>
              <w:t>of</w:t>
            </w:r>
            <w:r w:rsidR="003B65CF" w:rsidRPr="003B65CF">
              <w:t xml:space="preserve"> </w:t>
            </w:r>
            <w:r>
              <w:t>(EU)</w:t>
            </w:r>
            <w:r w:rsidR="003B65CF" w:rsidRPr="003B65CF">
              <w:t xml:space="preserve"> </w:t>
            </w:r>
            <w:r>
              <w:t>Regulation</w:t>
            </w:r>
            <w:r w:rsidR="003B65CF" w:rsidRPr="003B65CF">
              <w:t xml:space="preserve"> </w:t>
            </w:r>
            <w:r>
              <w:t>2019/787</w:t>
            </w:r>
            <w:r w:rsidRPr="00B545B2">
              <w:t>.</w:t>
            </w:r>
          </w:p>
        </w:tc>
        <w:tc>
          <w:tcPr>
            <w:tcW w:w="2654" w:type="dxa"/>
          </w:tcPr>
          <w:p w:rsidR="00EC26A6" w:rsidRDefault="00EC26A6" w:rsidP="00EC26A6">
            <w:pPr>
              <w:pStyle w:val="TableText"/>
            </w:pPr>
            <w:r>
              <w:t>Labelling</w:t>
            </w:r>
            <w:r w:rsidR="003B65CF" w:rsidRPr="003B65CF">
              <w:t xml:space="preserve"> </w:t>
            </w:r>
            <w:r>
              <w:t>requirements</w:t>
            </w:r>
            <w:r w:rsidR="003B65CF" w:rsidRPr="003B65CF">
              <w:t xml:space="preserve"> </w:t>
            </w:r>
            <w:r>
              <w:t>for</w:t>
            </w:r>
            <w:r w:rsidR="003B65CF" w:rsidRPr="003B65CF">
              <w:t xml:space="preserve"> </w:t>
            </w:r>
            <w:r>
              <w:t>mixtures.</w:t>
            </w:r>
          </w:p>
        </w:tc>
      </w:tr>
      <w:tr w:rsidR="00EC26A6" w:rsidRPr="00D61D06" w:rsidTr="009A1998">
        <w:tc>
          <w:tcPr>
            <w:tcW w:w="2654" w:type="dxa"/>
          </w:tcPr>
          <w:p w:rsidR="00EC26A6" w:rsidRPr="004C7E6D" w:rsidRDefault="00EC26A6" w:rsidP="00EC26A6">
            <w:pPr>
              <w:pStyle w:val="TableText"/>
            </w:pPr>
            <w:r w:rsidRPr="004C7E6D">
              <w:t>Article</w:t>
            </w:r>
            <w:r w:rsidR="003B65CF" w:rsidRPr="003B65CF">
              <w:t xml:space="preserve"> </w:t>
            </w:r>
            <w:r w:rsidRPr="004C7E6D">
              <w:t>13(3),</w:t>
            </w:r>
            <w:r w:rsidR="003B65CF" w:rsidRPr="003B65CF">
              <w:t xml:space="preserve"> </w:t>
            </w:r>
            <w:r w:rsidRPr="004C7E6D">
              <w:t>the</w:t>
            </w:r>
            <w:r w:rsidR="003B65CF" w:rsidRPr="003B65CF">
              <w:t xml:space="preserve"> </w:t>
            </w:r>
            <w:r w:rsidRPr="004C7E6D">
              <w:t>third</w:t>
            </w:r>
            <w:r w:rsidR="003B65CF" w:rsidRPr="003B65CF">
              <w:t xml:space="preserve"> </w:t>
            </w:r>
            <w:r w:rsidRPr="004C7E6D">
              <w:t>subparagraph,</w:t>
            </w:r>
            <w:r w:rsidR="003B65CF" w:rsidRPr="003B65CF">
              <w:t xml:space="preserve"> </w:t>
            </w:r>
          </w:p>
        </w:tc>
        <w:tc>
          <w:tcPr>
            <w:tcW w:w="2654" w:type="dxa"/>
          </w:tcPr>
          <w:p w:rsidR="00EC26A6" w:rsidRPr="004C7E6D" w:rsidRDefault="00EC26A6" w:rsidP="00EC26A6">
            <w:pPr>
              <w:pStyle w:val="TableText"/>
            </w:pPr>
            <w:r w:rsidRPr="004C7E6D">
              <w:t>Article</w:t>
            </w:r>
            <w:r w:rsidR="003B65CF" w:rsidRPr="003B65CF">
              <w:t xml:space="preserve"> </w:t>
            </w:r>
            <w:r w:rsidRPr="004C7E6D">
              <w:t>13(4)</w:t>
            </w:r>
            <w:r>
              <w:t>,</w:t>
            </w:r>
            <w:r w:rsidR="003B65CF" w:rsidRPr="003B65CF">
              <w:t xml:space="preserve"> </w:t>
            </w:r>
            <w:r w:rsidRPr="004C7E6D">
              <w:t>first</w:t>
            </w:r>
            <w:r w:rsidR="003B65CF" w:rsidRPr="003B65CF">
              <w:t xml:space="preserve"> </w:t>
            </w:r>
            <w:r w:rsidRPr="004C7E6D">
              <w:t>subparagraph</w:t>
            </w:r>
            <w:r>
              <w:t>,</w:t>
            </w:r>
            <w:r w:rsidR="003B65CF" w:rsidRPr="003B65CF">
              <w:t xml:space="preserve"> </w:t>
            </w:r>
            <w:r>
              <w:t>of</w:t>
            </w:r>
            <w:r w:rsidR="003B65CF" w:rsidRPr="003B65CF">
              <w:t xml:space="preserve"> </w:t>
            </w:r>
            <w:r>
              <w:t>(EU)</w:t>
            </w:r>
            <w:r w:rsidR="003B65CF" w:rsidRPr="003B65CF">
              <w:t xml:space="preserve"> </w:t>
            </w:r>
            <w:r>
              <w:t>Regulation</w:t>
            </w:r>
            <w:r w:rsidR="003B65CF" w:rsidRPr="003B65CF">
              <w:t xml:space="preserve"> </w:t>
            </w:r>
            <w:r>
              <w:t>2019/787</w:t>
            </w:r>
            <w:r w:rsidRPr="00B545B2">
              <w:t>.</w:t>
            </w:r>
          </w:p>
        </w:tc>
        <w:tc>
          <w:tcPr>
            <w:tcW w:w="2654" w:type="dxa"/>
          </w:tcPr>
          <w:p w:rsidR="00EC26A6" w:rsidRDefault="00EC26A6" w:rsidP="00EC26A6">
            <w:pPr>
              <w:pStyle w:val="TableText"/>
            </w:pPr>
            <w:r>
              <w:t>Labelling</w:t>
            </w:r>
            <w:r w:rsidR="003B65CF" w:rsidRPr="003B65CF">
              <w:t xml:space="preserve"> </w:t>
            </w:r>
            <w:r>
              <w:t>requirements</w:t>
            </w:r>
            <w:r w:rsidR="003B65CF" w:rsidRPr="003B65CF">
              <w:t xml:space="preserve"> </w:t>
            </w:r>
            <w:r>
              <w:t>for</w:t>
            </w:r>
            <w:r w:rsidR="003B65CF" w:rsidRPr="003B65CF">
              <w:t xml:space="preserve"> </w:t>
            </w:r>
            <w:r>
              <w:t>mixtures.</w:t>
            </w:r>
          </w:p>
        </w:tc>
      </w:tr>
      <w:tr w:rsidR="004A0A5F" w:rsidRPr="00D61D06" w:rsidTr="009A1998">
        <w:tc>
          <w:tcPr>
            <w:tcW w:w="2654" w:type="dxa"/>
          </w:tcPr>
          <w:p w:rsidR="004A0A5F" w:rsidRDefault="004A0A5F" w:rsidP="008E17BA">
            <w:pPr>
              <w:pStyle w:val="TableText"/>
            </w:pPr>
            <w:r>
              <w:t>Article</w:t>
            </w:r>
            <w:r w:rsidR="003B65CF" w:rsidRPr="003B65CF">
              <w:t xml:space="preserve"> </w:t>
            </w:r>
            <w:r>
              <w:t>13(3a)</w:t>
            </w:r>
            <w:r w:rsidR="00142839">
              <w:t>(a)</w:t>
            </w:r>
          </w:p>
        </w:tc>
        <w:tc>
          <w:tcPr>
            <w:tcW w:w="2654" w:type="dxa"/>
          </w:tcPr>
          <w:p w:rsidR="004A0A5F" w:rsidRPr="00826500" w:rsidRDefault="006020BD" w:rsidP="004E02E6">
            <w:pPr>
              <w:pStyle w:val="TableText"/>
            </w:pPr>
            <w:r>
              <w:t>Annex</w:t>
            </w:r>
            <w:r w:rsidR="003B65CF" w:rsidRPr="003B65CF">
              <w:t xml:space="preserve"> </w:t>
            </w:r>
            <w:r>
              <w:t>I</w:t>
            </w:r>
          </w:p>
        </w:tc>
        <w:tc>
          <w:tcPr>
            <w:tcW w:w="2654" w:type="dxa"/>
          </w:tcPr>
          <w:p w:rsidR="004A0A5F" w:rsidRPr="00826500" w:rsidRDefault="00021FE1" w:rsidP="008E17BA">
            <w:pPr>
              <w:pStyle w:val="TableText"/>
            </w:pPr>
            <w:r>
              <w:t>Labelling</w:t>
            </w:r>
            <w:r w:rsidR="003B65CF" w:rsidRPr="003B65CF">
              <w:t xml:space="preserve"> </w:t>
            </w:r>
            <w:r>
              <w:t>requirements</w:t>
            </w:r>
            <w:r w:rsidR="003B65CF" w:rsidRPr="003B65CF">
              <w:t xml:space="preserve"> </w:t>
            </w:r>
            <w:r>
              <w:t>for</w:t>
            </w:r>
            <w:r w:rsidR="003B65CF" w:rsidRPr="003B65CF">
              <w:t xml:space="preserve"> </w:t>
            </w:r>
            <w:r>
              <w:t>blends</w:t>
            </w:r>
            <w:r w:rsidR="00A06CF9">
              <w:t>.</w:t>
            </w:r>
          </w:p>
        </w:tc>
      </w:tr>
      <w:tr w:rsidR="00142839" w:rsidRPr="00D61D06" w:rsidTr="009A1998">
        <w:tc>
          <w:tcPr>
            <w:tcW w:w="2654" w:type="dxa"/>
          </w:tcPr>
          <w:p w:rsidR="00142839" w:rsidRDefault="00142839" w:rsidP="008E17BA">
            <w:pPr>
              <w:pStyle w:val="TableText"/>
            </w:pPr>
            <w:r>
              <w:t>Article</w:t>
            </w:r>
            <w:r w:rsidR="003B65CF" w:rsidRPr="003B65CF">
              <w:t xml:space="preserve"> </w:t>
            </w:r>
            <w:r>
              <w:t>13(3a)(b)</w:t>
            </w:r>
          </w:p>
        </w:tc>
        <w:tc>
          <w:tcPr>
            <w:tcW w:w="2654" w:type="dxa"/>
          </w:tcPr>
          <w:p w:rsidR="00142839" w:rsidDel="00142839" w:rsidRDefault="00142839" w:rsidP="004E02E6">
            <w:pPr>
              <w:pStyle w:val="TableText"/>
            </w:pPr>
            <w:r>
              <w:t>Article</w:t>
            </w:r>
            <w:r w:rsidR="003B65CF" w:rsidRPr="003B65CF">
              <w:t xml:space="preserve"> </w:t>
            </w:r>
            <w:r>
              <w:t>10(6)(d)</w:t>
            </w:r>
            <w:r w:rsidR="003B65CF" w:rsidRPr="003B65CF">
              <w:t xml:space="preserve"> </w:t>
            </w:r>
            <w:r>
              <w:t>of</w:t>
            </w:r>
            <w:r w:rsidR="003B65CF" w:rsidRPr="003B65CF">
              <w:t xml:space="preserve"> </w:t>
            </w:r>
            <w:r w:rsidRPr="00826500">
              <w:t>Regulation</w:t>
            </w:r>
            <w:r w:rsidR="003B65CF" w:rsidRPr="003B65CF">
              <w:t xml:space="preserve"> </w:t>
            </w:r>
            <w:r w:rsidRPr="00826500">
              <w:t>(EU)</w:t>
            </w:r>
            <w:r w:rsidR="003B65CF" w:rsidRPr="003B65CF">
              <w:t xml:space="preserve"> </w:t>
            </w:r>
            <w:r w:rsidRPr="00826500">
              <w:t>2019/787</w:t>
            </w:r>
          </w:p>
        </w:tc>
        <w:tc>
          <w:tcPr>
            <w:tcW w:w="2654" w:type="dxa"/>
          </w:tcPr>
          <w:p w:rsidR="00142839" w:rsidRDefault="00142839" w:rsidP="008E17BA">
            <w:pPr>
              <w:pStyle w:val="TableText"/>
            </w:pPr>
            <w:r>
              <w:t>Labelling</w:t>
            </w:r>
            <w:r w:rsidR="003B65CF" w:rsidRPr="003B65CF">
              <w:t xml:space="preserve"> </w:t>
            </w:r>
            <w:r>
              <w:t>requirements</w:t>
            </w:r>
            <w:r w:rsidR="003B65CF" w:rsidRPr="003B65CF">
              <w:t xml:space="preserve"> </w:t>
            </w:r>
            <w:r>
              <w:t>for</w:t>
            </w:r>
            <w:r w:rsidR="003B65CF" w:rsidRPr="003B65CF">
              <w:t xml:space="preserve"> </w:t>
            </w:r>
            <w:r>
              <w:t>blends.</w:t>
            </w:r>
          </w:p>
        </w:tc>
      </w:tr>
      <w:tr w:rsidR="00142839" w:rsidRPr="00D61D06" w:rsidTr="009A1998">
        <w:tc>
          <w:tcPr>
            <w:tcW w:w="2654" w:type="dxa"/>
          </w:tcPr>
          <w:p w:rsidR="00142839" w:rsidRDefault="00142839" w:rsidP="008E17BA">
            <w:pPr>
              <w:pStyle w:val="TableText"/>
            </w:pPr>
            <w:r>
              <w:t>Article</w:t>
            </w:r>
            <w:r w:rsidR="003B65CF" w:rsidRPr="003B65CF">
              <w:t xml:space="preserve"> </w:t>
            </w:r>
            <w:r>
              <w:t>13(3a)(c)</w:t>
            </w:r>
          </w:p>
        </w:tc>
        <w:tc>
          <w:tcPr>
            <w:tcW w:w="2654" w:type="dxa"/>
          </w:tcPr>
          <w:p w:rsidR="00142839" w:rsidRDefault="00142839" w:rsidP="004E02E6">
            <w:pPr>
              <w:pStyle w:val="TableText"/>
            </w:pPr>
          </w:p>
        </w:tc>
        <w:tc>
          <w:tcPr>
            <w:tcW w:w="2654" w:type="dxa"/>
          </w:tcPr>
          <w:p w:rsidR="00142839" w:rsidRDefault="00142839" w:rsidP="008E17BA">
            <w:pPr>
              <w:pStyle w:val="TableText"/>
            </w:pPr>
            <w:r>
              <w:t>Labelling</w:t>
            </w:r>
            <w:r w:rsidR="003B65CF" w:rsidRPr="003B65CF">
              <w:t xml:space="preserve"> </w:t>
            </w:r>
            <w:r>
              <w:t>requirements</w:t>
            </w:r>
            <w:r w:rsidR="003B65CF" w:rsidRPr="003B65CF">
              <w:t xml:space="preserve"> </w:t>
            </w:r>
            <w:r>
              <w:t>for</w:t>
            </w:r>
            <w:r w:rsidR="003B65CF" w:rsidRPr="003B65CF">
              <w:t xml:space="preserve"> </w:t>
            </w:r>
            <w:r>
              <w:t>blends.</w:t>
            </w:r>
          </w:p>
        </w:tc>
      </w:tr>
      <w:tr w:rsidR="00F273BB" w:rsidRPr="00D61D06" w:rsidTr="009A1998">
        <w:tc>
          <w:tcPr>
            <w:tcW w:w="2654" w:type="dxa"/>
          </w:tcPr>
          <w:p w:rsidR="00F273BB" w:rsidRDefault="00142839" w:rsidP="00142839">
            <w:pPr>
              <w:pStyle w:val="TableText"/>
            </w:pPr>
            <w:r w:rsidRPr="004C7E6D">
              <w:t>Article</w:t>
            </w:r>
            <w:r w:rsidR="003B65CF" w:rsidRPr="003B65CF">
              <w:t xml:space="preserve"> </w:t>
            </w:r>
            <w:r w:rsidRPr="004C7E6D">
              <w:t>13(4),</w:t>
            </w:r>
            <w:r w:rsidR="003B65CF" w:rsidRPr="003B65CF">
              <w:t xml:space="preserve"> </w:t>
            </w:r>
            <w:r w:rsidRPr="004C7E6D">
              <w:t>the</w:t>
            </w:r>
            <w:r w:rsidR="003B65CF" w:rsidRPr="003B65CF">
              <w:t xml:space="preserve"> </w:t>
            </w:r>
            <w:r w:rsidRPr="004C7E6D">
              <w:t>second</w:t>
            </w:r>
            <w:r w:rsidR="003B65CF" w:rsidRPr="003B65CF">
              <w:t xml:space="preserve"> </w:t>
            </w:r>
            <w:r w:rsidRPr="004C7E6D">
              <w:t>subparagraph</w:t>
            </w:r>
          </w:p>
        </w:tc>
        <w:tc>
          <w:tcPr>
            <w:tcW w:w="2654" w:type="dxa"/>
          </w:tcPr>
          <w:p w:rsidR="00F273BB" w:rsidRPr="00826500" w:rsidRDefault="00142839" w:rsidP="00142839">
            <w:pPr>
              <w:pStyle w:val="TableText"/>
            </w:pPr>
            <w:r w:rsidRPr="004C7E6D">
              <w:t>Article</w:t>
            </w:r>
            <w:r w:rsidR="003B65CF" w:rsidRPr="003B65CF">
              <w:t xml:space="preserve"> </w:t>
            </w:r>
            <w:r w:rsidRPr="004C7E6D">
              <w:t>13(4)</w:t>
            </w:r>
            <w:r>
              <w:t>,</w:t>
            </w:r>
            <w:r w:rsidR="003B65CF" w:rsidRPr="003B65CF">
              <w:t xml:space="preserve"> </w:t>
            </w:r>
            <w:r w:rsidRPr="004C7E6D">
              <w:t>first</w:t>
            </w:r>
            <w:r w:rsidR="003B65CF" w:rsidRPr="003B65CF">
              <w:t xml:space="preserve"> </w:t>
            </w:r>
            <w:r w:rsidRPr="004C7E6D">
              <w:t>subparagraph</w:t>
            </w:r>
            <w:r w:rsidR="003B65CF" w:rsidRPr="003B65CF">
              <w:t xml:space="preserve"> </w:t>
            </w:r>
            <w:r w:rsidR="00EE3806">
              <w:t>of,</w:t>
            </w:r>
            <w:r w:rsidR="003B65CF" w:rsidRPr="003B65CF">
              <w:t xml:space="preserve"> </w:t>
            </w:r>
            <w:r>
              <w:t>and</w:t>
            </w:r>
            <w:r w:rsidR="003B65CF" w:rsidRPr="003B65CF">
              <w:t xml:space="preserve"> </w:t>
            </w:r>
            <w:r w:rsidR="00F273BB" w:rsidRPr="00826500">
              <w:t>Annex</w:t>
            </w:r>
            <w:r w:rsidR="003B65CF" w:rsidRPr="003B65CF">
              <w:t xml:space="preserve"> </w:t>
            </w:r>
            <w:r w:rsidR="00F273BB" w:rsidRPr="00826500">
              <w:t>I</w:t>
            </w:r>
            <w:r w:rsidR="003B65CF" w:rsidRPr="003B65CF">
              <w:t xml:space="preserve"> </w:t>
            </w:r>
            <w:r w:rsidR="00F273BB" w:rsidRPr="00826500">
              <w:t>to</w:t>
            </w:r>
            <w:r w:rsidR="00EE3806">
              <w:t>,</w:t>
            </w:r>
            <w:r w:rsidR="003B65CF" w:rsidRPr="003B65CF">
              <w:t xml:space="preserve"> </w:t>
            </w:r>
            <w:r w:rsidR="00F273BB" w:rsidRPr="00826500">
              <w:t>Regulation</w:t>
            </w:r>
            <w:r w:rsidR="003B65CF" w:rsidRPr="003B65CF">
              <w:t xml:space="preserve"> </w:t>
            </w:r>
            <w:r w:rsidR="00F273BB" w:rsidRPr="00826500">
              <w:t>(EU)</w:t>
            </w:r>
            <w:r w:rsidR="003B65CF" w:rsidRPr="003B65CF">
              <w:t xml:space="preserve"> </w:t>
            </w:r>
            <w:r w:rsidR="00F273BB" w:rsidRPr="00826500">
              <w:t>2019/787</w:t>
            </w:r>
          </w:p>
        </w:tc>
        <w:tc>
          <w:tcPr>
            <w:tcW w:w="2654" w:type="dxa"/>
          </w:tcPr>
          <w:p w:rsidR="00F273BB" w:rsidRDefault="0033336C" w:rsidP="008E17BA">
            <w:pPr>
              <w:pStyle w:val="TableText"/>
            </w:pPr>
            <w:r w:rsidRPr="0033336C">
              <w:t>Labelling</w:t>
            </w:r>
            <w:r w:rsidR="003B65CF" w:rsidRPr="003B65CF">
              <w:t xml:space="preserve"> </w:t>
            </w:r>
            <w:r w:rsidRPr="0033336C">
              <w:t>requirements</w:t>
            </w:r>
            <w:r w:rsidR="003B65CF" w:rsidRPr="003B65CF">
              <w:t xml:space="preserve"> </w:t>
            </w:r>
            <w:r w:rsidRPr="0033336C">
              <w:t>for</w:t>
            </w:r>
            <w:r w:rsidR="003B65CF" w:rsidRPr="003B65CF">
              <w:t xml:space="preserve"> </w:t>
            </w:r>
            <w:r w:rsidRPr="0033336C">
              <w:t>mixtures</w:t>
            </w:r>
            <w:r w:rsidR="003B65CF" w:rsidRPr="003B65CF">
              <w:t xml:space="preserve"> </w:t>
            </w:r>
            <w:r w:rsidRPr="0033336C">
              <w:t>that</w:t>
            </w:r>
            <w:r w:rsidR="003B65CF" w:rsidRPr="003B65CF">
              <w:t xml:space="preserve"> </w:t>
            </w:r>
            <w:r w:rsidRPr="0033336C">
              <w:t>comply</w:t>
            </w:r>
            <w:r w:rsidR="003B65CF" w:rsidRPr="003B65CF">
              <w:t xml:space="preserve"> </w:t>
            </w:r>
            <w:r w:rsidRPr="0033336C">
              <w:t>with</w:t>
            </w:r>
            <w:r w:rsidR="003B65CF" w:rsidRPr="003B65CF">
              <w:t xml:space="preserve"> </w:t>
            </w:r>
            <w:r w:rsidRPr="0033336C">
              <w:t>the</w:t>
            </w:r>
            <w:r w:rsidR="003B65CF" w:rsidRPr="003B65CF">
              <w:t xml:space="preserve"> </w:t>
            </w:r>
            <w:r w:rsidRPr="0033336C">
              <w:t>requirements</w:t>
            </w:r>
            <w:r w:rsidR="003B65CF" w:rsidRPr="003B65CF">
              <w:t xml:space="preserve"> </w:t>
            </w:r>
            <w:r w:rsidRPr="0033336C">
              <w:t>for</w:t>
            </w:r>
            <w:r w:rsidR="003B65CF" w:rsidRPr="003B65CF">
              <w:t xml:space="preserve"> </w:t>
            </w:r>
            <w:r w:rsidRPr="0033336C">
              <w:t>any</w:t>
            </w:r>
            <w:r w:rsidR="003B65CF" w:rsidRPr="003B65CF">
              <w:t xml:space="preserve"> </w:t>
            </w:r>
            <w:r w:rsidRPr="0033336C">
              <w:t>of</w:t>
            </w:r>
            <w:r w:rsidR="003B65CF" w:rsidRPr="003B65CF">
              <w:t xml:space="preserve"> </w:t>
            </w:r>
            <w:r w:rsidRPr="0033336C">
              <w:t>the</w:t>
            </w:r>
            <w:r w:rsidR="003B65CF" w:rsidRPr="003B65CF">
              <w:t xml:space="preserve"> </w:t>
            </w:r>
            <w:r>
              <w:t>spirit</w:t>
            </w:r>
            <w:r w:rsidR="003B65CF" w:rsidRPr="003B65CF">
              <w:t xml:space="preserve"> </w:t>
            </w:r>
            <w:r>
              <w:t>drink</w:t>
            </w:r>
            <w:r w:rsidR="003B65CF" w:rsidRPr="003B65CF">
              <w:t xml:space="preserve"> </w:t>
            </w:r>
            <w:r>
              <w:t>categories</w:t>
            </w:r>
            <w:r w:rsidR="003B65CF" w:rsidRPr="003B65CF">
              <w:t xml:space="preserve"> </w:t>
            </w:r>
            <w:r>
              <w:t>1</w:t>
            </w:r>
            <w:r w:rsidR="003B65CF" w:rsidRPr="003B65CF">
              <w:t xml:space="preserve"> </w:t>
            </w:r>
            <w:r>
              <w:t>to</w:t>
            </w:r>
            <w:r w:rsidR="003B65CF" w:rsidRPr="003B65CF">
              <w:t xml:space="preserve"> </w:t>
            </w:r>
            <w:r>
              <w:t>44</w:t>
            </w:r>
            <w:r w:rsidR="00A06CF9">
              <w:t>.</w:t>
            </w:r>
          </w:p>
        </w:tc>
      </w:tr>
      <w:tr w:rsidR="004E02E6" w:rsidRPr="00D61D06" w:rsidTr="009A1998">
        <w:tc>
          <w:tcPr>
            <w:tcW w:w="2654" w:type="dxa"/>
          </w:tcPr>
          <w:p w:rsidR="004E02E6" w:rsidRDefault="00EE3806" w:rsidP="00EE3806">
            <w:pPr>
              <w:pStyle w:val="TableText"/>
            </w:pPr>
            <w:r w:rsidRPr="004C7E6D">
              <w:t>Articl</w:t>
            </w:r>
            <w:r>
              <w:t>e</w:t>
            </w:r>
            <w:r w:rsidR="003B65CF" w:rsidRPr="003B65CF">
              <w:t xml:space="preserve"> </w:t>
            </w:r>
            <w:r>
              <w:t>13(4),</w:t>
            </w:r>
            <w:r w:rsidR="003B65CF" w:rsidRPr="003B65CF">
              <w:t xml:space="preserve"> </w:t>
            </w:r>
            <w:r>
              <w:t>the</w:t>
            </w:r>
            <w:r w:rsidR="003B65CF" w:rsidRPr="003B65CF">
              <w:t xml:space="preserve"> </w:t>
            </w:r>
            <w:r>
              <w:t>third</w:t>
            </w:r>
            <w:r w:rsidR="003B65CF" w:rsidRPr="003B65CF">
              <w:t xml:space="preserve"> </w:t>
            </w:r>
            <w:r>
              <w:t>subparagraph</w:t>
            </w:r>
          </w:p>
        </w:tc>
        <w:tc>
          <w:tcPr>
            <w:tcW w:w="2654" w:type="dxa"/>
          </w:tcPr>
          <w:p w:rsidR="004E02E6" w:rsidRPr="00826500" w:rsidRDefault="00EE3806" w:rsidP="00EE3806">
            <w:pPr>
              <w:pStyle w:val="TableText"/>
            </w:pPr>
            <w:r w:rsidRPr="004C7E6D">
              <w:t>Article</w:t>
            </w:r>
            <w:r w:rsidR="003B65CF" w:rsidRPr="003B65CF">
              <w:t xml:space="preserve"> </w:t>
            </w:r>
            <w:r w:rsidRPr="004C7E6D">
              <w:t>13(4)</w:t>
            </w:r>
            <w:r>
              <w:t>,</w:t>
            </w:r>
            <w:r w:rsidR="003B65CF" w:rsidRPr="003B65CF">
              <w:t xml:space="preserve"> </w:t>
            </w:r>
            <w:r w:rsidRPr="004C7E6D">
              <w:t>first</w:t>
            </w:r>
            <w:r w:rsidR="003B65CF" w:rsidRPr="003B65CF">
              <w:t xml:space="preserve"> </w:t>
            </w:r>
            <w:r w:rsidR="0033336C" w:rsidRPr="004C7E6D">
              <w:t>subparagraph</w:t>
            </w:r>
            <w:r w:rsidR="003B65CF" w:rsidRPr="003B65CF">
              <w:t xml:space="preserve"> </w:t>
            </w:r>
            <w:r w:rsidR="0033336C">
              <w:t>of,</w:t>
            </w:r>
            <w:r w:rsidR="003B65CF" w:rsidRPr="003B65CF">
              <w:t xml:space="preserve"> </w:t>
            </w:r>
            <w:r w:rsidR="0033336C">
              <w:t>and</w:t>
            </w:r>
            <w:r w:rsidR="003B65CF" w:rsidRPr="003B65CF">
              <w:t xml:space="preserve"> </w:t>
            </w:r>
            <w:r w:rsidR="0033336C" w:rsidRPr="00826500">
              <w:t>Annex</w:t>
            </w:r>
            <w:r w:rsidR="003B65CF" w:rsidRPr="003B65CF">
              <w:t xml:space="preserve"> </w:t>
            </w:r>
            <w:r w:rsidR="0033336C" w:rsidRPr="00826500">
              <w:t>I</w:t>
            </w:r>
            <w:r w:rsidR="003B65CF" w:rsidRPr="003B65CF">
              <w:t xml:space="preserve"> </w:t>
            </w:r>
            <w:r w:rsidR="0033336C" w:rsidRPr="00826500">
              <w:t>to</w:t>
            </w:r>
            <w:r w:rsidR="0033336C">
              <w:t>,</w:t>
            </w:r>
            <w:r w:rsidR="003B65CF" w:rsidRPr="003B65CF">
              <w:t xml:space="preserve"> </w:t>
            </w:r>
            <w:r w:rsidR="0033336C" w:rsidRPr="00826500">
              <w:t>Regulation</w:t>
            </w:r>
            <w:r w:rsidR="003B65CF" w:rsidRPr="003B65CF">
              <w:t xml:space="preserve"> </w:t>
            </w:r>
            <w:r w:rsidR="0033336C" w:rsidRPr="00826500">
              <w:t>(EU)</w:t>
            </w:r>
            <w:r w:rsidR="003B65CF" w:rsidRPr="003B65CF">
              <w:t xml:space="preserve"> </w:t>
            </w:r>
            <w:r w:rsidR="0033336C" w:rsidRPr="00826500">
              <w:t>2019/787</w:t>
            </w:r>
          </w:p>
        </w:tc>
        <w:tc>
          <w:tcPr>
            <w:tcW w:w="2654" w:type="dxa"/>
          </w:tcPr>
          <w:p w:rsidR="004E02E6" w:rsidRDefault="0033336C" w:rsidP="008E17BA">
            <w:pPr>
              <w:pStyle w:val="TableText"/>
            </w:pPr>
            <w:r>
              <w:t>Labelling</w:t>
            </w:r>
            <w:r w:rsidR="003B65CF" w:rsidRPr="003B65CF">
              <w:t xml:space="preserve"> </w:t>
            </w:r>
            <w:r>
              <w:t>requirements</w:t>
            </w:r>
            <w:r w:rsidR="003B65CF" w:rsidRPr="003B65CF">
              <w:t xml:space="preserve"> </w:t>
            </w:r>
            <w:r>
              <w:t>for</w:t>
            </w:r>
            <w:r w:rsidR="003B65CF" w:rsidRPr="003B65CF">
              <w:t xml:space="preserve"> </w:t>
            </w:r>
            <w:r>
              <w:t>mixtures</w:t>
            </w:r>
            <w:r w:rsidR="003B65CF" w:rsidRPr="003B65CF">
              <w:t xml:space="preserve"> </w:t>
            </w:r>
            <w:r>
              <w:t>that</w:t>
            </w:r>
            <w:r w:rsidR="003B65CF" w:rsidRPr="003B65CF">
              <w:t xml:space="preserve"> </w:t>
            </w:r>
            <w:r>
              <w:t>comply</w:t>
            </w:r>
            <w:r w:rsidR="003B65CF" w:rsidRPr="003B65CF">
              <w:t xml:space="preserve"> </w:t>
            </w:r>
            <w:r>
              <w:t>with</w:t>
            </w:r>
            <w:r w:rsidR="003B65CF" w:rsidRPr="003B65CF">
              <w:t xml:space="preserve"> </w:t>
            </w:r>
            <w:r>
              <w:t>the</w:t>
            </w:r>
            <w:r w:rsidR="003B65CF" w:rsidRPr="003B65CF">
              <w:t xml:space="preserve"> </w:t>
            </w:r>
            <w:r>
              <w:t>requirements</w:t>
            </w:r>
            <w:r w:rsidR="003B65CF" w:rsidRPr="003B65CF">
              <w:t xml:space="preserve"> </w:t>
            </w:r>
            <w:r>
              <w:t>for</w:t>
            </w:r>
            <w:r w:rsidR="003B65CF" w:rsidRPr="003B65CF">
              <w:t xml:space="preserve"> </w:t>
            </w:r>
            <w:r>
              <w:t>any</w:t>
            </w:r>
            <w:r w:rsidR="003B65CF" w:rsidRPr="003B65CF">
              <w:t xml:space="preserve"> </w:t>
            </w:r>
            <w:r>
              <w:t>of</w:t>
            </w:r>
            <w:r w:rsidR="003B65CF" w:rsidRPr="003B65CF">
              <w:t xml:space="preserve"> </w:t>
            </w:r>
            <w:r>
              <w:t>the</w:t>
            </w:r>
            <w:r w:rsidR="003B65CF" w:rsidRPr="003B65CF">
              <w:t xml:space="preserve"> </w:t>
            </w:r>
            <w:r>
              <w:t>spirit</w:t>
            </w:r>
            <w:r w:rsidR="003B65CF" w:rsidRPr="003B65CF">
              <w:t xml:space="preserve"> </w:t>
            </w:r>
            <w:r>
              <w:t>drink</w:t>
            </w:r>
            <w:r w:rsidR="003B65CF" w:rsidRPr="003B65CF">
              <w:t xml:space="preserve"> </w:t>
            </w:r>
            <w:r>
              <w:t>categories</w:t>
            </w:r>
            <w:r w:rsidR="003B65CF" w:rsidRPr="003B65CF">
              <w:t xml:space="preserve"> </w:t>
            </w:r>
            <w:r>
              <w:t>1</w:t>
            </w:r>
            <w:r w:rsidR="003B65CF" w:rsidRPr="003B65CF">
              <w:t xml:space="preserve"> </w:t>
            </w:r>
            <w:r>
              <w:t>to</w:t>
            </w:r>
            <w:r w:rsidR="003B65CF" w:rsidRPr="003B65CF">
              <w:t xml:space="preserve"> </w:t>
            </w:r>
            <w:r>
              <w:t>44</w:t>
            </w:r>
          </w:p>
        </w:tc>
      </w:tr>
      <w:tr w:rsidR="00CB3E0D" w:rsidRPr="00D61D06" w:rsidTr="009A1998">
        <w:tc>
          <w:tcPr>
            <w:tcW w:w="2654" w:type="dxa"/>
          </w:tcPr>
          <w:p w:rsidR="00CB3E0D" w:rsidRPr="004C7E6D" w:rsidRDefault="00CB3E0D" w:rsidP="00EE3806">
            <w:pPr>
              <w:pStyle w:val="TableText"/>
            </w:pPr>
            <w:r>
              <w:t>Article</w:t>
            </w:r>
            <w:r w:rsidR="003B65CF" w:rsidRPr="003B65CF">
              <w:t xml:space="preserve"> </w:t>
            </w:r>
            <w:r>
              <w:t>13(5),</w:t>
            </w:r>
            <w:r w:rsidR="003B65CF" w:rsidRPr="003B65CF">
              <w:t xml:space="preserve"> </w:t>
            </w:r>
            <w:r>
              <w:t>second</w:t>
            </w:r>
            <w:r w:rsidR="003B65CF" w:rsidRPr="003B65CF">
              <w:t xml:space="preserve"> </w:t>
            </w:r>
            <w:r>
              <w:t>sentence</w:t>
            </w:r>
          </w:p>
        </w:tc>
        <w:tc>
          <w:tcPr>
            <w:tcW w:w="2654" w:type="dxa"/>
          </w:tcPr>
          <w:p w:rsidR="00CB3E0D" w:rsidRPr="004C7E6D" w:rsidRDefault="00CB3E0D" w:rsidP="00EE3806">
            <w:pPr>
              <w:pStyle w:val="TableText"/>
            </w:pPr>
            <w:r>
              <w:t>Article</w:t>
            </w:r>
            <w:r w:rsidR="003B65CF" w:rsidRPr="003B65CF">
              <w:t xml:space="preserve"> </w:t>
            </w:r>
            <w:r>
              <w:t>13(5),</w:t>
            </w:r>
            <w:r w:rsidR="003B65CF" w:rsidRPr="003B65CF">
              <w:t xml:space="preserve"> </w:t>
            </w:r>
            <w:r>
              <w:t>first</w:t>
            </w:r>
            <w:r w:rsidR="003B65CF" w:rsidRPr="003B65CF">
              <w:t xml:space="preserve"> </w:t>
            </w:r>
            <w:r>
              <w:t>sentence</w:t>
            </w:r>
            <w:r w:rsidR="003B65CF" w:rsidRPr="003B65CF">
              <w:t xml:space="preserve"> </w:t>
            </w:r>
            <w:r>
              <w:t>of,</w:t>
            </w:r>
            <w:r w:rsidR="003B65CF" w:rsidRPr="003B65CF">
              <w:t xml:space="preserve"> </w:t>
            </w:r>
            <w:r>
              <w:t>and</w:t>
            </w:r>
            <w:r w:rsidR="003B65CF" w:rsidRPr="003B65CF">
              <w:t xml:space="preserve"> </w:t>
            </w:r>
            <w:r>
              <w:t>Annex</w:t>
            </w:r>
            <w:r w:rsidR="003B65CF" w:rsidRPr="003B65CF">
              <w:t xml:space="preserve"> </w:t>
            </w:r>
            <w:r>
              <w:t>I</w:t>
            </w:r>
            <w:r w:rsidR="003B65CF" w:rsidRPr="003B65CF">
              <w:t xml:space="preserve"> </w:t>
            </w:r>
            <w:r>
              <w:t>to,</w:t>
            </w:r>
            <w:r w:rsidR="003B65CF" w:rsidRPr="003B65CF">
              <w:t xml:space="preserve"> </w:t>
            </w:r>
            <w:r>
              <w:t>Regulation</w:t>
            </w:r>
            <w:r w:rsidR="003B65CF" w:rsidRPr="003B65CF">
              <w:t xml:space="preserve"> </w:t>
            </w:r>
            <w:r>
              <w:t>(EU)</w:t>
            </w:r>
            <w:r w:rsidR="003B65CF" w:rsidRPr="003B65CF">
              <w:t xml:space="preserve"> </w:t>
            </w:r>
            <w:r>
              <w:t>2019/787</w:t>
            </w:r>
          </w:p>
        </w:tc>
        <w:tc>
          <w:tcPr>
            <w:tcW w:w="2654" w:type="dxa"/>
          </w:tcPr>
          <w:p w:rsidR="00CB3E0D" w:rsidRDefault="00CB3E0D" w:rsidP="008E17BA">
            <w:pPr>
              <w:pStyle w:val="TableText"/>
            </w:pPr>
            <w:r>
              <w:t>Use</w:t>
            </w:r>
            <w:r w:rsidR="003B65CF" w:rsidRPr="003B65CF">
              <w:t xml:space="preserve"> </w:t>
            </w:r>
            <w:r>
              <w:t>of</w:t>
            </w:r>
            <w:r w:rsidR="003B65CF" w:rsidRPr="003B65CF">
              <w:t xml:space="preserve"> </w:t>
            </w:r>
            <w:r>
              <w:t>names</w:t>
            </w:r>
            <w:r w:rsidR="003B65CF" w:rsidRPr="003B65CF">
              <w:t xml:space="preserve"> </w:t>
            </w:r>
            <w:r>
              <w:t>of</w:t>
            </w:r>
            <w:r w:rsidR="003B65CF" w:rsidRPr="003B65CF">
              <w:t xml:space="preserve"> </w:t>
            </w:r>
            <w:r>
              <w:t>plant</w:t>
            </w:r>
            <w:r w:rsidR="003B65CF" w:rsidRPr="003B65CF">
              <w:t xml:space="preserve"> </w:t>
            </w:r>
            <w:r>
              <w:t>raw</w:t>
            </w:r>
            <w:r w:rsidR="003B65CF" w:rsidRPr="003B65CF">
              <w:t xml:space="preserve"> </w:t>
            </w:r>
            <w:r>
              <w:t>materials</w:t>
            </w:r>
            <w:r w:rsidR="003B65CF" w:rsidRPr="003B65CF">
              <w:t xml:space="preserve"> </w:t>
            </w:r>
            <w:r>
              <w:t>in</w:t>
            </w:r>
            <w:r w:rsidR="003B65CF" w:rsidRPr="003B65CF">
              <w:t xml:space="preserve"> </w:t>
            </w:r>
            <w:r>
              <w:t>the</w:t>
            </w:r>
            <w:r w:rsidR="003B65CF" w:rsidRPr="003B65CF">
              <w:t xml:space="preserve"> </w:t>
            </w:r>
            <w:r w:rsidRPr="00CB3E0D">
              <w:t>description,</w:t>
            </w:r>
            <w:r w:rsidR="003B65CF" w:rsidRPr="003B65CF">
              <w:t xml:space="preserve"> </w:t>
            </w:r>
            <w:r w:rsidRPr="00CB3E0D">
              <w:t>pr</w:t>
            </w:r>
            <w:r>
              <w:t>esentation</w:t>
            </w:r>
            <w:r w:rsidR="003B65CF" w:rsidRPr="003B65CF">
              <w:t xml:space="preserve"> </w:t>
            </w:r>
            <w:r>
              <w:t>or</w:t>
            </w:r>
            <w:r w:rsidR="003B65CF" w:rsidRPr="003B65CF">
              <w:t xml:space="preserve"> </w:t>
            </w:r>
            <w:r>
              <w:t>labelling</w:t>
            </w:r>
            <w:r w:rsidR="003B65CF" w:rsidRPr="003B65CF">
              <w:t xml:space="preserve"> </w:t>
            </w:r>
            <w:r>
              <w:t>of</w:t>
            </w:r>
            <w:r w:rsidR="003B65CF" w:rsidRPr="003B65CF">
              <w:t xml:space="preserve"> </w:t>
            </w:r>
            <w:r>
              <w:t>a</w:t>
            </w:r>
            <w:r w:rsidR="003B65CF" w:rsidRPr="003B65CF">
              <w:t xml:space="preserve"> </w:t>
            </w:r>
            <w:r w:rsidRPr="00CB3E0D">
              <w:t>spirit</w:t>
            </w:r>
            <w:r w:rsidR="003B65CF" w:rsidRPr="003B65CF">
              <w:t xml:space="preserve"> </w:t>
            </w:r>
            <w:r w:rsidRPr="00CB3E0D">
              <w:t>drink</w:t>
            </w:r>
          </w:p>
        </w:tc>
      </w:tr>
      <w:tr w:rsidR="00A62637" w:rsidRPr="00D61D06" w:rsidTr="009A1998">
        <w:tc>
          <w:tcPr>
            <w:tcW w:w="2654" w:type="dxa"/>
          </w:tcPr>
          <w:p w:rsidR="00A62637" w:rsidRPr="00D61D06" w:rsidRDefault="00A62637" w:rsidP="008E17BA">
            <w:pPr>
              <w:pStyle w:val="TableText"/>
            </w:pPr>
            <w:r>
              <w:t>Article</w:t>
            </w:r>
            <w:r w:rsidR="003B65CF" w:rsidRPr="003B65CF">
              <w:t xml:space="preserve"> </w:t>
            </w:r>
            <w:r>
              <w:t>13(6)</w:t>
            </w:r>
            <w:r w:rsidR="00501135">
              <w:t>,</w:t>
            </w:r>
            <w:r w:rsidR="003B65CF" w:rsidRPr="003B65CF">
              <w:t xml:space="preserve"> </w:t>
            </w:r>
            <w:r w:rsidR="00501135">
              <w:t>first</w:t>
            </w:r>
            <w:r w:rsidR="003B65CF" w:rsidRPr="003B65CF">
              <w:t xml:space="preserve"> </w:t>
            </w:r>
            <w:r w:rsidR="00501135">
              <w:t>sentence</w:t>
            </w:r>
          </w:p>
        </w:tc>
        <w:tc>
          <w:tcPr>
            <w:tcW w:w="2654" w:type="dxa"/>
          </w:tcPr>
          <w:p w:rsidR="00A62637" w:rsidRPr="00D61D06" w:rsidRDefault="00A62637" w:rsidP="008E17BA">
            <w:pPr>
              <w:pStyle w:val="TableText"/>
            </w:pPr>
          </w:p>
        </w:tc>
        <w:tc>
          <w:tcPr>
            <w:tcW w:w="2654" w:type="dxa"/>
          </w:tcPr>
          <w:p w:rsidR="00A62637" w:rsidRPr="00D61D06" w:rsidRDefault="00A62637" w:rsidP="008E17BA">
            <w:pPr>
              <w:pStyle w:val="TableText"/>
            </w:pPr>
            <w:r w:rsidRPr="00826500">
              <w:t>Restrictions</w:t>
            </w:r>
            <w:r w:rsidR="003B65CF" w:rsidRPr="003B65CF">
              <w:t xml:space="preserve"> </w:t>
            </w:r>
            <w:r w:rsidRPr="00826500">
              <w:t>on</w:t>
            </w:r>
            <w:r w:rsidR="003B65CF" w:rsidRPr="003B65CF">
              <w:t xml:space="preserve"> </w:t>
            </w:r>
            <w:r w:rsidRPr="00826500">
              <w:t>the</w:t>
            </w:r>
            <w:r w:rsidR="003B65CF" w:rsidRPr="003B65CF">
              <w:t xml:space="preserve"> </w:t>
            </w:r>
            <w:r w:rsidRPr="00826500">
              <w:t>specification</w:t>
            </w:r>
            <w:r w:rsidR="003B65CF" w:rsidRPr="003B65CF">
              <w:t xml:space="preserve"> </w:t>
            </w:r>
            <w:r w:rsidRPr="00826500">
              <w:t>of</w:t>
            </w:r>
            <w:r w:rsidR="003B65CF" w:rsidRPr="003B65CF">
              <w:t xml:space="preserve"> </w:t>
            </w:r>
            <w:r w:rsidRPr="00826500">
              <w:t>the</w:t>
            </w:r>
            <w:r w:rsidR="003B65CF" w:rsidRPr="003B65CF">
              <w:t xml:space="preserve"> </w:t>
            </w:r>
            <w:r w:rsidRPr="00826500">
              <w:t>maturation</w:t>
            </w:r>
            <w:r w:rsidR="003B65CF" w:rsidRPr="003B65CF">
              <w:t xml:space="preserve"> </w:t>
            </w:r>
            <w:r w:rsidRPr="00826500">
              <w:t>period</w:t>
            </w:r>
            <w:r w:rsidR="003B65CF" w:rsidRPr="003B65CF">
              <w:t xml:space="preserve"> </w:t>
            </w:r>
            <w:r w:rsidRPr="00826500">
              <w:t>or</w:t>
            </w:r>
            <w:r w:rsidR="003B65CF" w:rsidRPr="003B65CF">
              <w:t xml:space="preserve"> </w:t>
            </w:r>
            <w:r w:rsidRPr="00826500">
              <w:t>age</w:t>
            </w:r>
            <w:r w:rsidR="003B65CF" w:rsidRPr="003B65CF">
              <w:t xml:space="preserve"> </w:t>
            </w:r>
            <w:r w:rsidRPr="00826500">
              <w:t>of</w:t>
            </w:r>
            <w:r w:rsidR="003B65CF" w:rsidRPr="003B65CF">
              <w:t xml:space="preserve"> </w:t>
            </w:r>
            <w:r w:rsidRPr="00826500">
              <w:t>a</w:t>
            </w:r>
            <w:r w:rsidR="003B65CF" w:rsidRPr="003B65CF">
              <w:t xml:space="preserve"> </w:t>
            </w:r>
            <w:r w:rsidRPr="00826500">
              <w:t>spirit</w:t>
            </w:r>
            <w:r w:rsidR="003B65CF" w:rsidRPr="003B65CF">
              <w:t xml:space="preserve"> </w:t>
            </w:r>
            <w:r w:rsidRPr="00826500">
              <w:t>drink</w:t>
            </w:r>
            <w:r>
              <w:t>.</w:t>
            </w:r>
          </w:p>
        </w:tc>
      </w:tr>
      <w:tr w:rsidR="00A62637" w:rsidRPr="00D61D06" w:rsidTr="009A1998">
        <w:tc>
          <w:tcPr>
            <w:tcW w:w="2654" w:type="dxa"/>
          </w:tcPr>
          <w:p w:rsidR="00A62637" w:rsidRPr="00D61D06" w:rsidRDefault="00A62637" w:rsidP="008E17BA">
            <w:pPr>
              <w:pStyle w:val="TableText"/>
            </w:pPr>
            <w:r>
              <w:t>Article</w:t>
            </w:r>
            <w:r w:rsidR="003B65CF" w:rsidRPr="003B65CF">
              <w:t xml:space="preserve"> </w:t>
            </w:r>
            <w:r>
              <w:t>13(7)</w:t>
            </w:r>
            <w:r w:rsidR="00186D24">
              <w:t>,</w:t>
            </w:r>
            <w:r w:rsidR="003B65CF" w:rsidRPr="003B65CF">
              <w:t xml:space="preserve"> </w:t>
            </w:r>
            <w:r w:rsidR="00186D24">
              <w:t>first</w:t>
            </w:r>
            <w:r w:rsidR="003B65CF" w:rsidRPr="003B65CF">
              <w:t xml:space="preserve"> </w:t>
            </w:r>
            <w:r w:rsidR="00186D24">
              <w:t>sentence</w:t>
            </w:r>
          </w:p>
        </w:tc>
        <w:tc>
          <w:tcPr>
            <w:tcW w:w="2654" w:type="dxa"/>
          </w:tcPr>
          <w:p w:rsidR="00A62637" w:rsidRPr="00D61D06" w:rsidRDefault="00A62637" w:rsidP="008E17BA">
            <w:pPr>
              <w:pStyle w:val="TableText"/>
            </w:pPr>
            <w:r w:rsidRPr="00F273BB">
              <w:t>Commission</w:t>
            </w:r>
            <w:r w:rsidR="003B65CF" w:rsidRPr="003B65CF">
              <w:t xml:space="preserve"> </w:t>
            </w:r>
            <w:r w:rsidRPr="00F273BB">
              <w:t>Regulation</w:t>
            </w:r>
            <w:r w:rsidR="003B65CF" w:rsidRPr="003B65CF">
              <w:t xml:space="preserve"> </w:t>
            </w:r>
            <w:r w:rsidRPr="00F273BB">
              <w:t>(EC)</w:t>
            </w:r>
            <w:r w:rsidR="003B65CF" w:rsidRPr="003B65CF">
              <w:t xml:space="preserve"> </w:t>
            </w:r>
            <w:r w:rsidRPr="00F273BB">
              <w:t>No</w:t>
            </w:r>
            <w:r w:rsidR="003B65CF" w:rsidRPr="003B65CF">
              <w:t xml:space="preserve"> </w:t>
            </w:r>
            <w:r w:rsidRPr="00F273BB">
              <w:t>684/2009</w:t>
            </w:r>
            <w:r w:rsidR="003B65CF" w:rsidRPr="003B65CF">
              <w:t xml:space="preserve"> </w:t>
            </w:r>
            <w:r w:rsidR="00186D24">
              <w:t>implementing</w:t>
            </w:r>
            <w:r w:rsidR="003B65CF" w:rsidRPr="003B65CF">
              <w:t xml:space="preserve"> </w:t>
            </w:r>
            <w:r w:rsidR="00186D24">
              <w:t>Council</w:t>
            </w:r>
            <w:r w:rsidR="003B65CF" w:rsidRPr="003B65CF">
              <w:t xml:space="preserve"> </w:t>
            </w:r>
            <w:r w:rsidR="00186D24">
              <w:t>Directive</w:t>
            </w:r>
            <w:r w:rsidR="003B65CF" w:rsidRPr="003B65CF">
              <w:t xml:space="preserve"> </w:t>
            </w:r>
            <w:r w:rsidR="00186D24">
              <w:t>2008/118/EC</w:t>
            </w:r>
            <w:r w:rsidR="003B65CF" w:rsidRPr="003B65CF">
              <w:t xml:space="preserve"> </w:t>
            </w:r>
            <w:r w:rsidR="00186D24">
              <w:t>as</w:t>
            </w:r>
            <w:r w:rsidR="003B65CF" w:rsidRPr="003B65CF">
              <w:t xml:space="preserve"> </w:t>
            </w:r>
            <w:r w:rsidR="00186D24">
              <w:t>regards</w:t>
            </w:r>
            <w:r w:rsidR="003B65CF" w:rsidRPr="003B65CF">
              <w:t xml:space="preserve"> </w:t>
            </w:r>
            <w:r w:rsidR="00186D24">
              <w:t>the</w:t>
            </w:r>
            <w:r w:rsidR="003B65CF" w:rsidRPr="003B65CF">
              <w:t xml:space="preserve"> </w:t>
            </w:r>
            <w:r w:rsidR="00186D24">
              <w:t>computerised</w:t>
            </w:r>
            <w:r w:rsidR="003B65CF" w:rsidRPr="003B65CF">
              <w:t xml:space="preserve"> </w:t>
            </w:r>
            <w:r w:rsidR="00186D24">
              <w:t>procedures</w:t>
            </w:r>
            <w:r w:rsidR="003B65CF" w:rsidRPr="003B65CF">
              <w:t xml:space="preserve"> </w:t>
            </w:r>
            <w:r w:rsidR="00186D24">
              <w:t>for</w:t>
            </w:r>
            <w:r w:rsidR="003B65CF" w:rsidRPr="003B65CF">
              <w:t xml:space="preserve"> </w:t>
            </w:r>
            <w:r w:rsidR="00186D24">
              <w:t>the</w:t>
            </w:r>
            <w:r w:rsidR="003B65CF" w:rsidRPr="003B65CF">
              <w:t xml:space="preserve"> </w:t>
            </w:r>
            <w:r w:rsidR="00186D24">
              <w:t>movement</w:t>
            </w:r>
            <w:r w:rsidR="003B65CF" w:rsidRPr="003B65CF">
              <w:t xml:space="preserve"> </w:t>
            </w:r>
            <w:r w:rsidR="00186D24">
              <w:t>of</w:t>
            </w:r>
            <w:r w:rsidR="003B65CF" w:rsidRPr="003B65CF">
              <w:t xml:space="preserve"> </w:t>
            </w:r>
            <w:r w:rsidR="00186D24">
              <w:t>excise</w:t>
            </w:r>
            <w:r w:rsidR="003B65CF" w:rsidRPr="003B65CF">
              <w:t xml:space="preserve"> </w:t>
            </w:r>
            <w:r w:rsidR="00186D24">
              <w:t>goods</w:t>
            </w:r>
            <w:r w:rsidR="003B65CF" w:rsidRPr="003B65CF">
              <w:t xml:space="preserve"> </w:t>
            </w:r>
            <w:r w:rsidR="00186D24">
              <w:t>under</w:t>
            </w:r>
            <w:r w:rsidR="003B65CF" w:rsidRPr="003B65CF">
              <w:t xml:space="preserve"> </w:t>
            </w:r>
            <w:r w:rsidR="00186D24">
              <w:t>suspension</w:t>
            </w:r>
            <w:r w:rsidR="003B65CF" w:rsidRPr="003B65CF">
              <w:t xml:space="preserve"> </w:t>
            </w:r>
            <w:r w:rsidR="00186D24">
              <w:t>of</w:t>
            </w:r>
            <w:r w:rsidR="003B65CF" w:rsidRPr="003B65CF">
              <w:t xml:space="preserve"> </w:t>
            </w:r>
            <w:r w:rsidR="00186D24">
              <w:t>excise</w:t>
            </w:r>
            <w:r w:rsidR="003B65CF" w:rsidRPr="003B65CF">
              <w:t xml:space="preserve"> </w:t>
            </w:r>
            <w:r w:rsidR="00186D24">
              <w:t>duty</w:t>
            </w:r>
          </w:p>
        </w:tc>
        <w:tc>
          <w:tcPr>
            <w:tcW w:w="2654" w:type="dxa"/>
          </w:tcPr>
          <w:p w:rsidR="00A62637" w:rsidRPr="00D61D06" w:rsidRDefault="00A62637" w:rsidP="008E17BA">
            <w:pPr>
              <w:pStyle w:val="TableText"/>
            </w:pPr>
            <w:r>
              <w:t>Requirements</w:t>
            </w:r>
            <w:r w:rsidR="003B65CF" w:rsidRPr="003B65CF">
              <w:t xml:space="preserve"> </w:t>
            </w:r>
            <w:r>
              <w:t>for</w:t>
            </w:r>
            <w:r w:rsidR="003B65CF" w:rsidRPr="003B65CF">
              <w:t xml:space="preserve"> </w:t>
            </w:r>
            <w:r>
              <w:t>the</w:t>
            </w:r>
            <w:r w:rsidR="003B65CF" w:rsidRPr="003B65CF">
              <w:t xml:space="preserve"> </w:t>
            </w:r>
            <w:r>
              <w:t>electronic</w:t>
            </w:r>
            <w:r w:rsidR="003B65CF" w:rsidRPr="003B65CF">
              <w:t xml:space="preserve"> </w:t>
            </w:r>
            <w:r>
              <w:t>administrative</w:t>
            </w:r>
            <w:r w:rsidR="003B65CF" w:rsidRPr="003B65CF">
              <w:t xml:space="preserve"> </w:t>
            </w:r>
            <w:r>
              <w:t>document.</w:t>
            </w:r>
          </w:p>
        </w:tc>
      </w:tr>
      <w:tr w:rsidR="00186D24" w:rsidRPr="00D61D06" w:rsidTr="009A1998">
        <w:tc>
          <w:tcPr>
            <w:tcW w:w="2654" w:type="dxa"/>
          </w:tcPr>
          <w:p w:rsidR="00186D24" w:rsidRDefault="00186D24" w:rsidP="00186D24">
            <w:pPr>
              <w:pStyle w:val="TableText"/>
            </w:pPr>
            <w:r>
              <w:t>Article</w:t>
            </w:r>
            <w:r w:rsidR="003B65CF" w:rsidRPr="003B65CF">
              <w:t xml:space="preserve"> </w:t>
            </w:r>
            <w:r>
              <w:t>13(7),</w:t>
            </w:r>
            <w:r w:rsidR="003B65CF" w:rsidRPr="003B65CF">
              <w:t xml:space="preserve"> </w:t>
            </w:r>
            <w:r>
              <w:t>second</w:t>
            </w:r>
            <w:r w:rsidR="003B65CF" w:rsidRPr="003B65CF">
              <w:t xml:space="preserve"> </w:t>
            </w:r>
            <w:r>
              <w:t>sentence</w:t>
            </w:r>
          </w:p>
        </w:tc>
        <w:tc>
          <w:tcPr>
            <w:tcW w:w="2654" w:type="dxa"/>
          </w:tcPr>
          <w:p w:rsidR="00186D24" w:rsidRPr="00F273BB" w:rsidRDefault="00186D24" w:rsidP="00186D24">
            <w:pPr>
              <w:pStyle w:val="TableText"/>
            </w:pPr>
            <w:r w:rsidRPr="00F273BB">
              <w:t>Commission</w:t>
            </w:r>
            <w:r w:rsidR="003B65CF" w:rsidRPr="003B65CF">
              <w:t xml:space="preserve"> </w:t>
            </w:r>
            <w:r w:rsidRPr="00F273BB">
              <w:t>Regulation</w:t>
            </w:r>
            <w:r w:rsidR="003B65CF" w:rsidRPr="003B65CF">
              <w:t xml:space="preserve"> </w:t>
            </w:r>
            <w:r w:rsidRPr="00F273BB">
              <w:t>(EC)</w:t>
            </w:r>
            <w:r w:rsidR="003B65CF" w:rsidRPr="003B65CF">
              <w:t xml:space="preserve"> </w:t>
            </w:r>
            <w:r w:rsidRPr="00F273BB">
              <w:t>No</w:t>
            </w:r>
            <w:r w:rsidR="003B65CF" w:rsidRPr="003B65CF">
              <w:t xml:space="preserve"> </w:t>
            </w:r>
            <w:r w:rsidRPr="00F273BB">
              <w:t>684/2009</w:t>
            </w:r>
            <w:r w:rsidR="003B65CF" w:rsidRPr="003B65CF">
              <w:t xml:space="preserve"> </w:t>
            </w:r>
            <w:r>
              <w:t>implementing</w:t>
            </w:r>
            <w:r w:rsidR="003B65CF" w:rsidRPr="003B65CF">
              <w:t xml:space="preserve"> </w:t>
            </w:r>
            <w:r>
              <w:t>Council</w:t>
            </w:r>
            <w:r w:rsidR="003B65CF" w:rsidRPr="003B65CF">
              <w:t xml:space="preserve"> </w:t>
            </w:r>
            <w:r>
              <w:t>Directive</w:t>
            </w:r>
            <w:r w:rsidR="003B65CF" w:rsidRPr="003B65CF">
              <w:t xml:space="preserve"> </w:t>
            </w:r>
            <w:r>
              <w:t>2008/118/EC</w:t>
            </w:r>
            <w:r w:rsidR="003B65CF" w:rsidRPr="003B65CF">
              <w:t xml:space="preserve"> </w:t>
            </w:r>
            <w:r>
              <w:t>as</w:t>
            </w:r>
            <w:r w:rsidR="003B65CF" w:rsidRPr="003B65CF">
              <w:t xml:space="preserve"> </w:t>
            </w:r>
            <w:r>
              <w:t>regards</w:t>
            </w:r>
            <w:r w:rsidR="003B65CF" w:rsidRPr="003B65CF">
              <w:t xml:space="preserve"> </w:t>
            </w:r>
            <w:r>
              <w:t>the</w:t>
            </w:r>
            <w:r w:rsidR="003B65CF" w:rsidRPr="003B65CF">
              <w:t xml:space="preserve"> </w:t>
            </w:r>
            <w:r>
              <w:t>computerised</w:t>
            </w:r>
            <w:r w:rsidR="003B65CF" w:rsidRPr="003B65CF">
              <w:t xml:space="preserve"> </w:t>
            </w:r>
            <w:r>
              <w:t>procedures</w:t>
            </w:r>
            <w:r w:rsidR="003B65CF" w:rsidRPr="003B65CF">
              <w:t xml:space="preserve"> </w:t>
            </w:r>
            <w:r>
              <w:t>for</w:t>
            </w:r>
            <w:r w:rsidR="003B65CF" w:rsidRPr="003B65CF">
              <w:t xml:space="preserve"> </w:t>
            </w:r>
            <w:r>
              <w:t>the</w:t>
            </w:r>
            <w:r w:rsidR="003B65CF" w:rsidRPr="003B65CF">
              <w:t xml:space="preserve"> </w:t>
            </w:r>
            <w:r>
              <w:lastRenderedPageBreak/>
              <w:t>movement</w:t>
            </w:r>
            <w:r w:rsidR="003B65CF" w:rsidRPr="003B65CF">
              <w:t xml:space="preserve"> </w:t>
            </w:r>
            <w:r>
              <w:t>of</w:t>
            </w:r>
            <w:r w:rsidR="003B65CF" w:rsidRPr="003B65CF">
              <w:t xml:space="preserve"> </w:t>
            </w:r>
            <w:r>
              <w:t>excise</w:t>
            </w:r>
            <w:r w:rsidR="003B65CF" w:rsidRPr="003B65CF">
              <w:t xml:space="preserve"> </w:t>
            </w:r>
            <w:r>
              <w:t>goods</w:t>
            </w:r>
            <w:r w:rsidR="003B65CF" w:rsidRPr="003B65CF">
              <w:t xml:space="preserve"> </w:t>
            </w:r>
            <w:r>
              <w:t>under</w:t>
            </w:r>
            <w:r w:rsidR="003B65CF" w:rsidRPr="003B65CF">
              <w:t xml:space="preserve"> </w:t>
            </w:r>
            <w:r>
              <w:t>suspension</w:t>
            </w:r>
            <w:r w:rsidR="003B65CF" w:rsidRPr="003B65CF">
              <w:t xml:space="preserve"> </w:t>
            </w:r>
            <w:r>
              <w:t>of</w:t>
            </w:r>
            <w:r w:rsidR="003B65CF" w:rsidRPr="003B65CF">
              <w:t xml:space="preserve"> </w:t>
            </w:r>
            <w:r>
              <w:t>excise</w:t>
            </w:r>
            <w:r w:rsidR="003B65CF" w:rsidRPr="003B65CF">
              <w:t xml:space="preserve"> </w:t>
            </w:r>
            <w:r>
              <w:t>duty</w:t>
            </w:r>
          </w:p>
        </w:tc>
        <w:tc>
          <w:tcPr>
            <w:tcW w:w="2654" w:type="dxa"/>
          </w:tcPr>
          <w:p w:rsidR="00186D24" w:rsidRDefault="00186D24" w:rsidP="00186D24">
            <w:pPr>
              <w:pStyle w:val="TableText"/>
            </w:pPr>
            <w:r>
              <w:lastRenderedPageBreak/>
              <w:t>Requirements</w:t>
            </w:r>
            <w:r w:rsidR="003B65CF" w:rsidRPr="003B65CF">
              <w:t xml:space="preserve"> </w:t>
            </w:r>
            <w:r>
              <w:t>for</w:t>
            </w:r>
            <w:r w:rsidR="003B65CF" w:rsidRPr="003B65CF">
              <w:t xml:space="preserve"> </w:t>
            </w:r>
            <w:r>
              <w:t>the</w:t>
            </w:r>
            <w:r w:rsidR="003B65CF" w:rsidRPr="003B65CF">
              <w:t xml:space="preserve"> </w:t>
            </w:r>
            <w:r>
              <w:t>inclusion</w:t>
            </w:r>
            <w:r w:rsidR="003B65CF" w:rsidRPr="003B65CF">
              <w:t xml:space="preserve"> </w:t>
            </w:r>
            <w:r>
              <w:t>of</w:t>
            </w:r>
            <w:r w:rsidR="003B65CF" w:rsidRPr="003B65CF">
              <w:t xml:space="preserve"> </w:t>
            </w:r>
            <w:r>
              <w:t>relevant</w:t>
            </w:r>
            <w:r w:rsidR="003B65CF" w:rsidRPr="003B65CF">
              <w:t xml:space="preserve"> </w:t>
            </w:r>
            <w:r>
              <w:t>maturation</w:t>
            </w:r>
            <w:r w:rsidR="003B65CF" w:rsidRPr="003B65CF">
              <w:t xml:space="preserve"> </w:t>
            </w:r>
            <w:r>
              <w:t>periods</w:t>
            </w:r>
            <w:r w:rsidR="003B65CF" w:rsidRPr="003B65CF">
              <w:t xml:space="preserve"> </w:t>
            </w:r>
            <w:r>
              <w:t>in</w:t>
            </w:r>
            <w:r w:rsidR="003B65CF" w:rsidRPr="003B65CF">
              <w:t xml:space="preserve"> </w:t>
            </w:r>
            <w:r>
              <w:t>the</w:t>
            </w:r>
            <w:r w:rsidR="003B65CF" w:rsidRPr="003B65CF">
              <w:t xml:space="preserve"> </w:t>
            </w:r>
            <w:r>
              <w:t>electronic</w:t>
            </w:r>
            <w:r w:rsidR="003B65CF" w:rsidRPr="003B65CF">
              <w:t xml:space="preserve"> </w:t>
            </w:r>
            <w:r>
              <w:t>administrative</w:t>
            </w:r>
            <w:r w:rsidR="003B65CF" w:rsidRPr="003B65CF">
              <w:t xml:space="preserve"> </w:t>
            </w:r>
            <w:r>
              <w:t>document.</w:t>
            </w:r>
          </w:p>
        </w:tc>
      </w:tr>
      <w:tr w:rsidR="00186D24" w:rsidRPr="00D61D06" w:rsidTr="009A1998">
        <w:tc>
          <w:tcPr>
            <w:tcW w:w="2654" w:type="dxa"/>
          </w:tcPr>
          <w:p w:rsidR="00186D24" w:rsidRDefault="00186D24" w:rsidP="00186D24">
            <w:pPr>
              <w:pStyle w:val="TableText"/>
            </w:pPr>
            <w:r>
              <w:t>Article</w:t>
            </w:r>
            <w:r w:rsidR="003B65CF" w:rsidRPr="003B65CF">
              <w:t xml:space="preserve"> </w:t>
            </w:r>
            <w:r>
              <w:t>14(1)</w:t>
            </w:r>
          </w:p>
        </w:tc>
        <w:tc>
          <w:tcPr>
            <w:tcW w:w="2654" w:type="dxa"/>
          </w:tcPr>
          <w:p w:rsidR="00186D24" w:rsidRPr="00F273BB" w:rsidRDefault="00186D24" w:rsidP="00186D24">
            <w:pPr>
              <w:pStyle w:val="TableText"/>
            </w:pPr>
          </w:p>
        </w:tc>
        <w:tc>
          <w:tcPr>
            <w:tcW w:w="2654" w:type="dxa"/>
          </w:tcPr>
          <w:p w:rsidR="00186D24" w:rsidRDefault="00186D24" w:rsidP="00186D24">
            <w:pPr>
              <w:pStyle w:val="TableText"/>
            </w:pPr>
            <w:r>
              <w:t>Indication</w:t>
            </w:r>
            <w:r w:rsidR="003B65CF" w:rsidRPr="003B65CF">
              <w:t xml:space="preserve"> </w:t>
            </w:r>
            <w:r>
              <w:t>of</w:t>
            </w:r>
            <w:r w:rsidR="003B65CF" w:rsidRPr="003B65CF">
              <w:t xml:space="preserve"> </w:t>
            </w:r>
            <w:r>
              <w:t>place</w:t>
            </w:r>
            <w:r w:rsidR="003B65CF" w:rsidRPr="003B65CF">
              <w:t xml:space="preserve"> </w:t>
            </w:r>
            <w:r>
              <w:t>of</w:t>
            </w:r>
            <w:r w:rsidR="003B65CF" w:rsidRPr="003B65CF">
              <w:t xml:space="preserve"> </w:t>
            </w:r>
            <w:r>
              <w:t>provenance.</w:t>
            </w:r>
          </w:p>
        </w:tc>
      </w:tr>
      <w:tr w:rsidR="00186D24" w:rsidRPr="00D61D06" w:rsidTr="009A1998">
        <w:tc>
          <w:tcPr>
            <w:tcW w:w="2654" w:type="dxa"/>
          </w:tcPr>
          <w:p w:rsidR="00186D24" w:rsidRDefault="00186D24" w:rsidP="00186D24">
            <w:pPr>
              <w:pStyle w:val="TableText"/>
            </w:pPr>
            <w:r>
              <w:t>Article</w:t>
            </w:r>
            <w:r w:rsidR="003B65CF" w:rsidRPr="003B65CF">
              <w:t xml:space="preserve"> </w:t>
            </w:r>
            <w:r>
              <w:t>15(1)</w:t>
            </w:r>
          </w:p>
        </w:tc>
        <w:tc>
          <w:tcPr>
            <w:tcW w:w="2654" w:type="dxa"/>
          </w:tcPr>
          <w:p w:rsidR="00186D24" w:rsidRPr="00D61D06" w:rsidRDefault="00186D24" w:rsidP="00186D24">
            <w:pPr>
              <w:pStyle w:val="TableText"/>
            </w:pPr>
            <w:r>
              <w:t>Article</w:t>
            </w:r>
            <w:r w:rsidR="003B65CF" w:rsidRPr="003B65CF">
              <w:t xml:space="preserve"> </w:t>
            </w:r>
            <w:r>
              <w:t>15(2)</w:t>
            </w:r>
            <w:r w:rsidR="003B65CF" w:rsidRPr="003B65CF">
              <w:t xml:space="preserve"> </w:t>
            </w:r>
            <w:r>
              <w:t>of,</w:t>
            </w:r>
            <w:r w:rsidR="003B65CF" w:rsidRPr="003B65CF">
              <w:t xml:space="preserve"> </w:t>
            </w:r>
            <w:r>
              <w:t>and</w:t>
            </w:r>
            <w:r w:rsidR="003B65CF" w:rsidRPr="003B65CF">
              <w:t xml:space="preserve"> </w:t>
            </w:r>
            <w:r w:rsidRPr="00826500">
              <w:t>Annex</w:t>
            </w:r>
            <w:r>
              <w:t>es</w:t>
            </w:r>
            <w:r w:rsidR="003B65CF" w:rsidRPr="003B65CF">
              <w:t xml:space="preserve"> </w:t>
            </w:r>
            <w:r w:rsidRPr="00826500">
              <w:t>I</w:t>
            </w:r>
            <w:r w:rsidR="003B65CF" w:rsidRPr="003B65CF">
              <w:t xml:space="preserve"> </w:t>
            </w:r>
            <w:r w:rsidRPr="00826500">
              <w:t>and</w:t>
            </w:r>
            <w:r w:rsidR="003B65CF" w:rsidRPr="003B65CF">
              <w:t xml:space="preserve"> </w:t>
            </w:r>
            <w:r w:rsidRPr="00826500">
              <w:t>II</w:t>
            </w:r>
            <w:r w:rsidR="003B65CF" w:rsidRPr="003B65CF">
              <w:t xml:space="preserve"> </w:t>
            </w:r>
            <w:r>
              <w:t>to,</w:t>
            </w:r>
            <w:r w:rsidR="003B65CF" w:rsidRPr="003B65CF">
              <w:t xml:space="preserve"> </w:t>
            </w:r>
            <w:r w:rsidRPr="00826500">
              <w:t>Regulation</w:t>
            </w:r>
            <w:r w:rsidR="003B65CF" w:rsidRPr="003B65CF">
              <w:t xml:space="preserve"> </w:t>
            </w:r>
            <w:r w:rsidRPr="00826500">
              <w:t>(EU)</w:t>
            </w:r>
            <w:r w:rsidR="003B65CF" w:rsidRPr="003B65CF">
              <w:t xml:space="preserve"> </w:t>
            </w:r>
            <w:r w:rsidRPr="00826500">
              <w:t>2019/787</w:t>
            </w:r>
          </w:p>
        </w:tc>
        <w:tc>
          <w:tcPr>
            <w:tcW w:w="2654" w:type="dxa"/>
          </w:tcPr>
          <w:p w:rsidR="00186D24" w:rsidRPr="00826500" w:rsidRDefault="00186D24" w:rsidP="00186D24">
            <w:pPr>
              <w:pStyle w:val="TableText"/>
            </w:pPr>
            <w:r w:rsidRPr="00826500">
              <w:t>Language</w:t>
            </w:r>
            <w:r w:rsidR="003B65CF" w:rsidRPr="003B65CF">
              <w:t xml:space="preserve"> </w:t>
            </w:r>
            <w:r w:rsidRPr="00826500">
              <w:t>to</w:t>
            </w:r>
            <w:r w:rsidR="003B65CF" w:rsidRPr="003B65CF">
              <w:t xml:space="preserve"> </w:t>
            </w:r>
            <w:r w:rsidRPr="00826500">
              <w:t>be</w:t>
            </w:r>
            <w:r w:rsidR="003B65CF" w:rsidRPr="003B65CF">
              <w:t xml:space="preserve"> </w:t>
            </w:r>
            <w:r w:rsidRPr="00826500">
              <w:t>used</w:t>
            </w:r>
            <w:r w:rsidR="003B65CF" w:rsidRPr="003B65CF">
              <w:t xml:space="preserve"> </w:t>
            </w:r>
            <w:r w:rsidRPr="00826500">
              <w:t>in</w:t>
            </w:r>
            <w:r w:rsidR="003B65CF" w:rsidRPr="003B65CF">
              <w:t xml:space="preserve"> </w:t>
            </w:r>
            <w:r w:rsidRPr="00826500">
              <w:t>the</w:t>
            </w:r>
            <w:r w:rsidR="003B65CF" w:rsidRPr="003B65CF">
              <w:t xml:space="preserve"> </w:t>
            </w:r>
            <w:r w:rsidRPr="00826500">
              <w:t>description,</w:t>
            </w:r>
            <w:r w:rsidR="003B65CF" w:rsidRPr="003B65CF">
              <w:t xml:space="preserve"> </w:t>
            </w:r>
            <w:r w:rsidRPr="00826500">
              <w:t>presentation</w:t>
            </w:r>
            <w:r w:rsidR="003B65CF" w:rsidRPr="003B65CF">
              <w:t xml:space="preserve"> </w:t>
            </w:r>
            <w:r w:rsidRPr="00826500">
              <w:t>and</w:t>
            </w:r>
            <w:r w:rsidR="003B65CF" w:rsidRPr="003B65CF">
              <w:t xml:space="preserve"> </w:t>
            </w:r>
            <w:r w:rsidRPr="00826500">
              <w:t>labelling</w:t>
            </w:r>
            <w:r w:rsidR="003B65CF" w:rsidRPr="003B65CF">
              <w:t xml:space="preserve"> </w:t>
            </w:r>
            <w:r w:rsidRPr="00826500">
              <w:t>of</w:t>
            </w:r>
            <w:r w:rsidR="003B65CF" w:rsidRPr="003B65CF">
              <w:t xml:space="preserve"> </w:t>
            </w:r>
            <w:r w:rsidR="004854CA">
              <w:t>a</w:t>
            </w:r>
            <w:r w:rsidR="003B65CF" w:rsidRPr="003B65CF">
              <w:t xml:space="preserve"> </w:t>
            </w:r>
            <w:r w:rsidR="004854CA">
              <w:t>spirit</w:t>
            </w:r>
            <w:r w:rsidR="003B65CF" w:rsidRPr="003B65CF">
              <w:t xml:space="preserve"> </w:t>
            </w:r>
            <w:r w:rsidR="004854CA">
              <w:t>drink</w:t>
            </w:r>
            <w:r>
              <w:t>.</w:t>
            </w:r>
          </w:p>
        </w:tc>
      </w:tr>
      <w:tr w:rsidR="00186D24" w:rsidRPr="00D61D06" w:rsidTr="009A1998">
        <w:tc>
          <w:tcPr>
            <w:tcW w:w="2654" w:type="dxa"/>
          </w:tcPr>
          <w:p w:rsidR="00186D24" w:rsidRPr="00D61D06" w:rsidRDefault="00186D24" w:rsidP="00186D24">
            <w:pPr>
              <w:pStyle w:val="TableText"/>
            </w:pPr>
            <w:r>
              <w:t>Article</w:t>
            </w:r>
            <w:r w:rsidR="003B65CF" w:rsidRPr="003B65CF">
              <w:t xml:space="preserve"> </w:t>
            </w:r>
            <w:r>
              <w:t>17</w:t>
            </w:r>
          </w:p>
        </w:tc>
        <w:tc>
          <w:tcPr>
            <w:tcW w:w="2654" w:type="dxa"/>
          </w:tcPr>
          <w:p w:rsidR="00186D24" w:rsidRPr="00D61D06" w:rsidRDefault="00186D24" w:rsidP="00186D24">
            <w:pPr>
              <w:pStyle w:val="TableText"/>
            </w:pPr>
          </w:p>
        </w:tc>
        <w:tc>
          <w:tcPr>
            <w:tcW w:w="2654" w:type="dxa"/>
          </w:tcPr>
          <w:p w:rsidR="00186D24" w:rsidRPr="00D61D06" w:rsidRDefault="00186D24" w:rsidP="00186D24">
            <w:pPr>
              <w:pStyle w:val="TableText"/>
            </w:pPr>
            <w:r w:rsidRPr="00826500">
              <w:t>Prohibition</w:t>
            </w:r>
            <w:r w:rsidR="003B65CF" w:rsidRPr="003B65CF">
              <w:t xml:space="preserve"> </w:t>
            </w:r>
            <w:r w:rsidRPr="00826500">
              <w:t>on</w:t>
            </w:r>
            <w:r w:rsidR="003B65CF" w:rsidRPr="003B65CF">
              <w:t xml:space="preserve"> </w:t>
            </w:r>
            <w:r w:rsidRPr="00826500">
              <w:t>the</w:t>
            </w:r>
            <w:r w:rsidR="003B65CF" w:rsidRPr="003B65CF">
              <w:t xml:space="preserve"> </w:t>
            </w:r>
            <w:r w:rsidRPr="00826500">
              <w:t>covering</w:t>
            </w:r>
            <w:r w:rsidR="003B65CF" w:rsidRPr="003B65CF">
              <w:t xml:space="preserve"> </w:t>
            </w:r>
            <w:r w:rsidRPr="00826500">
              <w:t>of</w:t>
            </w:r>
            <w:r w:rsidR="003B65CF" w:rsidRPr="003B65CF">
              <w:t xml:space="preserve"> </w:t>
            </w:r>
            <w:r w:rsidRPr="00826500">
              <w:t>closing</w:t>
            </w:r>
            <w:r w:rsidR="003B65CF" w:rsidRPr="003B65CF">
              <w:t xml:space="preserve"> </w:t>
            </w:r>
            <w:r w:rsidRPr="00826500">
              <w:t>devices</w:t>
            </w:r>
            <w:r w:rsidR="003B65CF" w:rsidRPr="003B65CF">
              <w:t xml:space="preserve"> </w:t>
            </w:r>
            <w:r w:rsidRPr="00826500">
              <w:t>with</w:t>
            </w:r>
            <w:r w:rsidR="003B65CF" w:rsidRPr="003B65CF">
              <w:t xml:space="preserve"> </w:t>
            </w:r>
            <w:r w:rsidRPr="00826500">
              <w:t>lead-based</w:t>
            </w:r>
            <w:r w:rsidR="003B65CF" w:rsidRPr="003B65CF">
              <w:t xml:space="preserve"> </w:t>
            </w:r>
            <w:r w:rsidRPr="00826500">
              <w:t>capsules</w:t>
            </w:r>
            <w:r w:rsidR="003B65CF" w:rsidRPr="003B65CF">
              <w:t xml:space="preserve"> </w:t>
            </w:r>
            <w:r w:rsidRPr="00826500">
              <w:t>or</w:t>
            </w:r>
            <w:r w:rsidR="003B65CF" w:rsidRPr="003B65CF">
              <w:t xml:space="preserve"> </w:t>
            </w:r>
            <w:r w:rsidRPr="00826500">
              <w:t>foil</w:t>
            </w:r>
            <w:r>
              <w:t>.</w:t>
            </w:r>
          </w:p>
        </w:tc>
      </w:tr>
      <w:tr w:rsidR="009A1998" w:rsidRPr="00D61D06" w:rsidTr="009A1998">
        <w:tc>
          <w:tcPr>
            <w:tcW w:w="2654" w:type="dxa"/>
            <w:tcBorders>
              <w:bottom w:val="single" w:sz="4" w:space="0" w:color="auto"/>
            </w:tcBorders>
            <w:shd w:val="clear" w:color="auto" w:fill="auto"/>
          </w:tcPr>
          <w:p w:rsidR="009A1998" w:rsidRPr="00D61D06" w:rsidRDefault="009A1998" w:rsidP="00186D24">
            <w:pPr>
              <w:pStyle w:val="TableText"/>
            </w:pPr>
          </w:p>
        </w:tc>
        <w:tc>
          <w:tcPr>
            <w:tcW w:w="2654" w:type="dxa"/>
            <w:tcBorders>
              <w:bottom w:val="single" w:sz="4" w:space="0" w:color="auto"/>
            </w:tcBorders>
            <w:shd w:val="clear" w:color="auto" w:fill="auto"/>
          </w:tcPr>
          <w:p w:rsidR="009A1998" w:rsidRPr="00D61D06" w:rsidRDefault="009A1998" w:rsidP="00186D24">
            <w:pPr>
              <w:pStyle w:val="TableText"/>
            </w:pPr>
          </w:p>
        </w:tc>
        <w:tc>
          <w:tcPr>
            <w:tcW w:w="2654" w:type="dxa"/>
            <w:tcBorders>
              <w:bottom w:val="single" w:sz="4" w:space="0" w:color="auto"/>
            </w:tcBorders>
            <w:shd w:val="clear" w:color="auto" w:fill="auto"/>
          </w:tcPr>
          <w:p w:rsidR="009A1998" w:rsidRPr="002A7794" w:rsidRDefault="009A1998" w:rsidP="00186D24">
            <w:pPr>
              <w:pStyle w:val="TableText"/>
            </w:pPr>
          </w:p>
        </w:tc>
      </w:tr>
    </w:tbl>
    <w:p w:rsidR="00BA763C" w:rsidRDefault="003B65CF" w:rsidP="006A5F05">
      <w:pPr>
        <w:pStyle w:val="Schedule"/>
        <w:rPr>
          <w:rStyle w:val="Ref"/>
        </w:rPr>
      </w:pPr>
      <w:r w:rsidRPr="003B65CF">
        <w:tab/>
      </w:r>
      <w:r w:rsidR="00BA763C">
        <w:t>SCHEDULE</w:t>
      </w:r>
      <w:r w:rsidRPr="003B65CF">
        <w:t xml:space="preserve"> </w:t>
      </w:r>
      <w:r w:rsidR="00BA763C">
        <w:rPr>
          <w:noProof/>
        </w:rPr>
        <w:fldChar w:fldCharType="begin"/>
      </w:r>
      <w:r w:rsidR="00BA763C">
        <w:rPr>
          <w:noProof/>
        </w:rPr>
        <w:instrText xml:space="preserve"> SEQ schedule\* arabic </w:instrText>
      </w:r>
      <w:r w:rsidR="00BA763C">
        <w:rPr>
          <w:noProof/>
        </w:rPr>
        <w:fldChar w:fldCharType="separate"/>
      </w:r>
      <w:r>
        <w:rPr>
          <w:noProof/>
        </w:rPr>
        <w:t>2</w:t>
      </w:r>
      <w:r w:rsidR="00BA763C">
        <w:rPr>
          <w:noProof/>
        </w:rPr>
        <w:fldChar w:fldCharType="end"/>
      </w:r>
      <w:r w:rsidRPr="003B65CF">
        <w:tab/>
      </w:r>
      <w:r w:rsidR="00887657">
        <w:rPr>
          <w:rStyle w:val="Ref"/>
        </w:rPr>
        <w:t>Regulation</w:t>
      </w:r>
      <w:r w:rsidRPr="003B65CF">
        <w:rPr>
          <w:rStyle w:val="Ref"/>
        </w:rPr>
        <w:t xml:space="preserve"> </w:t>
      </w:r>
      <w:r w:rsidR="00887657">
        <w:rPr>
          <w:rStyle w:val="Ref"/>
        </w:rPr>
        <w:t>20</w:t>
      </w:r>
    </w:p>
    <w:p w:rsidR="009A40A5" w:rsidRDefault="00BA763C" w:rsidP="009A40A5">
      <w:pPr>
        <w:pStyle w:val="ScheduleHead"/>
      </w:pPr>
      <w:r>
        <w:t>PENALTY</w:t>
      </w:r>
      <w:r w:rsidR="003B65CF" w:rsidRPr="003B65CF">
        <w:t xml:space="preserve"> </w:t>
      </w:r>
      <w:r>
        <w:t>OFFENCES</w:t>
      </w:r>
    </w:p>
    <w:p w:rsidR="009A40A5" w:rsidRDefault="006A5F05" w:rsidP="006A5F05">
      <w:pPr>
        <w:pStyle w:val="List1"/>
      </w:pPr>
      <w:r w:rsidRPr="006A5F05">
        <w:t>1</w:t>
      </w:r>
      <w:r w:rsidR="00B62DDC">
        <w:t>.</w:t>
      </w:r>
      <w:r w:rsidR="003B65CF" w:rsidRPr="003B65CF">
        <w:tab/>
      </w:r>
      <w:r w:rsidR="00F638EE" w:rsidRPr="00F638EE">
        <w:t>Article</w:t>
      </w:r>
      <w:r w:rsidR="003B65CF" w:rsidRPr="003B65CF">
        <w:t xml:space="preserve"> </w:t>
      </w:r>
      <w:r w:rsidR="00F638EE" w:rsidRPr="00F638EE">
        <w:t>6(1)</w:t>
      </w:r>
      <w:r w:rsidR="00CB3E0D">
        <w:t>.</w:t>
      </w:r>
    </w:p>
    <w:p w:rsidR="006A5F05" w:rsidRDefault="006A5F05" w:rsidP="006A5F05">
      <w:pPr>
        <w:pStyle w:val="List1"/>
      </w:pPr>
      <w:r w:rsidRPr="006A5F05">
        <w:t>2</w:t>
      </w:r>
      <w:r w:rsidR="00B62DDC">
        <w:t>.</w:t>
      </w:r>
      <w:r w:rsidR="003B65CF" w:rsidRPr="003B65CF">
        <w:tab/>
      </w:r>
      <w:r>
        <w:t>Article</w:t>
      </w:r>
      <w:r w:rsidR="003B65CF" w:rsidRPr="003B65CF">
        <w:t xml:space="preserve"> </w:t>
      </w:r>
      <w:r>
        <w:t>10(1)</w:t>
      </w:r>
      <w:r w:rsidR="00CB3E0D">
        <w:t>.</w:t>
      </w:r>
    </w:p>
    <w:p w:rsidR="009A40A5" w:rsidRDefault="006A5F05" w:rsidP="006A5F05">
      <w:pPr>
        <w:pStyle w:val="List1"/>
      </w:pPr>
      <w:r w:rsidRPr="006A5F05">
        <w:t>3</w:t>
      </w:r>
      <w:r w:rsidR="00B62DDC">
        <w:t>.</w:t>
      </w:r>
      <w:r w:rsidR="003B65CF" w:rsidRPr="003B65CF">
        <w:tab/>
      </w:r>
      <w:r w:rsidR="00F638EE" w:rsidRPr="00F638EE">
        <w:t>Article</w:t>
      </w:r>
      <w:r w:rsidR="003B65CF" w:rsidRPr="003B65CF">
        <w:t xml:space="preserve"> </w:t>
      </w:r>
      <w:r w:rsidR="00F638EE" w:rsidRPr="00F638EE">
        <w:t>10(2)</w:t>
      </w:r>
      <w:r w:rsidR="00CB3E0D">
        <w:t>.</w:t>
      </w:r>
    </w:p>
    <w:p w:rsidR="009A40A5" w:rsidRDefault="006A5F05" w:rsidP="006A5F05">
      <w:pPr>
        <w:pStyle w:val="List1"/>
      </w:pPr>
      <w:r w:rsidRPr="006A5F05">
        <w:t>4</w:t>
      </w:r>
      <w:r w:rsidR="00B62DDC">
        <w:t>.</w:t>
      </w:r>
      <w:r w:rsidR="003B65CF" w:rsidRPr="003B65CF">
        <w:tab/>
      </w:r>
      <w:r w:rsidR="00F638EE" w:rsidRPr="00F638EE">
        <w:t>Article</w:t>
      </w:r>
      <w:r w:rsidR="003B65CF" w:rsidRPr="003B65CF">
        <w:t xml:space="preserve"> </w:t>
      </w:r>
      <w:r w:rsidR="00F638EE" w:rsidRPr="00F638EE">
        <w:t>10(3)</w:t>
      </w:r>
      <w:r w:rsidR="00CB3E0D">
        <w:t>.</w:t>
      </w:r>
    </w:p>
    <w:p w:rsidR="009A40A5" w:rsidRDefault="006A5F05" w:rsidP="006A5F05">
      <w:pPr>
        <w:pStyle w:val="List1"/>
      </w:pPr>
      <w:r w:rsidRPr="006A5F05">
        <w:t>5</w:t>
      </w:r>
      <w:r w:rsidR="00B62DDC">
        <w:t>.</w:t>
      </w:r>
      <w:r w:rsidR="003B65CF" w:rsidRPr="003B65CF">
        <w:tab/>
      </w:r>
      <w:r w:rsidR="00F638EE" w:rsidRPr="00F638EE">
        <w:t>Article</w:t>
      </w:r>
      <w:r w:rsidR="003B65CF" w:rsidRPr="003B65CF">
        <w:t xml:space="preserve"> </w:t>
      </w:r>
      <w:r w:rsidR="00F638EE" w:rsidRPr="00F638EE">
        <w:t>11(3)</w:t>
      </w:r>
      <w:r w:rsidR="00CB3E0D">
        <w:t>.</w:t>
      </w:r>
    </w:p>
    <w:p w:rsidR="00E31902" w:rsidRDefault="006A5F05" w:rsidP="006A5F05">
      <w:pPr>
        <w:pStyle w:val="List1"/>
      </w:pPr>
      <w:r w:rsidRPr="006A5F05">
        <w:t>6</w:t>
      </w:r>
      <w:r w:rsidR="00B62DDC">
        <w:t>.</w:t>
      </w:r>
      <w:r w:rsidR="003B65CF" w:rsidRPr="003B65CF">
        <w:tab/>
      </w:r>
      <w:r w:rsidR="00E31902">
        <w:t>Article</w:t>
      </w:r>
      <w:r w:rsidR="003B65CF" w:rsidRPr="003B65CF">
        <w:t xml:space="preserve"> </w:t>
      </w:r>
      <w:r w:rsidR="00E31902">
        <w:t>12(4)</w:t>
      </w:r>
      <w:r w:rsidR="00CB3E0D">
        <w:t>.</w:t>
      </w:r>
    </w:p>
    <w:p w:rsidR="009A40A5" w:rsidRDefault="006A5F05" w:rsidP="006A5F05">
      <w:pPr>
        <w:pStyle w:val="List1"/>
      </w:pPr>
      <w:r w:rsidRPr="006A5F05">
        <w:t>7</w:t>
      </w:r>
      <w:r w:rsidR="00B62DDC">
        <w:t>.</w:t>
      </w:r>
      <w:r w:rsidR="003B65CF" w:rsidRPr="003B65CF">
        <w:tab/>
      </w:r>
      <w:r w:rsidR="00E31902">
        <w:t>Article</w:t>
      </w:r>
      <w:r w:rsidR="003B65CF" w:rsidRPr="003B65CF">
        <w:t xml:space="preserve"> </w:t>
      </w:r>
      <w:r w:rsidR="00E31902">
        <w:t>13(1)</w:t>
      </w:r>
      <w:r w:rsidR="00CB3E0D">
        <w:t>.</w:t>
      </w:r>
    </w:p>
    <w:p w:rsidR="009A40A5" w:rsidRDefault="006A5F05" w:rsidP="006A5F05">
      <w:pPr>
        <w:pStyle w:val="List1"/>
      </w:pPr>
      <w:r w:rsidRPr="006A5F05">
        <w:t>8</w:t>
      </w:r>
      <w:r w:rsidR="00B62DDC">
        <w:t>.</w:t>
      </w:r>
      <w:r w:rsidR="003B65CF" w:rsidRPr="003B65CF">
        <w:tab/>
      </w:r>
      <w:r w:rsidR="00E31902">
        <w:t>Article</w:t>
      </w:r>
      <w:r w:rsidR="003B65CF" w:rsidRPr="003B65CF">
        <w:t xml:space="preserve"> </w:t>
      </w:r>
      <w:r w:rsidR="00E31902">
        <w:t>13(2)</w:t>
      </w:r>
      <w:r w:rsidR="00CB3E0D">
        <w:t>.</w:t>
      </w:r>
    </w:p>
    <w:p w:rsidR="004C7E6D" w:rsidRDefault="006A5F05" w:rsidP="006A5F05">
      <w:pPr>
        <w:pStyle w:val="List1"/>
      </w:pPr>
      <w:r w:rsidRPr="006A5F05">
        <w:t>9</w:t>
      </w:r>
      <w:r w:rsidR="00B62DDC">
        <w:t>.</w:t>
      </w:r>
      <w:r w:rsidR="003B65CF" w:rsidRPr="003B65CF">
        <w:tab/>
      </w:r>
      <w:r w:rsidR="00E31902">
        <w:t>Article</w:t>
      </w:r>
      <w:r w:rsidR="003B65CF" w:rsidRPr="003B65CF">
        <w:t xml:space="preserve"> </w:t>
      </w:r>
      <w:r w:rsidR="00E31902">
        <w:t>13(3)</w:t>
      </w:r>
      <w:r w:rsidR="000A7883">
        <w:t>,</w:t>
      </w:r>
      <w:r w:rsidR="003B65CF" w:rsidRPr="003B65CF">
        <w:rPr>
          <w:rFonts w:ascii="Arial" w:hAnsi="Arial" w:cs="Arial"/>
          <w:sz w:val="20"/>
          <w:lang w:eastAsia="en-GB"/>
        </w:rPr>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as</w:t>
      </w:r>
      <w:r w:rsidR="003B65CF" w:rsidRPr="003B65CF">
        <w:t xml:space="preserve"> </w:t>
      </w:r>
      <w:r w:rsidR="004C7E6D" w:rsidRPr="004C7E6D">
        <w:t>read</w:t>
      </w:r>
      <w:r w:rsidR="003B65CF" w:rsidRPr="003B65CF">
        <w:t xml:space="preserve"> </w:t>
      </w:r>
      <w:r w:rsidR="004C7E6D" w:rsidRPr="004C7E6D">
        <w:t>with</w:t>
      </w:r>
      <w:r w:rsidR="003B65CF" w:rsidRPr="003B65CF">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of</w:t>
      </w:r>
      <w:r w:rsidR="003B65CF" w:rsidRPr="003B65CF">
        <w:t xml:space="preserve"> </w:t>
      </w:r>
      <w:r w:rsidR="004C7E6D" w:rsidRPr="004C7E6D">
        <w:t>Article</w:t>
      </w:r>
      <w:r w:rsidR="003B65CF" w:rsidRPr="003B65CF">
        <w:t xml:space="preserve"> </w:t>
      </w:r>
      <w:r w:rsidR="004C7E6D" w:rsidRPr="004C7E6D">
        <w:t>13(4).</w:t>
      </w:r>
    </w:p>
    <w:p w:rsidR="004C7E6D" w:rsidRPr="004C7E6D" w:rsidRDefault="006A5F05" w:rsidP="006A5F05">
      <w:pPr>
        <w:pStyle w:val="List1"/>
      </w:pPr>
      <w:r w:rsidRPr="006A5F05">
        <w:t>1</w:t>
      </w:r>
      <w:r w:rsidR="00B62DDC">
        <w:t>0.</w:t>
      </w:r>
      <w:r w:rsidR="003B65CF" w:rsidRPr="003B65CF">
        <w:tab/>
      </w:r>
      <w:r w:rsidR="004C7E6D" w:rsidRPr="004C7E6D">
        <w:t>Article</w:t>
      </w:r>
      <w:r w:rsidR="003B65CF" w:rsidRPr="003B65CF">
        <w:t xml:space="preserve"> </w:t>
      </w:r>
      <w:r w:rsidR="004C7E6D" w:rsidRPr="004C7E6D">
        <w:t>13(3),</w:t>
      </w:r>
      <w:r w:rsidR="003B65CF" w:rsidRPr="003B65CF">
        <w:t xml:space="preserve"> </w:t>
      </w:r>
      <w:r w:rsidR="004C7E6D" w:rsidRPr="004C7E6D">
        <w:t>the</w:t>
      </w:r>
      <w:r w:rsidR="003B65CF" w:rsidRPr="003B65CF">
        <w:t xml:space="preserve"> </w:t>
      </w:r>
      <w:r w:rsidR="004C7E6D" w:rsidRPr="004C7E6D">
        <w:t>second</w:t>
      </w:r>
      <w:r w:rsidR="003B65CF" w:rsidRPr="003B65CF">
        <w:t xml:space="preserve"> </w:t>
      </w:r>
      <w:r w:rsidR="004C7E6D" w:rsidRPr="004C7E6D">
        <w:t>subparagraph,</w:t>
      </w:r>
      <w:r w:rsidR="003B65CF" w:rsidRPr="003B65CF">
        <w:t xml:space="preserve"> </w:t>
      </w:r>
      <w:r w:rsidR="004C7E6D" w:rsidRPr="004C7E6D">
        <w:t>as</w:t>
      </w:r>
      <w:r w:rsidR="003B65CF" w:rsidRPr="003B65CF">
        <w:t xml:space="preserve"> </w:t>
      </w:r>
      <w:r w:rsidR="004C7E6D" w:rsidRPr="004C7E6D">
        <w:t>read</w:t>
      </w:r>
      <w:r w:rsidR="003B65CF" w:rsidRPr="003B65CF">
        <w:t xml:space="preserve"> </w:t>
      </w:r>
      <w:r w:rsidR="004C7E6D" w:rsidRPr="004C7E6D">
        <w:t>with</w:t>
      </w:r>
      <w:r w:rsidR="003B65CF" w:rsidRPr="003B65CF">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of</w:t>
      </w:r>
      <w:r w:rsidR="003B65CF" w:rsidRPr="003B65CF">
        <w:t xml:space="preserve"> </w:t>
      </w:r>
      <w:r w:rsidR="004C7E6D" w:rsidRPr="004C7E6D">
        <w:t>Article</w:t>
      </w:r>
      <w:r w:rsidR="003B65CF" w:rsidRPr="003B65CF">
        <w:t xml:space="preserve"> </w:t>
      </w:r>
      <w:r w:rsidR="004C7E6D" w:rsidRPr="004C7E6D">
        <w:t>13(4).</w:t>
      </w:r>
    </w:p>
    <w:p w:rsidR="004C7E6D" w:rsidRDefault="006A5F05" w:rsidP="006A5F05">
      <w:pPr>
        <w:pStyle w:val="List1"/>
      </w:pPr>
      <w:r w:rsidRPr="006A5F05">
        <w:t>1</w:t>
      </w:r>
      <w:r w:rsidR="00B62DDC">
        <w:t>1.</w:t>
      </w:r>
      <w:r w:rsidR="003B65CF" w:rsidRPr="003B65CF">
        <w:tab/>
      </w:r>
      <w:r w:rsidR="004C7E6D" w:rsidRPr="004C7E6D">
        <w:t>Article</w:t>
      </w:r>
      <w:r w:rsidR="003B65CF" w:rsidRPr="003B65CF">
        <w:t xml:space="preserve"> </w:t>
      </w:r>
      <w:r w:rsidR="004C7E6D" w:rsidRPr="004C7E6D">
        <w:t>13(3),</w:t>
      </w:r>
      <w:r w:rsidR="003B65CF" w:rsidRPr="003B65CF">
        <w:t xml:space="preserve"> </w:t>
      </w:r>
      <w:r w:rsidR="004C7E6D" w:rsidRPr="004C7E6D">
        <w:t>the</w:t>
      </w:r>
      <w:r w:rsidR="003B65CF" w:rsidRPr="003B65CF">
        <w:t xml:space="preserve"> </w:t>
      </w:r>
      <w:r w:rsidR="004C7E6D" w:rsidRPr="004C7E6D">
        <w:t>third</w:t>
      </w:r>
      <w:r w:rsidR="003B65CF" w:rsidRPr="003B65CF">
        <w:t xml:space="preserve"> </w:t>
      </w:r>
      <w:r w:rsidR="004C7E6D" w:rsidRPr="004C7E6D">
        <w:t>subparagraph,</w:t>
      </w:r>
      <w:r w:rsidR="003B65CF" w:rsidRPr="003B65CF">
        <w:t xml:space="preserve"> </w:t>
      </w:r>
      <w:r w:rsidR="004C7E6D" w:rsidRPr="004C7E6D">
        <w:t>as</w:t>
      </w:r>
      <w:r w:rsidR="003B65CF" w:rsidRPr="003B65CF">
        <w:t xml:space="preserve"> </w:t>
      </w:r>
      <w:r w:rsidR="004C7E6D" w:rsidRPr="004C7E6D">
        <w:t>read</w:t>
      </w:r>
      <w:r w:rsidR="003B65CF" w:rsidRPr="003B65CF">
        <w:t xml:space="preserve"> </w:t>
      </w:r>
      <w:r w:rsidR="004C7E6D" w:rsidRPr="004C7E6D">
        <w:t>with</w:t>
      </w:r>
      <w:r w:rsidR="003B65CF" w:rsidRPr="003B65CF">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of</w:t>
      </w:r>
      <w:r w:rsidR="003B65CF" w:rsidRPr="003B65CF">
        <w:t xml:space="preserve"> </w:t>
      </w:r>
      <w:r w:rsidR="004C7E6D" w:rsidRPr="004C7E6D">
        <w:t>Article</w:t>
      </w:r>
      <w:r w:rsidR="003B65CF" w:rsidRPr="003B65CF">
        <w:t xml:space="preserve"> </w:t>
      </w:r>
      <w:r w:rsidR="004C7E6D" w:rsidRPr="004C7E6D">
        <w:t>13(4).</w:t>
      </w:r>
    </w:p>
    <w:p w:rsidR="004C7E6D" w:rsidRDefault="006A5F05" w:rsidP="006A5F05">
      <w:pPr>
        <w:pStyle w:val="List1"/>
      </w:pPr>
      <w:r w:rsidRPr="006A5F05">
        <w:t>1</w:t>
      </w:r>
      <w:r w:rsidR="00B62DDC">
        <w:t>2.</w:t>
      </w:r>
      <w:r w:rsidR="003B65CF" w:rsidRPr="003B65CF">
        <w:tab/>
      </w:r>
      <w:r w:rsidR="004C7E6D">
        <w:t>Article</w:t>
      </w:r>
      <w:r w:rsidR="003B65CF" w:rsidRPr="003B65CF">
        <w:t xml:space="preserve"> </w:t>
      </w:r>
      <w:r w:rsidR="004C7E6D">
        <w:t>13(3a)(a)</w:t>
      </w:r>
      <w:r w:rsidR="00CB3E0D">
        <w:t>.</w:t>
      </w:r>
    </w:p>
    <w:p w:rsidR="004C7E6D" w:rsidRDefault="006A5F05" w:rsidP="006A5F05">
      <w:pPr>
        <w:pStyle w:val="List1"/>
      </w:pPr>
      <w:r w:rsidRPr="006A5F05">
        <w:t>1</w:t>
      </w:r>
      <w:r w:rsidR="00B62DDC">
        <w:t>3.</w:t>
      </w:r>
      <w:r w:rsidR="003B65CF" w:rsidRPr="003B65CF">
        <w:tab/>
      </w:r>
      <w:r w:rsidR="004C7E6D">
        <w:t>Article</w:t>
      </w:r>
      <w:r w:rsidR="003B65CF" w:rsidRPr="003B65CF">
        <w:t xml:space="preserve"> </w:t>
      </w:r>
      <w:r w:rsidR="004C7E6D">
        <w:t>13(3a)(b)</w:t>
      </w:r>
      <w:r w:rsidR="00CB3E0D">
        <w:t>.</w:t>
      </w:r>
    </w:p>
    <w:p w:rsidR="004C7E6D" w:rsidRPr="004C7E6D" w:rsidRDefault="006A5F05" w:rsidP="006A5F05">
      <w:pPr>
        <w:pStyle w:val="List1"/>
      </w:pPr>
      <w:r w:rsidRPr="006A5F05">
        <w:t>1</w:t>
      </w:r>
      <w:r w:rsidR="00B62DDC">
        <w:t>4.</w:t>
      </w:r>
      <w:r w:rsidR="003B65CF" w:rsidRPr="003B65CF">
        <w:tab/>
      </w:r>
      <w:r w:rsidR="004C7E6D">
        <w:t>Article</w:t>
      </w:r>
      <w:r w:rsidR="003B65CF" w:rsidRPr="003B65CF">
        <w:t xml:space="preserve"> </w:t>
      </w:r>
      <w:r w:rsidR="004C7E6D">
        <w:t>13(3a)(c)</w:t>
      </w:r>
      <w:r w:rsidR="00CB3E0D">
        <w:t>.</w:t>
      </w:r>
    </w:p>
    <w:p w:rsidR="004C7E6D" w:rsidRPr="004C7E6D" w:rsidRDefault="006A5F05" w:rsidP="006A5F05">
      <w:pPr>
        <w:pStyle w:val="List1"/>
      </w:pPr>
      <w:r w:rsidRPr="006A5F05">
        <w:t>1</w:t>
      </w:r>
      <w:r w:rsidR="00B62DDC">
        <w:t>5.</w:t>
      </w:r>
      <w:r w:rsidR="003B65CF" w:rsidRPr="003B65CF">
        <w:tab/>
      </w:r>
      <w:r w:rsidR="004C7E6D" w:rsidRPr="004C7E6D">
        <w:t>Article</w:t>
      </w:r>
      <w:r w:rsidR="003B65CF" w:rsidRPr="003B65CF">
        <w:t xml:space="preserve"> </w:t>
      </w:r>
      <w:r w:rsidR="004C7E6D" w:rsidRPr="004C7E6D">
        <w:t>13(4),</w:t>
      </w:r>
      <w:r w:rsidR="003B65CF" w:rsidRPr="003B65CF">
        <w:t xml:space="preserve"> </w:t>
      </w:r>
      <w:r w:rsidR="004C7E6D" w:rsidRPr="004C7E6D">
        <w:t>the</w:t>
      </w:r>
      <w:r w:rsidR="003B65CF" w:rsidRPr="003B65CF">
        <w:t xml:space="preserve"> </w:t>
      </w:r>
      <w:r w:rsidR="004C7E6D" w:rsidRPr="004C7E6D">
        <w:t>second</w:t>
      </w:r>
      <w:r w:rsidR="003B65CF" w:rsidRPr="003B65CF">
        <w:t xml:space="preserve"> </w:t>
      </w:r>
      <w:r w:rsidR="004C7E6D" w:rsidRPr="004C7E6D">
        <w:t>subparagraph,</w:t>
      </w:r>
      <w:r w:rsidR="003B65CF" w:rsidRPr="003B65CF">
        <w:t xml:space="preserve"> </w:t>
      </w:r>
      <w:r w:rsidR="004C7E6D" w:rsidRPr="004C7E6D">
        <w:t>as</w:t>
      </w:r>
      <w:r w:rsidR="003B65CF" w:rsidRPr="003B65CF">
        <w:t xml:space="preserve"> </w:t>
      </w:r>
      <w:r w:rsidR="004C7E6D" w:rsidRPr="004C7E6D">
        <w:t>read</w:t>
      </w:r>
      <w:r w:rsidR="003B65CF" w:rsidRPr="003B65CF">
        <w:t xml:space="preserve"> </w:t>
      </w:r>
      <w:r w:rsidR="004C7E6D" w:rsidRPr="004C7E6D">
        <w:t>with</w:t>
      </w:r>
      <w:r w:rsidR="003B65CF" w:rsidRPr="003B65CF">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of</w:t>
      </w:r>
      <w:r w:rsidR="003B65CF" w:rsidRPr="003B65CF">
        <w:t xml:space="preserve"> </w:t>
      </w:r>
      <w:r w:rsidR="004C7E6D" w:rsidRPr="004C7E6D">
        <w:t>Article</w:t>
      </w:r>
      <w:r w:rsidR="003B65CF" w:rsidRPr="003B65CF">
        <w:t xml:space="preserve"> </w:t>
      </w:r>
      <w:r w:rsidR="004C7E6D" w:rsidRPr="004C7E6D">
        <w:t>13(4).</w:t>
      </w:r>
    </w:p>
    <w:p w:rsidR="004C7E6D" w:rsidRDefault="006A5F05" w:rsidP="00B62DDC">
      <w:pPr>
        <w:pStyle w:val="List1"/>
      </w:pPr>
      <w:r w:rsidRPr="006A5F05">
        <w:t>1</w:t>
      </w:r>
      <w:r w:rsidR="00B62DDC">
        <w:t>6.</w:t>
      </w:r>
      <w:r w:rsidR="003B65CF" w:rsidRPr="003B65CF">
        <w:tab/>
      </w:r>
      <w:r w:rsidR="004C7E6D" w:rsidRPr="004C7E6D">
        <w:t>Article</w:t>
      </w:r>
      <w:r w:rsidR="003B65CF" w:rsidRPr="003B65CF">
        <w:t xml:space="preserve"> </w:t>
      </w:r>
      <w:r w:rsidR="004C7E6D" w:rsidRPr="004C7E6D">
        <w:t>13(4),</w:t>
      </w:r>
      <w:r w:rsidR="003B65CF" w:rsidRPr="003B65CF">
        <w:t xml:space="preserve"> </w:t>
      </w:r>
      <w:r w:rsidR="004C7E6D" w:rsidRPr="004C7E6D">
        <w:t>the</w:t>
      </w:r>
      <w:r w:rsidR="003B65CF" w:rsidRPr="003B65CF">
        <w:t xml:space="preserve"> </w:t>
      </w:r>
      <w:r w:rsidR="004C7E6D" w:rsidRPr="004C7E6D">
        <w:t>third</w:t>
      </w:r>
      <w:r w:rsidR="003B65CF" w:rsidRPr="003B65CF">
        <w:t xml:space="preserve"> </w:t>
      </w:r>
      <w:r w:rsidR="004C7E6D" w:rsidRPr="004C7E6D">
        <w:t>subparagraph,</w:t>
      </w:r>
      <w:r w:rsidR="003B65CF" w:rsidRPr="003B65CF">
        <w:t xml:space="preserve"> </w:t>
      </w:r>
      <w:r w:rsidR="004C7E6D" w:rsidRPr="004C7E6D">
        <w:t>as</w:t>
      </w:r>
      <w:r w:rsidR="003B65CF" w:rsidRPr="003B65CF">
        <w:t xml:space="preserve"> </w:t>
      </w:r>
      <w:r w:rsidR="004C7E6D" w:rsidRPr="004C7E6D">
        <w:t>read</w:t>
      </w:r>
      <w:r w:rsidR="003B65CF" w:rsidRPr="003B65CF">
        <w:t xml:space="preserve"> </w:t>
      </w:r>
      <w:r w:rsidR="004C7E6D" w:rsidRPr="004C7E6D">
        <w:t>with</w:t>
      </w:r>
      <w:r w:rsidR="003B65CF" w:rsidRPr="003B65CF">
        <w:t xml:space="preserve"> </w:t>
      </w:r>
      <w:r w:rsidR="004C7E6D" w:rsidRPr="004C7E6D">
        <w:t>the</w:t>
      </w:r>
      <w:r w:rsidR="003B65CF" w:rsidRPr="003B65CF">
        <w:t xml:space="preserve"> </w:t>
      </w:r>
      <w:r w:rsidR="004C7E6D" w:rsidRPr="004C7E6D">
        <w:t>first</w:t>
      </w:r>
      <w:r w:rsidR="003B65CF" w:rsidRPr="003B65CF">
        <w:t xml:space="preserve"> </w:t>
      </w:r>
      <w:r w:rsidR="004C7E6D" w:rsidRPr="004C7E6D">
        <w:t>subparagraph</w:t>
      </w:r>
      <w:r w:rsidR="003B65CF" w:rsidRPr="003B65CF">
        <w:t xml:space="preserve"> </w:t>
      </w:r>
      <w:r w:rsidR="004C7E6D" w:rsidRPr="004C7E6D">
        <w:t>of</w:t>
      </w:r>
      <w:r w:rsidR="003B65CF" w:rsidRPr="003B65CF">
        <w:t xml:space="preserve"> </w:t>
      </w:r>
      <w:r w:rsidR="004C7E6D" w:rsidRPr="004C7E6D">
        <w:t>Article</w:t>
      </w:r>
      <w:r w:rsidR="003B65CF" w:rsidRPr="003B65CF">
        <w:t xml:space="preserve"> </w:t>
      </w:r>
      <w:r w:rsidR="004C7E6D" w:rsidRPr="004C7E6D">
        <w:t>13(4).</w:t>
      </w:r>
    </w:p>
    <w:p w:rsidR="00CB3E0D" w:rsidRPr="004C7E6D" w:rsidRDefault="00CB3E0D" w:rsidP="00CB3E0D">
      <w:pPr>
        <w:pStyle w:val="List1"/>
      </w:pPr>
      <w:r w:rsidRPr="006A5F05">
        <w:t>1</w:t>
      </w:r>
      <w:r>
        <w:t>7.</w:t>
      </w:r>
      <w:r w:rsidR="003B65CF" w:rsidRPr="003B65CF">
        <w:tab/>
      </w:r>
      <w:r>
        <w:t>Article</w:t>
      </w:r>
      <w:r w:rsidR="003B65CF" w:rsidRPr="003B65CF">
        <w:t xml:space="preserve"> </w:t>
      </w:r>
      <w:r>
        <w:t>13(5),</w:t>
      </w:r>
      <w:r w:rsidR="003B65CF" w:rsidRPr="003B65CF">
        <w:t xml:space="preserve"> </w:t>
      </w:r>
      <w:r>
        <w:t>second</w:t>
      </w:r>
      <w:r w:rsidR="003B65CF" w:rsidRPr="003B65CF">
        <w:t xml:space="preserve"> </w:t>
      </w:r>
      <w:r>
        <w:t>sentence.</w:t>
      </w:r>
    </w:p>
    <w:p w:rsidR="006A5F05" w:rsidRPr="004C7E6D" w:rsidRDefault="006A5F05" w:rsidP="006A5F05">
      <w:pPr>
        <w:pStyle w:val="List1"/>
      </w:pPr>
      <w:r w:rsidRPr="006A5F05">
        <w:t>1</w:t>
      </w:r>
      <w:r w:rsidR="00CB3E0D">
        <w:t>8</w:t>
      </w:r>
      <w:r w:rsidR="00B62DDC">
        <w:t>.</w:t>
      </w:r>
      <w:r w:rsidR="003B65CF" w:rsidRPr="003B65CF">
        <w:tab/>
      </w:r>
      <w:r>
        <w:t>Article</w:t>
      </w:r>
      <w:r w:rsidR="003B65CF" w:rsidRPr="003B65CF">
        <w:t xml:space="preserve"> </w:t>
      </w:r>
      <w:r>
        <w:t>15</w:t>
      </w:r>
      <w:r w:rsidR="00CB3E0D">
        <w:t>.</w:t>
      </w:r>
    </w:p>
    <w:p w:rsidR="009A40A5" w:rsidRPr="004C7E6D" w:rsidRDefault="006A5F05" w:rsidP="006A5F05">
      <w:pPr>
        <w:pStyle w:val="List1"/>
      </w:pPr>
      <w:r w:rsidRPr="006A5F05">
        <w:t>1</w:t>
      </w:r>
      <w:r w:rsidR="00CB3E0D">
        <w:t>9</w:t>
      </w:r>
      <w:r w:rsidR="00B62DDC">
        <w:t>.</w:t>
      </w:r>
      <w:r w:rsidR="003B65CF" w:rsidRPr="003B65CF">
        <w:tab/>
      </w:r>
      <w:r>
        <w:t>Article</w:t>
      </w:r>
      <w:r w:rsidR="003B65CF" w:rsidRPr="003B65CF">
        <w:t xml:space="preserve"> </w:t>
      </w:r>
      <w:r>
        <w:t>17</w:t>
      </w:r>
      <w:r w:rsidR="00CB3E0D">
        <w:t>.</w:t>
      </w:r>
    </w:p>
    <w:p w:rsidR="009A40A5" w:rsidRDefault="003B65CF">
      <w:pPr>
        <w:pStyle w:val="Schedule"/>
        <w:rPr>
          <w:rStyle w:val="Ref"/>
        </w:rPr>
      </w:pPr>
      <w:r w:rsidRPr="003B65CF">
        <w:lastRenderedPageBreak/>
        <w:tab/>
      </w:r>
      <w:r w:rsidR="009A40A5">
        <w:t>SCHEDULE</w:t>
      </w:r>
      <w:r w:rsidRPr="003B65CF">
        <w:t xml:space="preserve"> </w:t>
      </w:r>
      <w:r w:rsidR="009A40A5">
        <w:rPr>
          <w:noProof/>
        </w:rPr>
        <w:fldChar w:fldCharType="begin"/>
      </w:r>
      <w:r w:rsidR="009A40A5">
        <w:rPr>
          <w:noProof/>
        </w:rPr>
        <w:instrText xml:space="preserve"> SEQ schedule\* arabic </w:instrText>
      </w:r>
      <w:r w:rsidR="009A40A5">
        <w:rPr>
          <w:noProof/>
        </w:rPr>
        <w:fldChar w:fldCharType="separate"/>
      </w:r>
      <w:r>
        <w:rPr>
          <w:noProof/>
        </w:rPr>
        <w:t>3</w:t>
      </w:r>
      <w:r w:rsidR="009A40A5">
        <w:rPr>
          <w:noProof/>
        </w:rPr>
        <w:fldChar w:fldCharType="end"/>
      </w:r>
      <w:r w:rsidRPr="003B65CF">
        <w:tab/>
      </w:r>
      <w:r w:rsidR="009A40A5">
        <w:rPr>
          <w:rStyle w:val="Ref"/>
        </w:rPr>
        <w:t>Regulation</w:t>
      </w:r>
      <w:r w:rsidRPr="003B65CF">
        <w:rPr>
          <w:rStyle w:val="Ref"/>
        </w:rPr>
        <w:t xml:space="preserve"> </w:t>
      </w:r>
      <w:r w:rsidR="009A40A5">
        <w:rPr>
          <w:rStyle w:val="Ref"/>
        </w:rPr>
        <w:t>22</w:t>
      </w:r>
      <w:r w:rsidR="00C14DEC">
        <w:rPr>
          <w:rStyle w:val="Ref"/>
        </w:rPr>
        <w:t>(2)</w:t>
      </w:r>
    </w:p>
    <w:p w:rsidR="009A40A5" w:rsidRPr="009A40A5" w:rsidRDefault="009A40A5" w:rsidP="009A40A5">
      <w:pPr>
        <w:pStyle w:val="ScheduleHead"/>
      </w:pPr>
      <w:r w:rsidRPr="009A40A5">
        <w:t>FACTORS</w:t>
      </w:r>
      <w:r w:rsidR="003B65CF" w:rsidRPr="003B65CF">
        <w:t xml:space="preserve"> </w:t>
      </w:r>
      <w:r w:rsidRPr="009A40A5">
        <w:t>TO</w:t>
      </w:r>
      <w:r w:rsidR="003B65CF" w:rsidRPr="003B65CF">
        <w:t xml:space="preserve"> </w:t>
      </w:r>
      <w:r w:rsidRPr="009A40A5">
        <w:t>BE</w:t>
      </w:r>
      <w:r w:rsidR="003B65CF" w:rsidRPr="003B65CF">
        <w:t xml:space="preserve"> </w:t>
      </w:r>
      <w:r w:rsidRPr="009A40A5">
        <w:t>TAKEN</w:t>
      </w:r>
      <w:r w:rsidR="003B65CF" w:rsidRPr="003B65CF">
        <w:t xml:space="preserve"> </w:t>
      </w:r>
      <w:r w:rsidRPr="009A40A5">
        <w:t>INTO</w:t>
      </w:r>
      <w:r w:rsidR="003B65CF" w:rsidRPr="003B65CF">
        <w:t xml:space="preserve"> </w:t>
      </w:r>
      <w:r w:rsidRPr="009A40A5">
        <w:t>ACCOUNT</w:t>
      </w:r>
      <w:r w:rsidR="003B65CF" w:rsidRPr="003B65CF">
        <w:t xml:space="preserve"> </w:t>
      </w:r>
      <w:r w:rsidRPr="009A40A5">
        <w:t>IN</w:t>
      </w:r>
      <w:r w:rsidR="003B65CF" w:rsidRPr="003B65CF">
        <w:t xml:space="preserve"> </w:t>
      </w:r>
      <w:r w:rsidRPr="009A40A5">
        <w:t>DETERMINING</w:t>
      </w:r>
      <w:r w:rsidR="003B65CF" w:rsidRPr="003B65CF">
        <w:t xml:space="preserve"> </w:t>
      </w:r>
      <w:r w:rsidRPr="009A40A5">
        <w:t>THE</w:t>
      </w:r>
      <w:r w:rsidR="003B65CF" w:rsidRPr="003B65CF">
        <w:t xml:space="preserve"> </w:t>
      </w:r>
      <w:r w:rsidRPr="009A40A5">
        <w:t>AMOUNT</w:t>
      </w:r>
      <w:r w:rsidR="003B65CF" w:rsidRPr="003B65CF">
        <w:t xml:space="preserve"> </w:t>
      </w:r>
      <w:r w:rsidRPr="009A40A5">
        <w:t>OF</w:t>
      </w:r>
      <w:r w:rsidR="003B65CF" w:rsidRPr="003B65CF">
        <w:t xml:space="preserve"> </w:t>
      </w:r>
      <w:r w:rsidRPr="009A40A5">
        <w:t>A</w:t>
      </w:r>
      <w:r w:rsidR="003B65CF" w:rsidRPr="003B65CF">
        <w:t xml:space="preserve"> </w:t>
      </w:r>
      <w:r w:rsidRPr="009A40A5">
        <w:t>PENALTY</w:t>
      </w:r>
    </w:p>
    <w:p w:rsidR="009A40A5" w:rsidRDefault="009A40A5">
      <w:pPr>
        <w:pStyle w:val="Part"/>
        <w:rPr>
          <w:noProof/>
        </w:rPr>
      </w:pPr>
      <w:r>
        <w:t>PART</w:t>
      </w:r>
      <w:r w:rsidR="003B65CF" w:rsidRPr="003B65CF">
        <w:t xml:space="preserve"> </w:t>
      </w:r>
      <w:r>
        <w:rPr>
          <w:noProof/>
        </w:rPr>
        <w:fldChar w:fldCharType="begin"/>
      </w:r>
      <w:r>
        <w:rPr>
          <w:noProof/>
        </w:rPr>
        <w:instrText xml:space="preserve"> SEQ Part_ \* arabic \r 1</w:instrText>
      </w:r>
      <w:r>
        <w:rPr>
          <w:noProof/>
        </w:rPr>
        <w:fldChar w:fldCharType="separate"/>
      </w:r>
      <w:r w:rsidR="003B65CF">
        <w:rPr>
          <w:noProof/>
        </w:rPr>
        <w:t>1</w:t>
      </w:r>
      <w:r>
        <w:rPr>
          <w:noProof/>
        </w:rPr>
        <w:fldChar w:fldCharType="end"/>
      </w:r>
    </w:p>
    <w:p w:rsidR="009A40A5" w:rsidRDefault="009A40A5" w:rsidP="009A40A5">
      <w:pPr>
        <w:pStyle w:val="PartHead"/>
      </w:pPr>
      <w:r>
        <w:t>Aggravating</w:t>
      </w:r>
      <w:r w:rsidR="003B65CF" w:rsidRPr="003B65CF">
        <w:t xml:space="preserve"> </w:t>
      </w:r>
      <w:r>
        <w:t>Factors</w:t>
      </w:r>
    </w:p>
    <w:p w:rsidR="009A40A5" w:rsidRPr="009A40A5" w:rsidRDefault="00E31902" w:rsidP="00E31902">
      <w:pPr>
        <w:pStyle w:val="List1"/>
      </w:pPr>
      <w:r w:rsidRPr="00E31902">
        <w:t>1</w:t>
      </w:r>
      <w:r>
        <w:t>)</w:t>
      </w:r>
      <w:r w:rsidR="003B65CF" w:rsidRPr="003B65CF">
        <w:tab/>
      </w:r>
      <w:r w:rsidR="009A40A5" w:rsidRPr="009A40A5">
        <w:t>Seriousness</w:t>
      </w:r>
      <w:r w:rsidR="003B65CF" w:rsidRPr="003B65CF">
        <w:t xml:space="preserve"> </w:t>
      </w:r>
      <w:r w:rsidR="009A40A5" w:rsidRPr="009A40A5">
        <w:t>of</w:t>
      </w:r>
      <w:r w:rsidR="003B65CF" w:rsidRPr="003B65CF">
        <w:t xml:space="preserve"> </w:t>
      </w:r>
      <w:r w:rsidR="009A40A5" w:rsidRPr="009A40A5">
        <w:t>the</w:t>
      </w:r>
      <w:r w:rsidR="003B65CF" w:rsidRPr="003B65CF">
        <w:t xml:space="preserve"> </w:t>
      </w:r>
      <w:r w:rsidR="009A40A5" w:rsidRPr="009A40A5">
        <w:t>non-compliance.</w:t>
      </w:r>
    </w:p>
    <w:p w:rsidR="009A40A5" w:rsidRPr="009A40A5" w:rsidRDefault="00E31902" w:rsidP="00E31902">
      <w:pPr>
        <w:pStyle w:val="List1"/>
      </w:pPr>
      <w:r w:rsidRPr="00E31902">
        <w:t>2</w:t>
      </w:r>
      <w:r>
        <w:t>)</w:t>
      </w:r>
      <w:r w:rsidR="003B65CF" w:rsidRPr="003B65CF">
        <w:tab/>
      </w:r>
      <w:r w:rsidR="009A40A5" w:rsidRPr="009A40A5">
        <w:t>Harm</w:t>
      </w:r>
      <w:r w:rsidR="003B65CF" w:rsidRPr="003B65CF">
        <w:t xml:space="preserve"> </w:t>
      </w:r>
      <w:r w:rsidR="009A40A5" w:rsidRPr="009A40A5">
        <w:t>or</w:t>
      </w:r>
      <w:r w:rsidR="003B65CF" w:rsidRPr="003B65CF">
        <w:t xml:space="preserve"> </w:t>
      </w:r>
      <w:r w:rsidR="009A40A5" w:rsidRPr="009A40A5">
        <w:t>potential</w:t>
      </w:r>
      <w:r w:rsidR="003B65CF" w:rsidRPr="003B65CF">
        <w:t xml:space="preserve"> </w:t>
      </w:r>
      <w:r w:rsidR="009A40A5" w:rsidRPr="009A40A5">
        <w:t>harm</w:t>
      </w:r>
      <w:r w:rsidR="003B65CF" w:rsidRPr="003B65CF">
        <w:t xml:space="preserve"> </w:t>
      </w:r>
      <w:r w:rsidR="009A40A5" w:rsidRPr="009A40A5">
        <w:t>to</w:t>
      </w:r>
      <w:r w:rsidR="003B65CF" w:rsidRPr="003B65CF">
        <w:t xml:space="preserve"> </w:t>
      </w:r>
      <w:r w:rsidR="009A40A5" w:rsidRPr="009A40A5">
        <w:t>human</w:t>
      </w:r>
      <w:r w:rsidR="003B65CF" w:rsidRPr="003B65CF">
        <w:t xml:space="preserve"> </w:t>
      </w:r>
      <w:r w:rsidR="009A40A5" w:rsidRPr="009A40A5">
        <w:t>health.</w:t>
      </w:r>
    </w:p>
    <w:p w:rsidR="009A40A5" w:rsidRPr="009A40A5" w:rsidRDefault="00E31902" w:rsidP="00E31902">
      <w:pPr>
        <w:pStyle w:val="List1"/>
      </w:pPr>
      <w:r w:rsidRPr="00E31902">
        <w:t>3</w:t>
      </w:r>
      <w:r>
        <w:t>)</w:t>
      </w:r>
      <w:r w:rsidR="003B65CF" w:rsidRPr="003B65CF">
        <w:tab/>
      </w:r>
      <w:r w:rsidR="009A40A5" w:rsidRPr="009A40A5">
        <w:t>Financial</w:t>
      </w:r>
      <w:r w:rsidR="003B65CF" w:rsidRPr="003B65CF">
        <w:t xml:space="preserve"> </w:t>
      </w:r>
      <w:r w:rsidR="009A40A5" w:rsidRPr="009A40A5">
        <w:t>harm</w:t>
      </w:r>
      <w:r w:rsidR="003B65CF" w:rsidRPr="003B65CF">
        <w:t xml:space="preserve"> </w:t>
      </w:r>
      <w:r w:rsidR="009A40A5" w:rsidRPr="009A40A5">
        <w:t>to</w:t>
      </w:r>
      <w:r w:rsidR="003B65CF" w:rsidRPr="003B65CF">
        <w:t xml:space="preserve"> </w:t>
      </w:r>
      <w:r w:rsidR="009A40A5" w:rsidRPr="009A40A5">
        <w:t>consumers.</w:t>
      </w:r>
    </w:p>
    <w:p w:rsidR="009A40A5" w:rsidRPr="009A40A5" w:rsidRDefault="00E31902" w:rsidP="00E31902">
      <w:pPr>
        <w:pStyle w:val="List1"/>
      </w:pPr>
      <w:r w:rsidRPr="00E31902">
        <w:t>4</w:t>
      </w:r>
      <w:r>
        <w:t>)</w:t>
      </w:r>
      <w:r w:rsidR="003B65CF" w:rsidRPr="003B65CF">
        <w:tab/>
      </w:r>
      <w:r w:rsidR="009A40A5" w:rsidRPr="009A40A5">
        <w:t>Financial</w:t>
      </w:r>
      <w:r w:rsidR="003B65CF" w:rsidRPr="003B65CF">
        <w:t xml:space="preserve"> </w:t>
      </w:r>
      <w:r w:rsidR="009A40A5" w:rsidRPr="009A40A5">
        <w:t>harm</w:t>
      </w:r>
      <w:r w:rsidR="003B65CF" w:rsidRPr="003B65CF">
        <w:t xml:space="preserve"> </w:t>
      </w:r>
      <w:r w:rsidR="009A40A5" w:rsidRPr="009A40A5">
        <w:t>to</w:t>
      </w:r>
      <w:r w:rsidR="003B65CF" w:rsidRPr="003B65CF">
        <w:t xml:space="preserve"> </w:t>
      </w:r>
      <w:r w:rsidR="009A40A5" w:rsidRPr="009A40A5">
        <w:t>competitors.</w:t>
      </w:r>
    </w:p>
    <w:p w:rsidR="009A40A5" w:rsidRPr="009A40A5" w:rsidRDefault="00E31902" w:rsidP="00E31902">
      <w:pPr>
        <w:pStyle w:val="List1"/>
      </w:pPr>
      <w:r w:rsidRPr="00E31902">
        <w:t>5</w:t>
      </w:r>
      <w:r>
        <w:t>)</w:t>
      </w:r>
      <w:r w:rsidR="003B65CF" w:rsidRPr="003B65CF">
        <w:tab/>
      </w:r>
      <w:r w:rsidR="009A40A5" w:rsidRPr="009A40A5">
        <w:t>Duration</w:t>
      </w:r>
      <w:r w:rsidR="003B65CF" w:rsidRPr="003B65CF">
        <w:t xml:space="preserve"> </w:t>
      </w:r>
      <w:r w:rsidR="009A40A5" w:rsidRPr="009A40A5">
        <w:t>of</w:t>
      </w:r>
      <w:r w:rsidR="003B65CF" w:rsidRPr="003B65CF">
        <w:t xml:space="preserve"> </w:t>
      </w:r>
      <w:r w:rsidR="009A40A5" w:rsidRPr="009A40A5">
        <w:t>non-compliance.</w:t>
      </w:r>
    </w:p>
    <w:p w:rsidR="009A40A5" w:rsidRPr="009A40A5" w:rsidRDefault="00E31902" w:rsidP="00E31902">
      <w:pPr>
        <w:pStyle w:val="List1"/>
      </w:pPr>
      <w:r w:rsidRPr="00E31902">
        <w:t>6</w:t>
      </w:r>
      <w:r>
        <w:t>)</w:t>
      </w:r>
      <w:r w:rsidR="003B65CF" w:rsidRPr="003B65CF">
        <w:tab/>
      </w:r>
      <w:r w:rsidR="009A40A5" w:rsidRPr="009A40A5">
        <w:t>Evidence</w:t>
      </w:r>
      <w:r w:rsidR="003B65CF" w:rsidRPr="003B65CF">
        <w:t xml:space="preserve"> </w:t>
      </w:r>
      <w:r w:rsidR="009A40A5" w:rsidRPr="009A40A5">
        <w:t>of</w:t>
      </w:r>
      <w:r w:rsidR="003B65CF" w:rsidRPr="003B65CF">
        <w:t xml:space="preserve"> </w:t>
      </w:r>
      <w:r w:rsidR="009A40A5" w:rsidRPr="009A40A5">
        <w:t>intention</w:t>
      </w:r>
      <w:r w:rsidR="003B65CF" w:rsidRPr="003B65CF">
        <w:t xml:space="preserve"> </w:t>
      </w:r>
      <w:r w:rsidR="009A40A5" w:rsidRPr="009A40A5">
        <w:t>behind</w:t>
      </w:r>
      <w:r w:rsidR="003B65CF" w:rsidRPr="003B65CF">
        <w:t xml:space="preserve"> </w:t>
      </w:r>
      <w:r w:rsidR="009A40A5" w:rsidRPr="009A40A5">
        <w:t>the</w:t>
      </w:r>
      <w:r w:rsidR="003B65CF" w:rsidRPr="003B65CF">
        <w:t xml:space="preserve"> </w:t>
      </w:r>
      <w:r w:rsidR="009A40A5" w:rsidRPr="009A40A5">
        <w:t>non-compliance.</w:t>
      </w:r>
    </w:p>
    <w:p w:rsidR="009A40A5" w:rsidRPr="009A40A5" w:rsidRDefault="00E31902" w:rsidP="00E31902">
      <w:pPr>
        <w:pStyle w:val="List1"/>
      </w:pPr>
      <w:r w:rsidRPr="00E31902">
        <w:t>7</w:t>
      </w:r>
      <w:r>
        <w:t>)</w:t>
      </w:r>
      <w:r w:rsidR="003B65CF" w:rsidRPr="003B65CF">
        <w:tab/>
      </w:r>
      <w:r w:rsidR="009A40A5" w:rsidRPr="009A40A5">
        <w:t>History</w:t>
      </w:r>
      <w:r w:rsidR="003B65CF" w:rsidRPr="003B65CF">
        <w:t xml:space="preserve"> </w:t>
      </w:r>
      <w:r w:rsidR="009A40A5" w:rsidRPr="009A40A5">
        <w:t>of</w:t>
      </w:r>
      <w:r w:rsidR="003B65CF" w:rsidRPr="003B65CF">
        <w:t xml:space="preserve"> </w:t>
      </w:r>
      <w:r w:rsidR="009A40A5" w:rsidRPr="009A40A5">
        <w:t>non-compliance</w:t>
      </w:r>
      <w:r w:rsidR="003B65CF" w:rsidRPr="003B65CF">
        <w:t xml:space="preserve"> </w:t>
      </w:r>
      <w:r w:rsidR="009A40A5" w:rsidRPr="009A40A5">
        <w:t>of</w:t>
      </w:r>
      <w:r w:rsidR="003B65CF" w:rsidRPr="003B65CF">
        <w:t xml:space="preserve"> </w:t>
      </w:r>
      <w:r w:rsidR="009A40A5" w:rsidRPr="009A40A5">
        <w:t>the</w:t>
      </w:r>
      <w:r w:rsidR="003B65CF" w:rsidRPr="003B65CF">
        <w:t xml:space="preserve"> </w:t>
      </w:r>
      <w:r w:rsidR="009A40A5" w:rsidRPr="009A40A5">
        <w:t>person</w:t>
      </w:r>
      <w:r w:rsidR="003B65CF" w:rsidRPr="003B65CF">
        <w:t xml:space="preserve"> </w:t>
      </w:r>
      <w:r w:rsidR="009A40A5" w:rsidRPr="009A40A5">
        <w:t>(“P”)</w:t>
      </w:r>
      <w:r w:rsidR="003B65CF" w:rsidRPr="003B65CF">
        <w:t xml:space="preserve"> </w:t>
      </w:r>
      <w:r w:rsidR="009A40A5" w:rsidRPr="009A40A5">
        <w:t>to</w:t>
      </w:r>
      <w:r w:rsidR="003B65CF" w:rsidRPr="003B65CF">
        <w:t xml:space="preserve"> </w:t>
      </w:r>
      <w:r w:rsidR="009A40A5" w:rsidRPr="009A40A5">
        <w:t>whom</w:t>
      </w:r>
      <w:r w:rsidR="003B65CF" w:rsidRPr="003B65CF">
        <w:t xml:space="preserve"> </w:t>
      </w:r>
      <w:r w:rsidR="009A40A5" w:rsidRPr="009A40A5">
        <w:t>the</w:t>
      </w:r>
      <w:r w:rsidR="003B65CF" w:rsidRPr="003B65CF">
        <w:t xml:space="preserve"> </w:t>
      </w:r>
      <w:r w:rsidR="009A40A5" w:rsidRPr="009A40A5">
        <w:t>penalty</w:t>
      </w:r>
      <w:r w:rsidR="003B65CF" w:rsidRPr="003B65CF">
        <w:t xml:space="preserve"> </w:t>
      </w:r>
      <w:r w:rsidR="009A40A5" w:rsidRPr="009A40A5">
        <w:t>notice</w:t>
      </w:r>
      <w:r w:rsidR="003B65CF" w:rsidRPr="003B65CF">
        <w:t xml:space="preserve"> </w:t>
      </w:r>
      <w:r w:rsidR="009A40A5" w:rsidRPr="009A40A5">
        <w:t>is</w:t>
      </w:r>
      <w:r w:rsidR="003B65CF" w:rsidRPr="003B65CF">
        <w:t xml:space="preserve"> </w:t>
      </w:r>
      <w:r w:rsidR="009A40A5" w:rsidRPr="009A40A5">
        <w:t>to</w:t>
      </w:r>
      <w:r w:rsidR="003B65CF" w:rsidRPr="003B65CF">
        <w:t xml:space="preserve"> </w:t>
      </w:r>
      <w:r w:rsidR="009A40A5" w:rsidRPr="009A40A5">
        <w:t>be</w:t>
      </w:r>
      <w:r w:rsidR="003B65CF" w:rsidRPr="003B65CF">
        <w:t xml:space="preserve"> </w:t>
      </w:r>
      <w:r w:rsidR="009A40A5" w:rsidRPr="009A40A5">
        <w:t>given.</w:t>
      </w:r>
    </w:p>
    <w:p w:rsidR="009A40A5" w:rsidRPr="009A40A5" w:rsidRDefault="00E31902" w:rsidP="00E31902">
      <w:pPr>
        <w:pStyle w:val="List1"/>
      </w:pPr>
      <w:r w:rsidRPr="00E31902">
        <w:t>8</w:t>
      </w:r>
      <w:r>
        <w:t>)</w:t>
      </w:r>
      <w:r w:rsidR="003B65CF" w:rsidRPr="003B65CF">
        <w:tab/>
      </w:r>
      <w:r w:rsidR="009A40A5" w:rsidRPr="009A40A5">
        <w:t>Financial</w:t>
      </w:r>
      <w:r w:rsidR="003B65CF" w:rsidRPr="003B65CF">
        <w:t xml:space="preserve"> </w:t>
      </w:r>
      <w:r w:rsidR="009A40A5" w:rsidRPr="009A40A5">
        <w:t>gain</w:t>
      </w:r>
      <w:r w:rsidR="003B65CF" w:rsidRPr="003B65CF">
        <w:t xml:space="preserve"> </w:t>
      </w:r>
      <w:r w:rsidR="009A40A5" w:rsidRPr="009A40A5">
        <w:t>made</w:t>
      </w:r>
      <w:r w:rsidR="003B65CF" w:rsidRPr="003B65CF">
        <w:t xml:space="preserve"> </w:t>
      </w:r>
      <w:r w:rsidR="009A40A5" w:rsidRPr="009A40A5">
        <w:t>by</w:t>
      </w:r>
      <w:r w:rsidR="003B65CF" w:rsidRPr="003B65CF">
        <w:t xml:space="preserve"> </w:t>
      </w:r>
      <w:r w:rsidR="009A40A5" w:rsidRPr="009A40A5">
        <w:t>P</w:t>
      </w:r>
      <w:r w:rsidR="003B65CF" w:rsidRPr="003B65CF">
        <w:t xml:space="preserve"> </w:t>
      </w:r>
      <w:r w:rsidR="009A40A5" w:rsidRPr="009A40A5">
        <w:t>as</w:t>
      </w:r>
      <w:r w:rsidR="003B65CF" w:rsidRPr="003B65CF">
        <w:t xml:space="preserve"> </w:t>
      </w:r>
      <w:r w:rsidR="009A40A5" w:rsidRPr="009A40A5">
        <w:t>a</w:t>
      </w:r>
      <w:r w:rsidR="003B65CF" w:rsidRPr="003B65CF">
        <w:t xml:space="preserve"> </w:t>
      </w:r>
      <w:r w:rsidR="009A40A5" w:rsidRPr="009A40A5">
        <w:t>result</w:t>
      </w:r>
      <w:r w:rsidR="003B65CF" w:rsidRPr="003B65CF">
        <w:t xml:space="preserve"> </w:t>
      </w:r>
      <w:r w:rsidR="009A40A5" w:rsidRPr="009A40A5">
        <w:t>of</w:t>
      </w:r>
      <w:r w:rsidR="003B65CF" w:rsidRPr="003B65CF">
        <w:t xml:space="preserve"> </w:t>
      </w:r>
      <w:r w:rsidR="009A40A5" w:rsidRPr="009A40A5">
        <w:t>non-compliance.</w:t>
      </w:r>
    </w:p>
    <w:p w:rsidR="009A40A5" w:rsidRPr="009A40A5" w:rsidRDefault="00E31902" w:rsidP="00E31902">
      <w:pPr>
        <w:pStyle w:val="List1"/>
      </w:pPr>
      <w:r w:rsidRPr="00E31902">
        <w:t>9</w:t>
      </w:r>
      <w:r>
        <w:t>)</w:t>
      </w:r>
      <w:r w:rsidR="003B65CF" w:rsidRPr="003B65CF">
        <w:tab/>
      </w:r>
      <w:r w:rsidR="009A40A5" w:rsidRPr="009A40A5">
        <w:t>Financial</w:t>
      </w:r>
      <w:r w:rsidR="003B65CF" w:rsidRPr="003B65CF">
        <w:t xml:space="preserve"> </w:t>
      </w:r>
      <w:r w:rsidR="009A40A5" w:rsidRPr="009A40A5">
        <w:t>resources</w:t>
      </w:r>
      <w:r w:rsidR="003B65CF" w:rsidRPr="003B65CF">
        <w:t xml:space="preserve"> </w:t>
      </w:r>
      <w:r w:rsidR="009A40A5" w:rsidRPr="009A40A5">
        <w:t>of</w:t>
      </w:r>
      <w:r w:rsidR="003B65CF" w:rsidRPr="003B65CF">
        <w:t xml:space="preserve"> </w:t>
      </w:r>
      <w:r w:rsidR="009A40A5" w:rsidRPr="009A40A5">
        <w:t>P.</w:t>
      </w:r>
    </w:p>
    <w:p w:rsidR="009A40A5" w:rsidRPr="009A40A5" w:rsidRDefault="00E31902" w:rsidP="00E31902">
      <w:pPr>
        <w:pStyle w:val="List1"/>
      </w:pPr>
      <w:r w:rsidRPr="00E31902">
        <w:t>1</w:t>
      </w:r>
      <w:r>
        <w:t>0)</w:t>
      </w:r>
      <w:r w:rsidR="003B65CF" w:rsidRPr="003B65CF">
        <w:tab/>
      </w:r>
      <w:r w:rsidR="009A40A5" w:rsidRPr="009A40A5">
        <w:t>Size</w:t>
      </w:r>
      <w:r w:rsidR="003B65CF" w:rsidRPr="003B65CF">
        <w:t xml:space="preserve"> </w:t>
      </w:r>
      <w:r w:rsidR="009A40A5" w:rsidRPr="009A40A5">
        <w:t>of</w:t>
      </w:r>
      <w:r w:rsidR="003B65CF" w:rsidRPr="003B65CF">
        <w:t xml:space="preserve"> </w:t>
      </w:r>
      <w:r w:rsidR="009A40A5" w:rsidRPr="009A40A5">
        <w:t>P’s</w:t>
      </w:r>
      <w:r w:rsidR="003B65CF" w:rsidRPr="003B65CF">
        <w:t xml:space="preserve"> </w:t>
      </w:r>
      <w:r w:rsidR="009A40A5" w:rsidRPr="009A40A5">
        <w:t>business.</w:t>
      </w:r>
    </w:p>
    <w:p w:rsidR="009A40A5" w:rsidRPr="009A40A5" w:rsidRDefault="00E31902" w:rsidP="00E31902">
      <w:pPr>
        <w:pStyle w:val="List1"/>
      </w:pPr>
      <w:r w:rsidRPr="00E31902">
        <w:t>1</w:t>
      </w:r>
      <w:r>
        <w:t>1)</w:t>
      </w:r>
      <w:r w:rsidR="003B65CF" w:rsidRPr="003B65CF">
        <w:tab/>
      </w:r>
      <w:r w:rsidR="009A40A5" w:rsidRPr="009A40A5">
        <w:t>Availability</w:t>
      </w:r>
      <w:r w:rsidR="003B65CF" w:rsidRPr="003B65CF">
        <w:t xml:space="preserve"> </w:t>
      </w:r>
      <w:r w:rsidR="009A40A5" w:rsidRPr="009A40A5">
        <w:t>of</w:t>
      </w:r>
      <w:r w:rsidR="003B65CF" w:rsidRPr="003B65CF">
        <w:t xml:space="preserve"> </w:t>
      </w:r>
      <w:r w:rsidR="009A40A5" w:rsidRPr="009A40A5">
        <w:t>non-compliant</w:t>
      </w:r>
      <w:r w:rsidR="003B65CF" w:rsidRPr="003B65CF">
        <w:t xml:space="preserve"> </w:t>
      </w:r>
      <w:r w:rsidR="009A40A5" w:rsidRPr="009A40A5">
        <w:t>product,</w:t>
      </w:r>
      <w:r w:rsidR="003B65CF" w:rsidRPr="003B65CF">
        <w:t xml:space="preserve"> </w:t>
      </w:r>
      <w:r w:rsidR="009A40A5" w:rsidRPr="009A40A5">
        <w:t>including</w:t>
      </w:r>
      <w:r w:rsidR="003B65CF" w:rsidRPr="003B65CF">
        <w:t xml:space="preserve"> </w:t>
      </w:r>
      <w:r w:rsidR="009A40A5" w:rsidRPr="009A40A5">
        <w:t>the</w:t>
      </w:r>
      <w:r w:rsidR="003B65CF" w:rsidRPr="003B65CF">
        <w:t xml:space="preserve"> </w:t>
      </w:r>
      <w:r w:rsidR="009A40A5" w:rsidRPr="009A40A5">
        <w:t>number</w:t>
      </w:r>
      <w:r w:rsidR="003B65CF" w:rsidRPr="003B65CF">
        <w:t xml:space="preserve"> </w:t>
      </w:r>
      <w:r w:rsidR="009A40A5" w:rsidRPr="009A40A5">
        <w:t>of</w:t>
      </w:r>
      <w:r w:rsidR="003B65CF" w:rsidRPr="003B65CF">
        <w:t xml:space="preserve"> </w:t>
      </w:r>
      <w:r w:rsidR="009A40A5" w:rsidRPr="009A40A5">
        <w:t>retail</w:t>
      </w:r>
      <w:r w:rsidR="003B65CF" w:rsidRPr="003B65CF">
        <w:t xml:space="preserve"> </w:t>
      </w:r>
      <w:r w:rsidR="009A40A5" w:rsidRPr="009A40A5">
        <w:t>shops</w:t>
      </w:r>
      <w:r w:rsidR="003B65CF" w:rsidRPr="003B65CF">
        <w:t xml:space="preserve"> </w:t>
      </w:r>
      <w:r w:rsidR="009A40A5" w:rsidRPr="009A40A5">
        <w:t>in</w:t>
      </w:r>
      <w:r w:rsidR="003B65CF" w:rsidRPr="003B65CF">
        <w:t xml:space="preserve"> </w:t>
      </w:r>
      <w:r w:rsidR="009A40A5" w:rsidRPr="009A40A5">
        <w:t>which</w:t>
      </w:r>
      <w:r w:rsidR="003B65CF" w:rsidRPr="003B65CF">
        <w:t xml:space="preserve"> </w:t>
      </w:r>
      <w:r w:rsidR="009A40A5" w:rsidRPr="009A40A5">
        <w:t>it</w:t>
      </w:r>
      <w:r w:rsidR="003B65CF" w:rsidRPr="003B65CF">
        <w:t xml:space="preserve"> </w:t>
      </w:r>
      <w:r w:rsidR="009A40A5" w:rsidRPr="009A40A5">
        <w:t>has</w:t>
      </w:r>
      <w:r w:rsidR="003B65CF" w:rsidRPr="003B65CF">
        <w:t xml:space="preserve"> </w:t>
      </w:r>
      <w:r w:rsidR="009A40A5" w:rsidRPr="009A40A5">
        <w:t>been</w:t>
      </w:r>
      <w:r w:rsidR="003B65CF" w:rsidRPr="003B65CF">
        <w:t xml:space="preserve"> </w:t>
      </w:r>
      <w:r w:rsidR="009A40A5" w:rsidRPr="009A40A5">
        <w:t>marketed.</w:t>
      </w:r>
    </w:p>
    <w:p w:rsidR="009A40A5" w:rsidRPr="009A40A5" w:rsidRDefault="00E31902" w:rsidP="00E31902">
      <w:pPr>
        <w:pStyle w:val="List1"/>
      </w:pPr>
      <w:r w:rsidRPr="00E31902">
        <w:t>1</w:t>
      </w:r>
      <w:r>
        <w:t>2)</w:t>
      </w:r>
      <w:r w:rsidR="003B65CF" w:rsidRPr="003B65CF">
        <w:tab/>
      </w:r>
      <w:r w:rsidR="009A40A5" w:rsidRPr="009A40A5">
        <w:t>Where</w:t>
      </w:r>
      <w:r w:rsidR="003B65CF" w:rsidRPr="003B65CF">
        <w:t xml:space="preserve"> </w:t>
      </w:r>
      <w:r w:rsidR="009A40A5" w:rsidRPr="009A40A5">
        <w:t>P</w:t>
      </w:r>
      <w:r w:rsidR="003B65CF" w:rsidRPr="003B65CF">
        <w:t xml:space="preserve"> </w:t>
      </w:r>
      <w:r w:rsidR="009A40A5" w:rsidRPr="009A40A5">
        <w:t>is</w:t>
      </w:r>
      <w:r w:rsidR="003B65CF" w:rsidRPr="003B65CF">
        <w:t xml:space="preserve"> </w:t>
      </w:r>
      <w:r w:rsidR="009A40A5" w:rsidRPr="009A40A5">
        <w:t>a</w:t>
      </w:r>
      <w:r w:rsidR="003B65CF" w:rsidRPr="003B65CF">
        <w:t xml:space="preserve"> </w:t>
      </w:r>
      <w:r w:rsidR="009A40A5" w:rsidRPr="009A40A5">
        <w:t>retailer</w:t>
      </w:r>
      <w:r w:rsidR="003B65CF" w:rsidRPr="003B65CF">
        <w:t xml:space="preserve"> </w:t>
      </w:r>
      <w:r w:rsidR="009A40A5" w:rsidRPr="009A40A5">
        <w:t>with</w:t>
      </w:r>
      <w:r w:rsidR="003B65CF" w:rsidRPr="003B65CF">
        <w:t xml:space="preserve"> </w:t>
      </w:r>
      <w:r w:rsidR="009A40A5" w:rsidRPr="009A40A5">
        <w:t>a</w:t>
      </w:r>
      <w:r w:rsidR="003B65CF" w:rsidRPr="003B65CF">
        <w:t xml:space="preserve"> </w:t>
      </w:r>
      <w:r w:rsidR="009A40A5" w:rsidRPr="009A40A5">
        <w:t>number</w:t>
      </w:r>
      <w:r w:rsidR="003B65CF" w:rsidRPr="003B65CF">
        <w:t xml:space="preserve"> </w:t>
      </w:r>
      <w:r w:rsidR="009A40A5" w:rsidRPr="009A40A5">
        <w:t>of</w:t>
      </w:r>
      <w:r w:rsidR="003B65CF" w:rsidRPr="003B65CF">
        <w:t xml:space="preserve"> </w:t>
      </w:r>
      <w:r w:rsidR="009A40A5" w:rsidRPr="009A40A5">
        <w:t>retail</w:t>
      </w:r>
      <w:r w:rsidR="003B65CF" w:rsidRPr="003B65CF">
        <w:t xml:space="preserve"> </w:t>
      </w:r>
      <w:r w:rsidR="009A40A5" w:rsidRPr="009A40A5">
        <w:t>outlets,</w:t>
      </w:r>
      <w:r w:rsidR="003B65CF" w:rsidRPr="003B65CF">
        <w:t xml:space="preserve"> </w:t>
      </w:r>
      <w:r w:rsidR="009A40A5" w:rsidRPr="009A40A5">
        <w:t>the</w:t>
      </w:r>
      <w:r w:rsidR="003B65CF" w:rsidRPr="003B65CF">
        <w:t xml:space="preserve"> </w:t>
      </w:r>
      <w:r w:rsidR="009A40A5" w:rsidRPr="009A40A5">
        <w:t>number</w:t>
      </w:r>
      <w:r w:rsidR="003B65CF" w:rsidRPr="003B65CF">
        <w:t xml:space="preserve"> </w:t>
      </w:r>
      <w:r w:rsidR="009A40A5" w:rsidRPr="009A40A5">
        <w:t>of</w:t>
      </w:r>
      <w:r w:rsidR="003B65CF" w:rsidRPr="003B65CF">
        <w:t xml:space="preserve"> </w:t>
      </w:r>
      <w:r w:rsidR="009A40A5" w:rsidRPr="009A40A5">
        <w:t>retail</w:t>
      </w:r>
      <w:r w:rsidR="003B65CF" w:rsidRPr="003B65CF">
        <w:t xml:space="preserve"> </w:t>
      </w:r>
      <w:r w:rsidR="009A40A5" w:rsidRPr="009A40A5">
        <w:t>outlets</w:t>
      </w:r>
      <w:r w:rsidR="003B65CF" w:rsidRPr="003B65CF">
        <w:t xml:space="preserve"> </w:t>
      </w:r>
      <w:r w:rsidR="009A40A5" w:rsidRPr="009A40A5">
        <w:t>operated</w:t>
      </w:r>
      <w:r w:rsidR="003B65CF" w:rsidRPr="003B65CF">
        <w:t xml:space="preserve"> </w:t>
      </w:r>
      <w:r w:rsidR="009A40A5" w:rsidRPr="009A40A5">
        <w:t>by</w:t>
      </w:r>
      <w:r w:rsidR="003B65CF" w:rsidRPr="003B65CF">
        <w:t xml:space="preserve"> </w:t>
      </w:r>
      <w:r w:rsidR="009A40A5" w:rsidRPr="009A40A5">
        <w:t>them</w:t>
      </w:r>
      <w:r w:rsidR="003B65CF" w:rsidRPr="003B65CF">
        <w:t xml:space="preserve"> </w:t>
      </w:r>
      <w:r w:rsidR="009A40A5" w:rsidRPr="009A40A5">
        <w:t>(whether</w:t>
      </w:r>
      <w:r w:rsidR="003B65CF" w:rsidRPr="003B65CF">
        <w:t xml:space="preserve"> </w:t>
      </w:r>
      <w:r w:rsidR="009A40A5" w:rsidRPr="009A40A5">
        <w:t>or</w:t>
      </w:r>
      <w:r w:rsidR="003B65CF" w:rsidRPr="003B65CF">
        <w:t xml:space="preserve"> </w:t>
      </w:r>
      <w:r w:rsidR="009A40A5" w:rsidRPr="009A40A5">
        <w:t>not</w:t>
      </w:r>
      <w:r w:rsidR="003B65CF" w:rsidRPr="003B65CF">
        <w:t xml:space="preserve"> </w:t>
      </w:r>
      <w:r w:rsidR="009A40A5" w:rsidRPr="009A40A5">
        <w:t>there</w:t>
      </w:r>
      <w:r w:rsidR="003B65CF" w:rsidRPr="003B65CF">
        <w:t xml:space="preserve"> </w:t>
      </w:r>
      <w:r w:rsidR="009A40A5" w:rsidRPr="009A40A5">
        <w:t>is</w:t>
      </w:r>
      <w:r w:rsidR="003B65CF" w:rsidRPr="003B65CF">
        <w:t xml:space="preserve"> </w:t>
      </w:r>
      <w:r w:rsidR="009A40A5" w:rsidRPr="009A40A5">
        <w:t>evidence</w:t>
      </w:r>
      <w:r w:rsidR="003B65CF" w:rsidRPr="003B65CF">
        <w:t xml:space="preserve"> </w:t>
      </w:r>
      <w:r w:rsidR="009A40A5" w:rsidRPr="009A40A5">
        <w:t>that</w:t>
      </w:r>
      <w:r w:rsidR="003B65CF" w:rsidRPr="003B65CF">
        <w:t xml:space="preserve"> </w:t>
      </w:r>
      <w:r w:rsidR="009A40A5" w:rsidRPr="009A40A5">
        <w:t>the</w:t>
      </w:r>
      <w:r w:rsidR="003B65CF" w:rsidRPr="003B65CF">
        <w:t xml:space="preserve"> </w:t>
      </w:r>
      <w:r w:rsidR="009A40A5" w:rsidRPr="009A40A5">
        <w:t>non-compliant</w:t>
      </w:r>
      <w:r w:rsidR="003B65CF" w:rsidRPr="003B65CF">
        <w:t xml:space="preserve"> </w:t>
      </w:r>
      <w:r w:rsidR="009A40A5" w:rsidRPr="009A40A5">
        <w:t>product</w:t>
      </w:r>
      <w:r w:rsidR="003B65CF" w:rsidRPr="003B65CF">
        <w:t xml:space="preserve"> </w:t>
      </w:r>
      <w:r w:rsidR="009A40A5" w:rsidRPr="009A40A5">
        <w:t>has</w:t>
      </w:r>
      <w:r w:rsidR="003B65CF" w:rsidRPr="003B65CF">
        <w:t xml:space="preserve"> </w:t>
      </w:r>
      <w:r w:rsidR="009A40A5" w:rsidRPr="009A40A5">
        <w:t>been,</w:t>
      </w:r>
      <w:r w:rsidR="003B65CF" w:rsidRPr="003B65CF">
        <w:t xml:space="preserve"> </w:t>
      </w:r>
      <w:r w:rsidR="009A40A5" w:rsidRPr="009A40A5">
        <w:t>or</w:t>
      </w:r>
      <w:r w:rsidR="003B65CF" w:rsidRPr="003B65CF">
        <w:t xml:space="preserve"> </w:t>
      </w:r>
      <w:r w:rsidR="009A40A5" w:rsidRPr="009A40A5">
        <w:t>may</w:t>
      </w:r>
      <w:r w:rsidR="003B65CF" w:rsidRPr="003B65CF">
        <w:t xml:space="preserve"> </w:t>
      </w:r>
      <w:r w:rsidR="009A40A5" w:rsidRPr="009A40A5">
        <w:t>have</w:t>
      </w:r>
      <w:r w:rsidR="003B65CF" w:rsidRPr="003B65CF">
        <w:t xml:space="preserve"> </w:t>
      </w:r>
      <w:r w:rsidR="009A40A5" w:rsidRPr="009A40A5">
        <w:t>been,</w:t>
      </w:r>
      <w:r w:rsidR="003B65CF" w:rsidRPr="003B65CF">
        <w:t xml:space="preserve"> </w:t>
      </w:r>
      <w:r w:rsidR="009A40A5" w:rsidRPr="009A40A5">
        <w:t>marketed</w:t>
      </w:r>
      <w:r w:rsidR="003B65CF" w:rsidRPr="003B65CF">
        <w:t xml:space="preserve"> </w:t>
      </w:r>
      <w:r w:rsidR="009A40A5" w:rsidRPr="009A40A5">
        <w:t>in</w:t>
      </w:r>
      <w:r w:rsidR="003B65CF" w:rsidRPr="003B65CF">
        <w:t xml:space="preserve"> </w:t>
      </w:r>
      <w:r w:rsidR="009A40A5" w:rsidRPr="009A40A5">
        <w:t>all</w:t>
      </w:r>
      <w:r w:rsidR="003B65CF" w:rsidRPr="003B65CF">
        <w:t xml:space="preserve"> </w:t>
      </w:r>
      <w:r w:rsidR="009A40A5" w:rsidRPr="009A40A5">
        <w:t>of</w:t>
      </w:r>
      <w:r w:rsidR="003B65CF" w:rsidRPr="003B65CF">
        <w:t xml:space="preserve"> </w:t>
      </w:r>
      <w:r w:rsidR="009A40A5" w:rsidRPr="009A40A5">
        <w:t>those</w:t>
      </w:r>
      <w:r w:rsidR="003B65CF" w:rsidRPr="003B65CF">
        <w:t xml:space="preserve"> </w:t>
      </w:r>
      <w:r w:rsidR="009A40A5" w:rsidRPr="009A40A5">
        <w:t>outlets).</w:t>
      </w:r>
    </w:p>
    <w:p w:rsidR="009A40A5" w:rsidRPr="009A40A5" w:rsidRDefault="00E31902" w:rsidP="00E31902">
      <w:pPr>
        <w:pStyle w:val="List1"/>
      </w:pPr>
      <w:r w:rsidRPr="00E31902">
        <w:t>1</w:t>
      </w:r>
      <w:r>
        <w:t>3)</w:t>
      </w:r>
      <w:r w:rsidR="003B65CF" w:rsidRPr="003B65CF">
        <w:tab/>
      </w:r>
      <w:r w:rsidR="009A40A5" w:rsidRPr="009A40A5">
        <w:t>The</w:t>
      </w:r>
      <w:r w:rsidR="003B65CF" w:rsidRPr="003B65CF">
        <w:t xml:space="preserve"> </w:t>
      </w:r>
      <w:r w:rsidR="009A40A5" w:rsidRPr="009A40A5">
        <w:t>conduct</w:t>
      </w:r>
      <w:r w:rsidR="003B65CF" w:rsidRPr="003B65CF">
        <w:t xml:space="preserve"> </w:t>
      </w:r>
      <w:r w:rsidR="009A40A5" w:rsidRPr="009A40A5">
        <w:t>of</w:t>
      </w:r>
      <w:r w:rsidR="003B65CF" w:rsidRPr="003B65CF">
        <w:t xml:space="preserve"> </w:t>
      </w:r>
      <w:r w:rsidR="009A40A5" w:rsidRPr="009A40A5">
        <w:t>P</w:t>
      </w:r>
      <w:r w:rsidR="003B65CF" w:rsidRPr="003B65CF">
        <w:t xml:space="preserve"> </w:t>
      </w:r>
      <w:r w:rsidR="009A40A5" w:rsidRPr="009A40A5">
        <w:t>after</w:t>
      </w:r>
      <w:r w:rsidR="003B65CF" w:rsidRPr="003B65CF">
        <w:t xml:space="preserve"> </w:t>
      </w:r>
      <w:r w:rsidR="009A40A5" w:rsidRPr="009A40A5">
        <w:t>the</w:t>
      </w:r>
      <w:r w:rsidR="003B65CF" w:rsidRPr="003B65CF">
        <w:t xml:space="preserve"> </w:t>
      </w:r>
      <w:r w:rsidR="009A40A5" w:rsidRPr="009A40A5">
        <w:t>non-compliance</w:t>
      </w:r>
      <w:r w:rsidR="003B65CF" w:rsidRPr="003B65CF">
        <w:t xml:space="preserve"> </w:t>
      </w:r>
      <w:r w:rsidR="009A40A5" w:rsidRPr="009A40A5">
        <w:t>had</w:t>
      </w:r>
      <w:r w:rsidR="003B65CF" w:rsidRPr="003B65CF">
        <w:t xml:space="preserve"> </w:t>
      </w:r>
      <w:r w:rsidR="009A40A5" w:rsidRPr="009A40A5">
        <w:t>come</w:t>
      </w:r>
      <w:r w:rsidR="003B65CF" w:rsidRPr="003B65CF">
        <w:t xml:space="preserve"> </w:t>
      </w:r>
      <w:r w:rsidR="009A40A5" w:rsidRPr="009A40A5">
        <w:t>to</w:t>
      </w:r>
      <w:r w:rsidR="003B65CF" w:rsidRPr="003B65CF">
        <w:t xml:space="preserve"> </w:t>
      </w:r>
      <w:r w:rsidR="009A40A5" w:rsidRPr="009A40A5">
        <w:t>the</w:t>
      </w:r>
      <w:r w:rsidR="003B65CF" w:rsidRPr="003B65CF">
        <w:t xml:space="preserve"> </w:t>
      </w:r>
      <w:r w:rsidR="009A40A5" w:rsidRPr="009A40A5">
        <w:t>attention</w:t>
      </w:r>
      <w:r w:rsidR="003B65CF" w:rsidRPr="003B65CF">
        <w:t xml:space="preserve"> </w:t>
      </w:r>
      <w:r w:rsidR="009A40A5" w:rsidRPr="009A40A5">
        <w:t>of</w:t>
      </w:r>
      <w:r w:rsidR="003B65CF" w:rsidRPr="003B65CF">
        <w:t xml:space="preserve"> </w:t>
      </w:r>
      <w:r w:rsidR="009A40A5" w:rsidRPr="009A40A5">
        <w:t>the</w:t>
      </w:r>
      <w:r w:rsidR="003B65CF" w:rsidRPr="003B65CF">
        <w:t xml:space="preserve"> </w:t>
      </w:r>
      <w:r w:rsidR="009A40A5" w:rsidRPr="009A40A5">
        <w:t>enforcement</w:t>
      </w:r>
      <w:r w:rsidR="003B65CF" w:rsidRPr="003B65CF">
        <w:t xml:space="preserve"> </w:t>
      </w:r>
      <w:r w:rsidR="009A40A5" w:rsidRPr="009A40A5">
        <w:t>authority.</w:t>
      </w:r>
    </w:p>
    <w:p w:rsidR="009A40A5" w:rsidRPr="009A40A5" w:rsidRDefault="00E31902" w:rsidP="00E31902">
      <w:pPr>
        <w:pStyle w:val="List1"/>
      </w:pPr>
      <w:r w:rsidRPr="00E31902">
        <w:t>1</w:t>
      </w:r>
      <w:r>
        <w:t>4)</w:t>
      </w:r>
      <w:r w:rsidR="003B65CF" w:rsidRPr="003B65CF">
        <w:tab/>
      </w:r>
      <w:r w:rsidR="009A40A5" w:rsidRPr="009A40A5">
        <w:t>Previous</w:t>
      </w:r>
      <w:r w:rsidR="003B65CF" w:rsidRPr="003B65CF">
        <w:t xml:space="preserve"> </w:t>
      </w:r>
      <w:r w:rsidR="009A40A5" w:rsidRPr="009A40A5">
        <w:t>action</w:t>
      </w:r>
      <w:r w:rsidR="003B65CF" w:rsidRPr="003B65CF">
        <w:t xml:space="preserve"> </w:t>
      </w:r>
      <w:r w:rsidR="009A40A5" w:rsidRPr="009A40A5">
        <w:t>taken</w:t>
      </w:r>
      <w:r w:rsidR="003B65CF" w:rsidRPr="003B65CF">
        <w:t xml:space="preserve"> </w:t>
      </w:r>
      <w:r w:rsidR="009A40A5" w:rsidRPr="009A40A5">
        <w:t>by</w:t>
      </w:r>
      <w:r w:rsidR="003B65CF" w:rsidRPr="003B65CF">
        <w:t xml:space="preserve"> </w:t>
      </w:r>
      <w:r w:rsidR="009A40A5" w:rsidRPr="009A40A5">
        <w:t>the</w:t>
      </w:r>
      <w:r w:rsidR="003B65CF" w:rsidRPr="003B65CF">
        <w:t xml:space="preserve"> </w:t>
      </w:r>
      <w:r w:rsidR="009A40A5" w:rsidRPr="009A40A5">
        <w:t>enforcement</w:t>
      </w:r>
      <w:r w:rsidR="003B65CF" w:rsidRPr="003B65CF">
        <w:t xml:space="preserve"> </w:t>
      </w:r>
      <w:r w:rsidR="009A40A5" w:rsidRPr="009A40A5">
        <w:t>authority</w:t>
      </w:r>
      <w:r w:rsidR="003B65CF" w:rsidRPr="003B65CF">
        <w:t xml:space="preserve"> </w:t>
      </w:r>
      <w:r w:rsidR="009A40A5" w:rsidRPr="009A40A5">
        <w:t>to</w:t>
      </w:r>
      <w:r w:rsidR="003B65CF" w:rsidRPr="003B65CF">
        <w:t xml:space="preserve"> </w:t>
      </w:r>
      <w:r w:rsidR="009A40A5" w:rsidRPr="009A40A5">
        <w:t>help</w:t>
      </w:r>
      <w:r w:rsidR="003B65CF" w:rsidRPr="003B65CF">
        <w:t xml:space="preserve"> </w:t>
      </w:r>
      <w:r w:rsidR="009A40A5" w:rsidRPr="009A40A5">
        <w:t>P</w:t>
      </w:r>
      <w:r w:rsidR="003B65CF" w:rsidRPr="003B65CF">
        <w:t xml:space="preserve"> </w:t>
      </w:r>
      <w:r w:rsidR="009A40A5" w:rsidRPr="009A40A5">
        <w:t>comply</w:t>
      </w:r>
      <w:r w:rsidR="003B65CF" w:rsidRPr="003B65CF">
        <w:t xml:space="preserve"> </w:t>
      </w:r>
      <w:r w:rsidR="009A40A5" w:rsidRPr="009A40A5">
        <w:t>with</w:t>
      </w:r>
      <w:r w:rsidR="003B65CF" w:rsidRPr="003B65CF">
        <w:t xml:space="preserve"> </w:t>
      </w:r>
      <w:r w:rsidR="009A40A5" w:rsidRPr="009A40A5">
        <w:t>the</w:t>
      </w:r>
      <w:r w:rsidR="003B65CF" w:rsidRPr="003B65CF">
        <w:t xml:space="preserve"> </w:t>
      </w:r>
      <w:r w:rsidR="009A40A5" w:rsidRPr="009A40A5">
        <w:t>Regulations.</w:t>
      </w:r>
    </w:p>
    <w:p w:rsidR="009A40A5" w:rsidRDefault="009A40A5">
      <w:pPr>
        <w:pStyle w:val="Part"/>
        <w:rPr>
          <w:noProof/>
        </w:rPr>
      </w:pPr>
      <w:r>
        <w:t>PART</w:t>
      </w:r>
      <w:r w:rsidR="003B65CF" w:rsidRPr="003B65CF">
        <w:t xml:space="preserve"> </w:t>
      </w:r>
      <w:r>
        <w:rPr>
          <w:noProof/>
        </w:rPr>
        <w:fldChar w:fldCharType="begin"/>
      </w:r>
      <w:r>
        <w:rPr>
          <w:noProof/>
        </w:rPr>
        <w:instrText xml:space="preserve"> SEQ Part_ \* arabic </w:instrText>
      </w:r>
      <w:r>
        <w:rPr>
          <w:noProof/>
        </w:rPr>
        <w:fldChar w:fldCharType="separate"/>
      </w:r>
      <w:r w:rsidR="003B65CF">
        <w:rPr>
          <w:noProof/>
        </w:rPr>
        <w:t>2</w:t>
      </w:r>
      <w:r>
        <w:rPr>
          <w:noProof/>
        </w:rPr>
        <w:fldChar w:fldCharType="end"/>
      </w:r>
    </w:p>
    <w:p w:rsidR="009A40A5" w:rsidRDefault="009A40A5" w:rsidP="009A40A5">
      <w:pPr>
        <w:pStyle w:val="PartHead"/>
      </w:pPr>
      <w:r>
        <w:t>Mitigating</w:t>
      </w:r>
      <w:r w:rsidR="003B65CF" w:rsidRPr="003B65CF">
        <w:t xml:space="preserve"> </w:t>
      </w:r>
      <w:r>
        <w:t>Factors</w:t>
      </w:r>
    </w:p>
    <w:p w:rsidR="009A40A5" w:rsidRPr="009A40A5" w:rsidRDefault="00E31902" w:rsidP="00E31902">
      <w:pPr>
        <w:pStyle w:val="List1"/>
      </w:pPr>
      <w:r w:rsidRPr="00E31902">
        <w:t>1</w:t>
      </w:r>
      <w:r>
        <w:t>)</w:t>
      </w:r>
      <w:r w:rsidR="003B65CF" w:rsidRPr="003B65CF">
        <w:tab/>
      </w:r>
      <w:r w:rsidR="009A40A5" w:rsidRPr="009A40A5">
        <w:t>Action</w:t>
      </w:r>
      <w:r w:rsidR="003B65CF" w:rsidRPr="003B65CF">
        <w:t xml:space="preserve"> </w:t>
      </w:r>
      <w:r w:rsidR="009A40A5" w:rsidRPr="009A40A5">
        <w:t>taken</w:t>
      </w:r>
      <w:r w:rsidR="003B65CF" w:rsidRPr="003B65CF">
        <w:t xml:space="preserve"> </w:t>
      </w:r>
      <w:r w:rsidR="009A40A5" w:rsidRPr="009A40A5">
        <w:t>to</w:t>
      </w:r>
      <w:r w:rsidR="003B65CF" w:rsidRPr="003B65CF">
        <w:t xml:space="preserve"> </w:t>
      </w:r>
      <w:r w:rsidR="009A40A5" w:rsidRPr="009A40A5">
        <w:t>eliminate</w:t>
      </w:r>
      <w:r w:rsidR="003B65CF" w:rsidRPr="003B65CF">
        <w:t xml:space="preserve"> </w:t>
      </w:r>
      <w:r w:rsidR="009A40A5" w:rsidRPr="009A40A5">
        <w:t>or</w:t>
      </w:r>
      <w:r w:rsidR="003B65CF" w:rsidRPr="003B65CF">
        <w:t xml:space="preserve"> </w:t>
      </w:r>
      <w:r w:rsidR="009A40A5" w:rsidRPr="009A40A5">
        <w:t>reduce</w:t>
      </w:r>
      <w:r w:rsidR="003B65CF" w:rsidRPr="003B65CF">
        <w:t xml:space="preserve"> </w:t>
      </w:r>
      <w:r w:rsidR="009A40A5" w:rsidRPr="009A40A5">
        <w:t>the</w:t>
      </w:r>
      <w:r w:rsidR="003B65CF" w:rsidRPr="003B65CF">
        <w:t xml:space="preserve"> </w:t>
      </w:r>
      <w:r w:rsidR="009A40A5" w:rsidRPr="009A40A5">
        <w:t>risk</w:t>
      </w:r>
      <w:r w:rsidR="003B65CF" w:rsidRPr="003B65CF">
        <w:t xml:space="preserve"> </w:t>
      </w:r>
      <w:r w:rsidR="009A40A5" w:rsidRPr="009A40A5">
        <w:t>of</w:t>
      </w:r>
      <w:r w:rsidR="003B65CF" w:rsidRPr="003B65CF">
        <w:t xml:space="preserve"> </w:t>
      </w:r>
      <w:r w:rsidR="009A40A5" w:rsidRPr="009A40A5">
        <w:t>damage</w:t>
      </w:r>
      <w:r w:rsidR="003B65CF" w:rsidRPr="003B65CF">
        <w:t xml:space="preserve"> </w:t>
      </w:r>
      <w:r w:rsidR="009A40A5" w:rsidRPr="009A40A5">
        <w:t>resulting</w:t>
      </w:r>
      <w:r w:rsidR="003B65CF" w:rsidRPr="003B65CF">
        <w:t xml:space="preserve"> </w:t>
      </w:r>
      <w:r w:rsidR="009A40A5" w:rsidRPr="009A40A5">
        <w:t>from</w:t>
      </w:r>
      <w:r w:rsidR="003B65CF" w:rsidRPr="003B65CF">
        <w:t xml:space="preserve"> </w:t>
      </w:r>
      <w:r w:rsidR="009A40A5" w:rsidRPr="009A40A5">
        <w:t>the</w:t>
      </w:r>
      <w:r w:rsidR="003B65CF" w:rsidRPr="003B65CF">
        <w:t xml:space="preserve"> </w:t>
      </w:r>
      <w:r w:rsidR="009A40A5" w:rsidRPr="009A40A5">
        <w:t>non-compliance.</w:t>
      </w:r>
    </w:p>
    <w:p w:rsidR="009A40A5" w:rsidRPr="009A40A5" w:rsidRDefault="00E31902" w:rsidP="00E31902">
      <w:pPr>
        <w:pStyle w:val="List1"/>
      </w:pPr>
      <w:r w:rsidRPr="00E31902">
        <w:t>2</w:t>
      </w:r>
      <w:r>
        <w:t>)</w:t>
      </w:r>
      <w:r w:rsidR="003B65CF" w:rsidRPr="003B65CF">
        <w:tab/>
      </w:r>
      <w:r w:rsidR="009A40A5" w:rsidRPr="009A40A5">
        <w:t>Action</w:t>
      </w:r>
      <w:r w:rsidR="003B65CF" w:rsidRPr="003B65CF">
        <w:t xml:space="preserve"> </w:t>
      </w:r>
      <w:r w:rsidR="009A40A5" w:rsidRPr="009A40A5">
        <w:t>taken</w:t>
      </w:r>
      <w:r w:rsidR="003B65CF" w:rsidRPr="003B65CF">
        <w:t xml:space="preserve"> </w:t>
      </w:r>
      <w:r w:rsidR="009A40A5" w:rsidRPr="009A40A5">
        <w:t>by</w:t>
      </w:r>
      <w:r w:rsidR="003B65CF" w:rsidRPr="003B65CF">
        <w:t xml:space="preserve"> </w:t>
      </w:r>
      <w:r w:rsidR="009A40A5" w:rsidRPr="009A40A5">
        <w:t>P</w:t>
      </w:r>
      <w:r w:rsidR="003B65CF" w:rsidRPr="003B65CF">
        <w:t xml:space="preserve"> </w:t>
      </w:r>
      <w:r w:rsidR="009A40A5" w:rsidRPr="009A40A5">
        <w:t>to</w:t>
      </w:r>
      <w:r w:rsidR="003B65CF" w:rsidRPr="003B65CF">
        <w:t xml:space="preserve"> </w:t>
      </w:r>
      <w:r w:rsidR="009A40A5" w:rsidRPr="009A40A5">
        <w:t>repair</w:t>
      </w:r>
      <w:r w:rsidR="003B65CF" w:rsidRPr="003B65CF">
        <w:t xml:space="preserve"> </w:t>
      </w:r>
      <w:r w:rsidR="009A40A5" w:rsidRPr="009A40A5">
        <w:t>the</w:t>
      </w:r>
      <w:r w:rsidR="003B65CF" w:rsidRPr="003B65CF">
        <w:t xml:space="preserve"> </w:t>
      </w:r>
      <w:r w:rsidR="009A40A5" w:rsidRPr="009A40A5">
        <w:t>harm</w:t>
      </w:r>
      <w:r w:rsidR="003B65CF" w:rsidRPr="003B65CF">
        <w:t xml:space="preserve"> </w:t>
      </w:r>
      <w:r w:rsidR="009A40A5" w:rsidRPr="009A40A5">
        <w:t>done</w:t>
      </w:r>
      <w:r w:rsidR="003B65CF" w:rsidRPr="003B65CF">
        <w:t xml:space="preserve"> </w:t>
      </w:r>
      <w:r w:rsidR="009A40A5" w:rsidRPr="009A40A5">
        <w:t>by</w:t>
      </w:r>
      <w:r w:rsidR="003B65CF" w:rsidRPr="003B65CF">
        <w:t xml:space="preserve"> </w:t>
      </w:r>
      <w:r w:rsidR="009A40A5" w:rsidRPr="009A40A5">
        <w:t>the</w:t>
      </w:r>
      <w:r w:rsidR="003B65CF" w:rsidRPr="003B65CF">
        <w:t xml:space="preserve"> </w:t>
      </w:r>
      <w:r w:rsidR="009A40A5" w:rsidRPr="009A40A5">
        <w:t>non-compliance.</w:t>
      </w:r>
    </w:p>
    <w:p w:rsidR="009A40A5" w:rsidRPr="009A40A5" w:rsidRDefault="00E31902" w:rsidP="00E31902">
      <w:pPr>
        <w:pStyle w:val="List1"/>
      </w:pPr>
      <w:r w:rsidRPr="00E31902">
        <w:t>3</w:t>
      </w:r>
      <w:r>
        <w:t>)</w:t>
      </w:r>
      <w:r w:rsidR="003B65CF" w:rsidRPr="003B65CF">
        <w:tab/>
      </w:r>
      <w:r w:rsidR="009A40A5" w:rsidRPr="009A40A5">
        <w:t>Any</w:t>
      </w:r>
      <w:r w:rsidR="003B65CF" w:rsidRPr="003B65CF">
        <w:t xml:space="preserve"> </w:t>
      </w:r>
      <w:r w:rsidR="009A40A5" w:rsidRPr="009A40A5">
        <w:t>co-operation</w:t>
      </w:r>
      <w:r w:rsidR="003B65CF" w:rsidRPr="003B65CF">
        <w:t xml:space="preserve"> </w:t>
      </w:r>
      <w:r w:rsidR="009A40A5" w:rsidRPr="009A40A5">
        <w:t>given</w:t>
      </w:r>
      <w:r w:rsidR="003B65CF" w:rsidRPr="003B65CF">
        <w:t xml:space="preserve"> </w:t>
      </w:r>
      <w:r w:rsidR="009A40A5" w:rsidRPr="009A40A5">
        <w:t>to</w:t>
      </w:r>
      <w:r w:rsidR="003B65CF" w:rsidRPr="003B65CF">
        <w:t xml:space="preserve"> </w:t>
      </w:r>
      <w:r w:rsidR="009A40A5" w:rsidRPr="009A40A5">
        <w:t>the</w:t>
      </w:r>
      <w:r w:rsidR="003B65CF" w:rsidRPr="003B65CF">
        <w:t xml:space="preserve"> </w:t>
      </w:r>
      <w:r w:rsidR="009A40A5" w:rsidRPr="009A40A5">
        <w:t>enforcement</w:t>
      </w:r>
      <w:r w:rsidR="003B65CF" w:rsidRPr="003B65CF">
        <w:t xml:space="preserve"> </w:t>
      </w:r>
      <w:r w:rsidR="009A40A5" w:rsidRPr="009A40A5">
        <w:t>authority</w:t>
      </w:r>
      <w:r w:rsidR="003B65CF" w:rsidRPr="003B65CF">
        <w:t xml:space="preserve"> </w:t>
      </w:r>
      <w:r w:rsidR="009A40A5" w:rsidRPr="009A40A5">
        <w:t>by</w:t>
      </w:r>
      <w:r w:rsidR="003B65CF" w:rsidRPr="003B65CF">
        <w:t xml:space="preserve"> </w:t>
      </w:r>
      <w:r w:rsidR="009A40A5" w:rsidRPr="009A40A5">
        <w:t>P</w:t>
      </w:r>
      <w:r w:rsidR="003B65CF" w:rsidRPr="003B65CF">
        <w:t xml:space="preserve"> </w:t>
      </w:r>
      <w:r w:rsidR="009A40A5" w:rsidRPr="009A40A5">
        <w:t>in</w:t>
      </w:r>
      <w:r w:rsidR="003B65CF" w:rsidRPr="003B65CF">
        <w:t xml:space="preserve"> </w:t>
      </w:r>
      <w:r w:rsidR="009A40A5" w:rsidRPr="009A40A5">
        <w:t>responding</w:t>
      </w:r>
      <w:r w:rsidR="003B65CF" w:rsidRPr="003B65CF">
        <w:t xml:space="preserve"> </w:t>
      </w:r>
      <w:r w:rsidR="009A40A5" w:rsidRPr="009A40A5">
        <w:t>to</w:t>
      </w:r>
      <w:r w:rsidR="003B65CF" w:rsidRPr="003B65CF">
        <w:t xml:space="preserve"> </w:t>
      </w:r>
      <w:r w:rsidR="009A40A5" w:rsidRPr="009A40A5">
        <w:t>the</w:t>
      </w:r>
      <w:r w:rsidR="003B65CF" w:rsidRPr="003B65CF">
        <w:t xml:space="preserve"> </w:t>
      </w:r>
      <w:r w:rsidR="009A40A5" w:rsidRPr="009A40A5">
        <w:t>non-compliance.</w:t>
      </w:r>
    </w:p>
    <w:p w:rsidR="009A40A5" w:rsidRPr="009A40A5" w:rsidRDefault="00E31902" w:rsidP="00E31902">
      <w:pPr>
        <w:pStyle w:val="List1"/>
      </w:pPr>
      <w:r w:rsidRPr="00E31902">
        <w:t>4</w:t>
      </w:r>
      <w:r>
        <w:t>)</w:t>
      </w:r>
      <w:r w:rsidR="003B65CF" w:rsidRPr="003B65CF">
        <w:tab/>
      </w:r>
      <w:r w:rsidR="009A40A5" w:rsidRPr="009A40A5">
        <w:t>Whether</w:t>
      </w:r>
      <w:r w:rsidR="003B65CF" w:rsidRPr="003B65CF">
        <w:t xml:space="preserve"> </w:t>
      </w:r>
      <w:r w:rsidR="009A40A5" w:rsidRPr="009A40A5">
        <w:t>P</w:t>
      </w:r>
      <w:r w:rsidR="003B65CF" w:rsidRPr="003B65CF">
        <w:t xml:space="preserve"> </w:t>
      </w:r>
      <w:r w:rsidR="009A40A5" w:rsidRPr="009A40A5">
        <w:t>reported</w:t>
      </w:r>
      <w:r w:rsidR="003B65CF" w:rsidRPr="003B65CF">
        <w:t xml:space="preserve"> </w:t>
      </w:r>
      <w:r w:rsidR="009A40A5" w:rsidRPr="009A40A5">
        <w:t>the</w:t>
      </w:r>
      <w:r w:rsidR="003B65CF" w:rsidRPr="003B65CF">
        <w:t xml:space="preserve"> </w:t>
      </w:r>
      <w:r w:rsidR="009A40A5" w:rsidRPr="009A40A5">
        <w:t>non-compliance</w:t>
      </w:r>
      <w:r w:rsidR="003B65CF" w:rsidRPr="003B65CF">
        <w:t xml:space="preserve"> </w:t>
      </w:r>
      <w:r w:rsidR="009A40A5" w:rsidRPr="009A40A5">
        <w:t>to</w:t>
      </w:r>
      <w:r w:rsidR="003B65CF" w:rsidRPr="003B65CF">
        <w:t xml:space="preserve"> </w:t>
      </w:r>
      <w:r w:rsidR="009A40A5" w:rsidRPr="009A40A5">
        <w:t>the</w:t>
      </w:r>
      <w:r w:rsidR="003B65CF" w:rsidRPr="003B65CF">
        <w:t xml:space="preserve"> </w:t>
      </w:r>
      <w:r w:rsidR="009A40A5" w:rsidRPr="009A40A5">
        <w:t>enforcement</w:t>
      </w:r>
      <w:r w:rsidR="003B65CF" w:rsidRPr="003B65CF">
        <w:t xml:space="preserve"> </w:t>
      </w:r>
      <w:r w:rsidR="009A40A5" w:rsidRPr="009A40A5">
        <w:t>authority.</w:t>
      </w:r>
    </w:p>
    <w:p w:rsidR="009A40A5" w:rsidRPr="009A40A5" w:rsidRDefault="00E31902" w:rsidP="00E31902">
      <w:pPr>
        <w:pStyle w:val="List1"/>
      </w:pPr>
      <w:r w:rsidRPr="00E31902">
        <w:t>5</w:t>
      </w:r>
      <w:r>
        <w:t>)</w:t>
      </w:r>
      <w:r w:rsidR="003B65CF" w:rsidRPr="003B65CF">
        <w:tab/>
      </w:r>
      <w:r w:rsidR="009A40A5" w:rsidRPr="009A40A5">
        <w:t>Financial</w:t>
      </w:r>
      <w:r w:rsidR="003B65CF" w:rsidRPr="003B65CF">
        <w:t xml:space="preserve"> </w:t>
      </w:r>
      <w:r w:rsidR="009A40A5" w:rsidRPr="009A40A5">
        <w:t>resources</w:t>
      </w:r>
      <w:r w:rsidR="003B65CF" w:rsidRPr="003B65CF">
        <w:t xml:space="preserve"> </w:t>
      </w:r>
      <w:r w:rsidR="009A40A5" w:rsidRPr="009A40A5">
        <w:t>of</w:t>
      </w:r>
      <w:r w:rsidR="003B65CF" w:rsidRPr="003B65CF">
        <w:t xml:space="preserve"> </w:t>
      </w:r>
      <w:r w:rsidR="009A40A5" w:rsidRPr="009A40A5">
        <w:t>P.</w:t>
      </w:r>
    </w:p>
    <w:p w:rsidR="009A40A5" w:rsidRPr="009A40A5" w:rsidRDefault="00E31902" w:rsidP="00E31902">
      <w:pPr>
        <w:pStyle w:val="List1"/>
      </w:pPr>
      <w:r w:rsidRPr="00E31902">
        <w:t>6</w:t>
      </w:r>
      <w:r>
        <w:t>)</w:t>
      </w:r>
      <w:r w:rsidR="003B65CF" w:rsidRPr="003B65CF">
        <w:tab/>
      </w:r>
      <w:r w:rsidR="009A40A5" w:rsidRPr="009A40A5">
        <w:t>Size</w:t>
      </w:r>
      <w:r w:rsidR="003B65CF" w:rsidRPr="003B65CF">
        <w:t xml:space="preserve"> </w:t>
      </w:r>
      <w:r w:rsidR="009A40A5" w:rsidRPr="009A40A5">
        <w:t>of</w:t>
      </w:r>
      <w:r w:rsidR="003B65CF" w:rsidRPr="003B65CF">
        <w:t xml:space="preserve"> </w:t>
      </w:r>
      <w:r w:rsidR="009A40A5" w:rsidRPr="009A40A5">
        <w:t>P’s</w:t>
      </w:r>
      <w:r w:rsidR="003B65CF" w:rsidRPr="003B65CF">
        <w:t xml:space="preserve"> </w:t>
      </w:r>
      <w:r w:rsidR="009A40A5" w:rsidRPr="009A40A5">
        <w:t>business.</w:t>
      </w:r>
    </w:p>
    <w:p w:rsidR="009A40A5" w:rsidRPr="009A40A5" w:rsidRDefault="00E31902" w:rsidP="00E31902">
      <w:pPr>
        <w:pStyle w:val="List1"/>
      </w:pPr>
      <w:r w:rsidRPr="00E31902">
        <w:t>7</w:t>
      </w:r>
      <w:r>
        <w:t>)</w:t>
      </w:r>
      <w:r w:rsidR="003B65CF" w:rsidRPr="003B65CF">
        <w:tab/>
      </w:r>
      <w:r w:rsidR="009A40A5" w:rsidRPr="009A40A5">
        <w:t>Availability</w:t>
      </w:r>
      <w:r w:rsidR="003B65CF" w:rsidRPr="003B65CF">
        <w:t xml:space="preserve"> </w:t>
      </w:r>
      <w:r w:rsidR="009A40A5" w:rsidRPr="009A40A5">
        <w:t>of</w:t>
      </w:r>
      <w:r w:rsidR="003B65CF" w:rsidRPr="003B65CF">
        <w:t xml:space="preserve"> </w:t>
      </w:r>
      <w:r w:rsidR="009A40A5" w:rsidRPr="009A40A5">
        <w:t>non-compliant</w:t>
      </w:r>
      <w:r w:rsidR="003B65CF" w:rsidRPr="003B65CF">
        <w:t xml:space="preserve"> </w:t>
      </w:r>
      <w:r w:rsidR="009A40A5" w:rsidRPr="009A40A5">
        <w:t>product,</w:t>
      </w:r>
      <w:r w:rsidR="003B65CF" w:rsidRPr="003B65CF">
        <w:t xml:space="preserve"> </w:t>
      </w:r>
      <w:r w:rsidR="009A40A5" w:rsidRPr="009A40A5">
        <w:t>including</w:t>
      </w:r>
      <w:r w:rsidR="003B65CF" w:rsidRPr="003B65CF">
        <w:t xml:space="preserve"> </w:t>
      </w:r>
      <w:r w:rsidR="009A40A5" w:rsidRPr="009A40A5">
        <w:t>the</w:t>
      </w:r>
      <w:r w:rsidR="003B65CF" w:rsidRPr="003B65CF">
        <w:t xml:space="preserve"> </w:t>
      </w:r>
      <w:r w:rsidR="009A40A5" w:rsidRPr="009A40A5">
        <w:t>number</w:t>
      </w:r>
      <w:r w:rsidR="003B65CF" w:rsidRPr="003B65CF">
        <w:t xml:space="preserve"> </w:t>
      </w:r>
      <w:r w:rsidR="009A40A5" w:rsidRPr="009A40A5">
        <w:t>of</w:t>
      </w:r>
      <w:r w:rsidR="003B65CF" w:rsidRPr="003B65CF">
        <w:t xml:space="preserve"> </w:t>
      </w:r>
      <w:r w:rsidR="009A40A5" w:rsidRPr="009A40A5">
        <w:t>retail</w:t>
      </w:r>
      <w:r w:rsidR="003B65CF" w:rsidRPr="003B65CF">
        <w:t xml:space="preserve"> </w:t>
      </w:r>
      <w:r w:rsidR="009A40A5" w:rsidRPr="009A40A5">
        <w:t>shops</w:t>
      </w:r>
      <w:r w:rsidR="003B65CF" w:rsidRPr="003B65CF">
        <w:t xml:space="preserve"> </w:t>
      </w:r>
      <w:r w:rsidR="009A40A5" w:rsidRPr="009A40A5">
        <w:t>in</w:t>
      </w:r>
      <w:r w:rsidR="003B65CF" w:rsidRPr="003B65CF">
        <w:t xml:space="preserve"> </w:t>
      </w:r>
      <w:r w:rsidR="009A40A5" w:rsidRPr="009A40A5">
        <w:t>which</w:t>
      </w:r>
      <w:r w:rsidR="003B65CF" w:rsidRPr="003B65CF">
        <w:t xml:space="preserve"> </w:t>
      </w:r>
      <w:r w:rsidR="009A40A5" w:rsidRPr="009A40A5">
        <w:t>it</w:t>
      </w:r>
      <w:r w:rsidR="003B65CF" w:rsidRPr="003B65CF">
        <w:t xml:space="preserve"> </w:t>
      </w:r>
      <w:r w:rsidR="009A40A5" w:rsidRPr="009A40A5">
        <w:t>has</w:t>
      </w:r>
      <w:r w:rsidR="003B65CF" w:rsidRPr="003B65CF">
        <w:t xml:space="preserve"> </w:t>
      </w:r>
      <w:r w:rsidR="009A40A5" w:rsidRPr="009A40A5">
        <w:t>been</w:t>
      </w:r>
      <w:r w:rsidR="003B65CF" w:rsidRPr="003B65CF">
        <w:t xml:space="preserve"> </w:t>
      </w:r>
      <w:r w:rsidR="009A40A5" w:rsidRPr="009A40A5">
        <w:t>marketed.</w:t>
      </w:r>
    </w:p>
    <w:p w:rsidR="009A40A5" w:rsidRPr="009A40A5" w:rsidRDefault="00E31902" w:rsidP="00E31902">
      <w:pPr>
        <w:pStyle w:val="List1"/>
      </w:pPr>
      <w:r w:rsidRPr="00E31902">
        <w:t>8</w:t>
      </w:r>
      <w:r>
        <w:t>)</w:t>
      </w:r>
      <w:r w:rsidR="003B65CF" w:rsidRPr="003B65CF">
        <w:tab/>
      </w:r>
      <w:r w:rsidR="009A40A5" w:rsidRPr="009A40A5">
        <w:t>The</w:t>
      </w:r>
      <w:r w:rsidR="003B65CF" w:rsidRPr="003B65CF">
        <w:t xml:space="preserve"> </w:t>
      </w:r>
      <w:r w:rsidR="009A40A5" w:rsidRPr="009A40A5">
        <w:t>conduct</w:t>
      </w:r>
      <w:r w:rsidR="003B65CF" w:rsidRPr="003B65CF">
        <w:t xml:space="preserve"> </w:t>
      </w:r>
      <w:r w:rsidR="009A40A5" w:rsidRPr="009A40A5">
        <w:t>of</w:t>
      </w:r>
      <w:r w:rsidR="003B65CF" w:rsidRPr="003B65CF">
        <w:t xml:space="preserve"> </w:t>
      </w:r>
      <w:r w:rsidR="009A40A5" w:rsidRPr="009A40A5">
        <w:t>P</w:t>
      </w:r>
      <w:r w:rsidR="003B65CF" w:rsidRPr="003B65CF">
        <w:t xml:space="preserve"> </w:t>
      </w:r>
      <w:r w:rsidR="009A40A5" w:rsidRPr="009A40A5">
        <w:t>after</w:t>
      </w:r>
      <w:r w:rsidR="003B65CF" w:rsidRPr="003B65CF">
        <w:t xml:space="preserve"> </w:t>
      </w:r>
      <w:r w:rsidR="009A40A5" w:rsidRPr="009A40A5">
        <w:t>the</w:t>
      </w:r>
      <w:r w:rsidR="003B65CF" w:rsidRPr="003B65CF">
        <w:t xml:space="preserve"> </w:t>
      </w:r>
      <w:r w:rsidR="009A40A5" w:rsidRPr="009A40A5">
        <w:t>non-compliance</w:t>
      </w:r>
      <w:r w:rsidR="003B65CF" w:rsidRPr="003B65CF">
        <w:t xml:space="preserve"> </w:t>
      </w:r>
      <w:r w:rsidR="009A40A5" w:rsidRPr="009A40A5">
        <w:t>was</w:t>
      </w:r>
      <w:r w:rsidR="003B65CF" w:rsidRPr="003B65CF">
        <w:t xml:space="preserve"> </w:t>
      </w:r>
      <w:r w:rsidR="009A40A5" w:rsidRPr="009A40A5">
        <w:t>drawn</w:t>
      </w:r>
      <w:r w:rsidR="003B65CF" w:rsidRPr="003B65CF">
        <w:t xml:space="preserve"> </w:t>
      </w:r>
      <w:r w:rsidR="009A40A5" w:rsidRPr="009A40A5">
        <w:t>their</w:t>
      </w:r>
      <w:r w:rsidR="003B65CF" w:rsidRPr="003B65CF">
        <w:t xml:space="preserve"> </w:t>
      </w:r>
      <w:r w:rsidR="009A40A5" w:rsidRPr="009A40A5">
        <w:t>attention</w:t>
      </w:r>
      <w:r w:rsidR="003B65CF" w:rsidRPr="003B65CF">
        <w:t xml:space="preserve"> </w:t>
      </w:r>
      <w:r w:rsidR="009A40A5" w:rsidRPr="009A40A5">
        <w:t>by</w:t>
      </w:r>
      <w:r w:rsidR="003B65CF" w:rsidRPr="003B65CF">
        <w:t xml:space="preserve"> </w:t>
      </w:r>
      <w:r w:rsidR="009A40A5" w:rsidRPr="009A40A5">
        <w:t>an</w:t>
      </w:r>
      <w:r w:rsidR="003B65CF" w:rsidRPr="003B65CF">
        <w:t xml:space="preserve"> </w:t>
      </w:r>
      <w:r w:rsidR="009A40A5" w:rsidRPr="009A40A5">
        <w:t>enforcement</w:t>
      </w:r>
      <w:r w:rsidR="003B65CF" w:rsidRPr="003B65CF">
        <w:t xml:space="preserve"> </w:t>
      </w:r>
      <w:r w:rsidR="009A40A5" w:rsidRPr="009A40A5">
        <w:t>authority.</w:t>
      </w:r>
    </w:p>
    <w:p w:rsidR="009A40A5" w:rsidRDefault="00E31902" w:rsidP="00E31902">
      <w:pPr>
        <w:pStyle w:val="List1"/>
      </w:pPr>
      <w:r w:rsidRPr="00E31902">
        <w:t>9</w:t>
      </w:r>
      <w:r>
        <w:t>)</w:t>
      </w:r>
      <w:r w:rsidR="003B65CF" w:rsidRPr="003B65CF">
        <w:tab/>
      </w:r>
      <w:r w:rsidR="009A40A5" w:rsidRPr="009A40A5">
        <w:t>Where</w:t>
      </w:r>
      <w:r w:rsidR="003B65CF" w:rsidRPr="003B65CF">
        <w:t xml:space="preserve"> </w:t>
      </w:r>
      <w:r w:rsidR="009A40A5" w:rsidRPr="009A40A5">
        <w:t>the</w:t>
      </w:r>
      <w:r w:rsidR="003B65CF" w:rsidRPr="003B65CF">
        <w:t xml:space="preserve"> </w:t>
      </w:r>
      <w:r w:rsidR="009A40A5" w:rsidRPr="009A40A5">
        <w:t>non-compliance</w:t>
      </w:r>
      <w:r w:rsidR="003B65CF" w:rsidRPr="003B65CF">
        <w:t xml:space="preserve"> </w:t>
      </w:r>
      <w:r w:rsidR="009A40A5" w:rsidRPr="009A40A5">
        <w:t>was</w:t>
      </w:r>
      <w:r w:rsidR="003B65CF" w:rsidRPr="003B65CF">
        <w:t xml:space="preserve"> </w:t>
      </w:r>
      <w:r w:rsidR="009A40A5" w:rsidRPr="009A40A5">
        <w:t>committed</w:t>
      </w:r>
      <w:r w:rsidR="003B65CF" w:rsidRPr="003B65CF">
        <w:t xml:space="preserve"> </w:t>
      </w:r>
      <w:r w:rsidR="009A40A5" w:rsidRPr="009A40A5">
        <w:t>by</w:t>
      </w:r>
      <w:r w:rsidR="003B65CF" w:rsidRPr="003B65CF">
        <w:t xml:space="preserve"> </w:t>
      </w:r>
      <w:r w:rsidR="009A40A5" w:rsidRPr="009A40A5">
        <w:t>an</w:t>
      </w:r>
      <w:r w:rsidR="003B65CF" w:rsidRPr="003B65CF">
        <w:t xml:space="preserve"> </w:t>
      </w:r>
      <w:r w:rsidR="009A40A5" w:rsidRPr="009A40A5">
        <w:t>employee</w:t>
      </w:r>
      <w:r w:rsidR="003B65CF" w:rsidRPr="003B65CF">
        <w:t xml:space="preserve"> </w:t>
      </w:r>
      <w:r w:rsidR="009A40A5" w:rsidRPr="009A40A5">
        <w:t>of</w:t>
      </w:r>
      <w:r w:rsidR="003B65CF" w:rsidRPr="003B65CF">
        <w:t xml:space="preserve"> </w:t>
      </w:r>
      <w:r w:rsidR="009A40A5" w:rsidRPr="009A40A5">
        <w:t>P,</w:t>
      </w:r>
      <w:r w:rsidR="003B65CF" w:rsidRPr="003B65CF">
        <w:t xml:space="preserve"> </w:t>
      </w:r>
      <w:r w:rsidR="009A40A5" w:rsidRPr="009A40A5">
        <w:t>the</w:t>
      </w:r>
      <w:r w:rsidR="003B65CF" w:rsidRPr="003B65CF">
        <w:t xml:space="preserve"> </w:t>
      </w:r>
      <w:r w:rsidR="009A40A5" w:rsidRPr="009A40A5">
        <w:t>extent</w:t>
      </w:r>
      <w:r w:rsidR="003B65CF" w:rsidRPr="003B65CF">
        <w:t xml:space="preserve"> </w:t>
      </w:r>
      <w:r w:rsidR="009A40A5" w:rsidRPr="009A40A5">
        <w:t>to</w:t>
      </w:r>
      <w:r w:rsidR="003B65CF" w:rsidRPr="003B65CF">
        <w:t xml:space="preserve"> </w:t>
      </w:r>
      <w:r w:rsidR="009A40A5" w:rsidRPr="009A40A5">
        <w:t>which</w:t>
      </w:r>
      <w:r w:rsidR="003B65CF" w:rsidRPr="003B65CF">
        <w:t xml:space="preserve"> </w:t>
      </w:r>
      <w:r w:rsidR="009A40A5" w:rsidRPr="009A40A5">
        <w:t>the</w:t>
      </w:r>
      <w:r w:rsidR="003B65CF" w:rsidRPr="003B65CF">
        <w:t xml:space="preserve"> </w:t>
      </w:r>
      <w:r w:rsidR="009A40A5" w:rsidRPr="009A40A5">
        <w:t>employee</w:t>
      </w:r>
      <w:r w:rsidR="003B65CF" w:rsidRPr="003B65CF">
        <w:t xml:space="preserve"> </w:t>
      </w:r>
      <w:r w:rsidR="009A40A5" w:rsidRPr="009A40A5">
        <w:t>was</w:t>
      </w:r>
      <w:r w:rsidR="003B65CF" w:rsidRPr="003B65CF">
        <w:t xml:space="preserve"> </w:t>
      </w:r>
      <w:r w:rsidR="009A40A5" w:rsidRPr="009A40A5">
        <w:t>acting</w:t>
      </w:r>
      <w:r w:rsidR="003B65CF" w:rsidRPr="003B65CF">
        <w:t xml:space="preserve"> </w:t>
      </w:r>
      <w:r w:rsidR="009A40A5" w:rsidRPr="009A40A5">
        <w:t>outside</w:t>
      </w:r>
      <w:r w:rsidR="003B65CF" w:rsidRPr="003B65CF">
        <w:t xml:space="preserve"> </w:t>
      </w:r>
      <w:r w:rsidR="009A40A5" w:rsidRPr="009A40A5">
        <w:t>of</w:t>
      </w:r>
      <w:r w:rsidR="003B65CF" w:rsidRPr="003B65CF">
        <w:t xml:space="preserve"> </w:t>
      </w:r>
      <w:r w:rsidR="009A40A5" w:rsidRPr="009A40A5">
        <w:t>their</w:t>
      </w:r>
      <w:r w:rsidR="003B65CF" w:rsidRPr="003B65CF">
        <w:t xml:space="preserve"> </w:t>
      </w:r>
      <w:r w:rsidR="009A40A5" w:rsidRPr="009A40A5">
        <w:t>authority.</w:t>
      </w:r>
    </w:p>
    <w:p w:rsidR="009A40A5" w:rsidRPr="009A40A5" w:rsidRDefault="009A40A5" w:rsidP="009A40A5">
      <w:pPr>
        <w:pStyle w:val="linespace"/>
      </w:pPr>
    </w:p>
    <w:p w:rsidR="00855E22" w:rsidRDefault="00855E22" w:rsidP="00855E22">
      <w:pPr>
        <w:pStyle w:val="XNote"/>
      </w:pPr>
      <w:r>
        <w:lastRenderedPageBreak/>
        <w:t>EXPLANATORY</w:t>
      </w:r>
      <w:r w:rsidR="003B65CF" w:rsidRPr="003B65CF">
        <w:t xml:space="preserve"> </w:t>
      </w:r>
      <w:r>
        <w:t>NOTE</w:t>
      </w:r>
    </w:p>
    <w:p w:rsidR="00855E22" w:rsidRDefault="00855E22" w:rsidP="00855E22">
      <w:pPr>
        <w:pStyle w:val="XNotenote"/>
      </w:pPr>
      <w:r>
        <w:t>(This</w:t>
      </w:r>
      <w:r w:rsidR="003B65CF" w:rsidRPr="003B65CF">
        <w:t xml:space="preserve"> </w:t>
      </w:r>
      <w:r>
        <w:t>note</w:t>
      </w:r>
      <w:r w:rsidR="003B65CF" w:rsidRPr="003B65CF">
        <w:t xml:space="preserve"> </w:t>
      </w:r>
      <w:r>
        <w:t>is</w:t>
      </w:r>
      <w:r w:rsidR="003B65CF" w:rsidRPr="003B65CF">
        <w:t xml:space="preserve"> </w:t>
      </w:r>
      <w:r>
        <w:t>not</w:t>
      </w:r>
      <w:r w:rsidR="003B65CF" w:rsidRPr="003B65CF">
        <w:t xml:space="preserve"> </w:t>
      </w:r>
      <w:r>
        <w:t>part</w:t>
      </w:r>
      <w:r w:rsidR="003B65CF" w:rsidRPr="003B65CF">
        <w:t xml:space="preserve"> </w:t>
      </w:r>
      <w:r>
        <w:t>of</w:t>
      </w:r>
      <w:r w:rsidR="003B65CF" w:rsidRPr="003B65CF">
        <w:t xml:space="preserve"> </w:t>
      </w:r>
      <w:r>
        <w:t>the</w:t>
      </w:r>
      <w:r w:rsidR="003B65CF" w:rsidRPr="003B65CF">
        <w:t xml:space="preserve"> </w:t>
      </w:r>
      <w:r>
        <w:t>Regulations)</w:t>
      </w:r>
    </w:p>
    <w:p w:rsidR="00855E22" w:rsidRDefault="008A7454" w:rsidP="00855E22">
      <w:pPr>
        <w:pStyle w:val="T1"/>
      </w:pPr>
      <w:r w:rsidRPr="008A7454">
        <w:t>These</w:t>
      </w:r>
      <w:r w:rsidR="003B65CF" w:rsidRPr="003B65CF">
        <w:t xml:space="preserve"> </w:t>
      </w:r>
      <w:r w:rsidRPr="008A7454">
        <w:t>Regulations</w:t>
      </w:r>
      <w:r w:rsidR="003B65CF" w:rsidRPr="003B65CF">
        <w:t xml:space="preserve"> </w:t>
      </w:r>
      <w:r w:rsidRPr="008A7454">
        <w:t>make</w:t>
      </w:r>
      <w:r w:rsidR="003B65CF" w:rsidRPr="003B65CF">
        <w:t xml:space="preserve"> </w:t>
      </w:r>
      <w:r w:rsidRPr="008A7454">
        <w:t>provision</w:t>
      </w:r>
      <w:r w:rsidR="003B65CF" w:rsidRPr="003B65CF">
        <w:t xml:space="preserve"> </w:t>
      </w:r>
      <w:r w:rsidRPr="008A7454">
        <w:t>for</w:t>
      </w:r>
      <w:r w:rsidR="003B65CF" w:rsidRPr="003B65CF">
        <w:t xml:space="preserve"> </w:t>
      </w:r>
      <w:r w:rsidRPr="008A7454">
        <w:t>t</w:t>
      </w:r>
      <w:r>
        <w:t>he</w:t>
      </w:r>
      <w:r w:rsidR="003B65CF" w:rsidRPr="003B65CF">
        <w:t xml:space="preserve"> </w:t>
      </w:r>
      <w:r>
        <w:t>enforcement</w:t>
      </w:r>
      <w:r w:rsidR="003B65CF" w:rsidRPr="003B65CF">
        <w:t xml:space="preserve"> </w:t>
      </w:r>
      <w:r>
        <w:t>of</w:t>
      </w:r>
      <w:r w:rsidR="003B65CF" w:rsidRPr="003B65CF">
        <w:t xml:space="preserve"> </w:t>
      </w:r>
      <w:r>
        <w:t>Regulation</w:t>
      </w:r>
      <w:r w:rsidR="003B65CF" w:rsidRPr="003B65CF">
        <w:t xml:space="preserve"> </w:t>
      </w:r>
      <w:r>
        <w:t>(EU)</w:t>
      </w:r>
      <w:r w:rsidR="003B65CF" w:rsidRPr="003B65CF">
        <w:t xml:space="preserve"> </w:t>
      </w:r>
      <w:r w:rsidR="00306EAD">
        <w:t>No.</w:t>
      </w:r>
      <w:r w:rsidR="003B65CF" w:rsidRPr="003B65CF">
        <w:t xml:space="preserve"> </w:t>
      </w:r>
      <w:r>
        <w:t>2019/787</w:t>
      </w:r>
      <w:r w:rsidR="003B65CF">
        <w:t xml:space="preserve"> </w:t>
      </w:r>
      <w:r w:rsidRPr="008A7454">
        <w:t>of</w:t>
      </w:r>
      <w:r w:rsidR="003B65CF" w:rsidRPr="003B65CF">
        <w:t xml:space="preserve"> </w:t>
      </w:r>
      <w:r w:rsidRPr="008A7454">
        <w:t>the</w:t>
      </w:r>
      <w:r w:rsidR="003B65CF" w:rsidRPr="003B65CF">
        <w:t xml:space="preserve"> </w:t>
      </w:r>
      <w:r w:rsidRPr="008A7454">
        <w:t>European</w:t>
      </w:r>
      <w:r w:rsidR="003B65CF" w:rsidRPr="003B65CF">
        <w:t xml:space="preserve"> </w:t>
      </w:r>
      <w:r w:rsidRPr="008A7454">
        <w:t>Parliament</w:t>
      </w:r>
      <w:r w:rsidR="003B65CF" w:rsidRPr="003B65CF">
        <w:t xml:space="preserve"> </w:t>
      </w:r>
      <w:r w:rsidRPr="008A7454">
        <w:t>and</w:t>
      </w:r>
      <w:r w:rsidR="003B65CF" w:rsidRPr="003B65CF">
        <w:t xml:space="preserve"> </w:t>
      </w:r>
      <w:r w:rsidRPr="008A7454">
        <w:t>of</w:t>
      </w:r>
      <w:r w:rsidR="003B65CF" w:rsidRPr="003B65CF">
        <w:t xml:space="preserve"> </w:t>
      </w:r>
      <w:r w:rsidRPr="008A7454">
        <w:t>the</w:t>
      </w:r>
      <w:r w:rsidR="003B65CF" w:rsidRPr="003B65CF">
        <w:t xml:space="preserve"> </w:t>
      </w:r>
      <w:r w:rsidRPr="008A7454">
        <w:t>Council</w:t>
      </w:r>
      <w:r w:rsidR="003B65CF" w:rsidRPr="003B65CF">
        <w:t xml:space="preserve"> </w:t>
      </w:r>
      <w:r w:rsidRPr="008A7454">
        <w:t>on</w:t>
      </w:r>
      <w:r w:rsidR="003B65CF" w:rsidRPr="003B65CF">
        <w:t xml:space="preserve"> </w:t>
      </w:r>
      <w:r w:rsidRPr="008A7454">
        <w:t>the</w:t>
      </w:r>
      <w:r w:rsidR="003B65CF" w:rsidRPr="003B65CF">
        <w:t xml:space="preserve"> </w:t>
      </w:r>
      <w:r w:rsidRPr="008A7454">
        <w:t>definition,</w:t>
      </w:r>
      <w:r w:rsidR="003B65CF" w:rsidRPr="003B65CF">
        <w:t xml:space="preserve"> </w:t>
      </w:r>
      <w:r w:rsidRPr="008A7454">
        <w:t>description,</w:t>
      </w:r>
      <w:r w:rsidR="003B65CF" w:rsidRPr="003B65CF">
        <w:t xml:space="preserve"> </w:t>
      </w:r>
      <w:r w:rsidRPr="008A7454">
        <w:t>presentation</w:t>
      </w:r>
      <w:r w:rsidR="003B65CF" w:rsidRPr="003B65CF">
        <w:t xml:space="preserve"> </w:t>
      </w:r>
      <w:r w:rsidRPr="008A7454">
        <w:t>and</w:t>
      </w:r>
      <w:r w:rsidR="003B65CF" w:rsidRPr="003B65CF">
        <w:t xml:space="preserve"> </w:t>
      </w:r>
      <w:r w:rsidRPr="008A7454">
        <w:t>labelling</w:t>
      </w:r>
      <w:r w:rsidR="003B65CF" w:rsidRPr="003B65CF">
        <w:t xml:space="preserve"> </w:t>
      </w:r>
      <w:r w:rsidRPr="008A7454">
        <w:t>of</w:t>
      </w:r>
      <w:r w:rsidR="003B65CF" w:rsidRPr="003B65CF">
        <w:t xml:space="preserve"> </w:t>
      </w:r>
      <w:r w:rsidRPr="008A7454">
        <w:t>spirit</w:t>
      </w:r>
      <w:r w:rsidR="003B65CF" w:rsidRPr="003B65CF">
        <w:t xml:space="preserve"> </w:t>
      </w:r>
      <w:r w:rsidRPr="008A7454">
        <w:t>drinks,</w:t>
      </w:r>
      <w:r w:rsidR="003B65CF" w:rsidRPr="003B65CF">
        <w:t xml:space="preserve"> </w:t>
      </w:r>
      <w:r w:rsidRPr="008A7454">
        <w:t>the</w:t>
      </w:r>
      <w:r w:rsidR="003B65CF" w:rsidRPr="003B65CF">
        <w:t xml:space="preserve"> </w:t>
      </w:r>
      <w:r w:rsidRPr="008A7454">
        <w:t>use</w:t>
      </w:r>
      <w:r w:rsidR="003B65CF" w:rsidRPr="003B65CF">
        <w:t xml:space="preserve"> </w:t>
      </w:r>
      <w:r w:rsidRPr="008A7454">
        <w:t>of</w:t>
      </w:r>
      <w:r w:rsidR="003B65CF" w:rsidRPr="003B65CF">
        <w:t xml:space="preserve"> </w:t>
      </w:r>
      <w:r w:rsidRPr="008A7454">
        <w:t>the</w:t>
      </w:r>
      <w:r w:rsidR="003B65CF" w:rsidRPr="003B65CF">
        <w:t xml:space="preserve"> </w:t>
      </w:r>
      <w:r w:rsidRPr="008A7454">
        <w:t>names</w:t>
      </w:r>
      <w:r w:rsidR="003B65CF" w:rsidRPr="003B65CF">
        <w:t xml:space="preserve"> </w:t>
      </w:r>
      <w:r w:rsidRPr="008A7454">
        <w:t>of</w:t>
      </w:r>
      <w:r w:rsidR="003B65CF" w:rsidRPr="003B65CF">
        <w:t xml:space="preserve"> </w:t>
      </w:r>
      <w:r w:rsidRPr="008A7454">
        <w:t>spirit</w:t>
      </w:r>
      <w:r w:rsidR="003B65CF" w:rsidRPr="003B65CF">
        <w:t xml:space="preserve"> </w:t>
      </w:r>
      <w:r w:rsidRPr="008A7454">
        <w:t>drinks</w:t>
      </w:r>
      <w:r w:rsidR="003B65CF" w:rsidRPr="003B65CF">
        <w:t xml:space="preserve"> </w:t>
      </w:r>
      <w:r w:rsidRPr="008A7454">
        <w:t>in</w:t>
      </w:r>
      <w:r w:rsidR="003B65CF" w:rsidRPr="003B65CF">
        <w:t xml:space="preserve"> </w:t>
      </w:r>
      <w:r w:rsidRPr="008A7454">
        <w:t>the</w:t>
      </w:r>
      <w:r w:rsidR="003B65CF" w:rsidRPr="003B65CF">
        <w:t xml:space="preserve"> </w:t>
      </w:r>
      <w:r w:rsidRPr="008A7454">
        <w:t>presentation</w:t>
      </w:r>
      <w:r w:rsidR="003B65CF" w:rsidRPr="003B65CF">
        <w:t xml:space="preserve"> </w:t>
      </w:r>
      <w:r w:rsidRPr="008A7454">
        <w:t>and</w:t>
      </w:r>
      <w:r w:rsidR="003B65CF" w:rsidRPr="003B65CF">
        <w:t xml:space="preserve"> </w:t>
      </w:r>
      <w:r w:rsidRPr="008A7454">
        <w:t>labelling</w:t>
      </w:r>
      <w:r w:rsidR="003B65CF" w:rsidRPr="003B65CF">
        <w:t xml:space="preserve"> </w:t>
      </w:r>
      <w:r w:rsidRPr="008A7454">
        <w:t>of</w:t>
      </w:r>
      <w:r w:rsidR="003B65CF" w:rsidRPr="003B65CF">
        <w:t xml:space="preserve"> </w:t>
      </w:r>
      <w:r w:rsidRPr="008A7454">
        <w:t>other</w:t>
      </w:r>
      <w:r w:rsidR="003B65CF" w:rsidRPr="003B65CF">
        <w:t xml:space="preserve"> </w:t>
      </w:r>
      <w:r w:rsidRPr="008A7454">
        <w:t>foodstuffs,</w:t>
      </w:r>
      <w:r w:rsidR="003B65CF" w:rsidRPr="003B65CF">
        <w:t xml:space="preserve"> </w:t>
      </w:r>
      <w:r w:rsidRPr="008A7454">
        <w:t>the</w:t>
      </w:r>
      <w:r w:rsidR="003B65CF" w:rsidRPr="003B65CF">
        <w:t xml:space="preserve"> </w:t>
      </w:r>
      <w:r w:rsidRPr="008A7454">
        <w:t>protection</w:t>
      </w:r>
      <w:r w:rsidR="003B65CF" w:rsidRPr="003B65CF">
        <w:t xml:space="preserve"> </w:t>
      </w:r>
      <w:r w:rsidRPr="008A7454">
        <w:t>of</w:t>
      </w:r>
      <w:r w:rsidR="003B65CF" w:rsidRPr="003B65CF">
        <w:t xml:space="preserve"> </w:t>
      </w:r>
      <w:r w:rsidRPr="008A7454">
        <w:t>geographical</w:t>
      </w:r>
      <w:r w:rsidR="003B65CF" w:rsidRPr="003B65CF">
        <w:t xml:space="preserve"> </w:t>
      </w:r>
      <w:r w:rsidRPr="008A7454">
        <w:t>indications</w:t>
      </w:r>
      <w:r w:rsidR="003B65CF" w:rsidRPr="003B65CF">
        <w:t xml:space="preserve"> </w:t>
      </w:r>
      <w:r w:rsidRPr="008A7454">
        <w:t>for</w:t>
      </w:r>
      <w:r w:rsidR="003B65CF" w:rsidRPr="003B65CF">
        <w:t xml:space="preserve"> </w:t>
      </w:r>
      <w:r w:rsidRPr="008A7454">
        <w:t>spirit</w:t>
      </w:r>
      <w:r w:rsidR="003B65CF" w:rsidRPr="003B65CF">
        <w:t xml:space="preserve"> </w:t>
      </w:r>
      <w:r w:rsidRPr="008A7454">
        <w:t>drinks,</w:t>
      </w:r>
      <w:r w:rsidR="003B65CF" w:rsidRPr="003B65CF">
        <w:t xml:space="preserve"> </w:t>
      </w:r>
      <w:r w:rsidRPr="008A7454">
        <w:t>the</w:t>
      </w:r>
      <w:r w:rsidR="003B65CF" w:rsidRPr="003B65CF">
        <w:t xml:space="preserve"> </w:t>
      </w:r>
      <w:r w:rsidRPr="008A7454">
        <w:t>use</w:t>
      </w:r>
      <w:r w:rsidR="003B65CF" w:rsidRPr="003B65CF">
        <w:t xml:space="preserve"> </w:t>
      </w:r>
      <w:r w:rsidRPr="008A7454">
        <w:t>of</w:t>
      </w:r>
      <w:r w:rsidR="003B65CF" w:rsidRPr="003B65CF">
        <w:t xml:space="preserve"> </w:t>
      </w:r>
      <w:r w:rsidRPr="008A7454">
        <w:t>ethyl</w:t>
      </w:r>
      <w:r w:rsidR="003B65CF" w:rsidRPr="003B65CF">
        <w:t xml:space="preserve"> </w:t>
      </w:r>
      <w:r w:rsidRPr="008A7454">
        <w:t>alcohol</w:t>
      </w:r>
      <w:r w:rsidR="003B65CF" w:rsidRPr="003B65CF">
        <w:t xml:space="preserve"> </w:t>
      </w:r>
      <w:r w:rsidRPr="008A7454">
        <w:t>and</w:t>
      </w:r>
      <w:r w:rsidR="003B65CF" w:rsidRPr="003B65CF">
        <w:t xml:space="preserve"> </w:t>
      </w:r>
      <w:r w:rsidRPr="008A7454">
        <w:t>distillates</w:t>
      </w:r>
      <w:r w:rsidR="003B65CF" w:rsidRPr="003B65CF">
        <w:t xml:space="preserve"> </w:t>
      </w:r>
      <w:r w:rsidRPr="008A7454">
        <w:t>of</w:t>
      </w:r>
      <w:r w:rsidR="003B65CF" w:rsidRPr="003B65CF">
        <w:t xml:space="preserve"> </w:t>
      </w:r>
      <w:r w:rsidRPr="008A7454">
        <w:t>agricultural</w:t>
      </w:r>
      <w:r w:rsidR="003B65CF" w:rsidRPr="003B65CF">
        <w:t xml:space="preserve"> </w:t>
      </w:r>
      <w:r w:rsidRPr="008A7454">
        <w:t>origin</w:t>
      </w:r>
      <w:r w:rsidR="003B65CF" w:rsidRPr="003B65CF">
        <w:t xml:space="preserve"> </w:t>
      </w:r>
      <w:r w:rsidRPr="008A7454">
        <w:t>in</w:t>
      </w:r>
      <w:r w:rsidR="003B65CF" w:rsidRPr="003B65CF">
        <w:t xml:space="preserve"> </w:t>
      </w:r>
      <w:r w:rsidRPr="008A7454">
        <w:t>alcoholic</w:t>
      </w:r>
      <w:r w:rsidR="003B65CF" w:rsidRPr="003B65CF">
        <w:t xml:space="preserve"> </w:t>
      </w:r>
      <w:r w:rsidRPr="008A7454">
        <w:t>beverages,</w:t>
      </w:r>
      <w:r w:rsidR="003B65CF" w:rsidRPr="003B65CF">
        <w:t xml:space="preserve"> </w:t>
      </w:r>
      <w:r w:rsidRPr="008A7454">
        <w:t>and</w:t>
      </w:r>
      <w:r w:rsidR="003B65CF" w:rsidRPr="003B65CF">
        <w:t xml:space="preserve"> </w:t>
      </w:r>
      <w:r w:rsidRPr="008A7454">
        <w:t>repeal</w:t>
      </w:r>
      <w:r w:rsidR="00150345">
        <w:t>ing</w:t>
      </w:r>
      <w:r w:rsidR="003B65CF" w:rsidRPr="003B65CF">
        <w:t xml:space="preserve"> </w:t>
      </w:r>
      <w:r w:rsidR="00150345">
        <w:t>Regulation</w:t>
      </w:r>
      <w:r w:rsidR="003B65CF" w:rsidRPr="003B65CF">
        <w:t xml:space="preserve"> </w:t>
      </w:r>
      <w:r w:rsidR="00150345">
        <w:t>(EC)</w:t>
      </w:r>
      <w:r w:rsidR="003B65CF" w:rsidRPr="003B65CF">
        <w:t xml:space="preserve"> </w:t>
      </w:r>
      <w:r w:rsidR="00150345">
        <w:t>No</w:t>
      </w:r>
      <w:r w:rsidR="003B65CF" w:rsidRPr="003B65CF">
        <w:t xml:space="preserve"> </w:t>
      </w:r>
      <w:r w:rsidR="00150345">
        <w:t>110/2008</w:t>
      </w:r>
      <w:r w:rsidR="003B65CF" w:rsidRPr="003B65CF">
        <w:t xml:space="preserve"> </w:t>
      </w:r>
      <w:r w:rsidR="006A372E" w:rsidRPr="008A7454">
        <w:t>(OJ</w:t>
      </w:r>
      <w:r w:rsidR="003B65CF" w:rsidRPr="003B65CF">
        <w:t xml:space="preserve"> </w:t>
      </w:r>
      <w:r w:rsidR="006A372E" w:rsidRPr="008A7454">
        <w:t>No</w:t>
      </w:r>
      <w:r w:rsidR="003B65CF" w:rsidRPr="003B65CF">
        <w:t xml:space="preserve"> </w:t>
      </w:r>
      <w:r w:rsidR="006A372E" w:rsidRPr="008A7454">
        <w:t>L</w:t>
      </w:r>
      <w:r w:rsidR="003B65CF" w:rsidRPr="003B65CF">
        <w:t xml:space="preserve"> </w:t>
      </w:r>
      <w:r w:rsidR="006A372E">
        <w:t>130,</w:t>
      </w:r>
      <w:r w:rsidR="003B65CF" w:rsidRPr="003B65CF">
        <w:t xml:space="preserve"> </w:t>
      </w:r>
      <w:r w:rsidR="006A372E">
        <w:t>17.5.2019</w:t>
      </w:r>
      <w:r w:rsidR="006A372E" w:rsidRPr="008A7454">
        <w:t>,</w:t>
      </w:r>
      <w:r w:rsidR="003B65CF" w:rsidRPr="003B65CF">
        <w:t xml:space="preserve"> </w:t>
      </w:r>
      <w:r w:rsidR="006A372E" w:rsidRPr="008A7454">
        <w:t>p</w:t>
      </w:r>
      <w:r w:rsidR="003B65CF" w:rsidRPr="003B65CF">
        <w:t xml:space="preserve"> </w:t>
      </w:r>
      <w:r w:rsidR="006A372E" w:rsidRPr="008A7454">
        <w:t>1</w:t>
      </w:r>
      <w:r w:rsidR="006A372E">
        <w:t>-54</w:t>
      </w:r>
      <w:r w:rsidR="006A372E" w:rsidRPr="008A7454">
        <w:t>)</w:t>
      </w:r>
      <w:r w:rsidR="00150345">
        <w:t>;</w:t>
      </w:r>
      <w:r w:rsidR="003B65CF" w:rsidRPr="003B65CF">
        <w:t xml:space="preserve"> </w:t>
      </w:r>
      <w:r w:rsidR="00150345" w:rsidRPr="00150345">
        <w:t>Commission</w:t>
      </w:r>
      <w:r w:rsidR="003B65CF" w:rsidRPr="003B65CF">
        <w:t xml:space="preserve"> </w:t>
      </w:r>
      <w:r w:rsidR="00150345" w:rsidRPr="00150345">
        <w:t>Regulation</w:t>
      </w:r>
      <w:r w:rsidR="003B65CF" w:rsidRPr="003B65CF">
        <w:t xml:space="preserve"> </w:t>
      </w:r>
      <w:r w:rsidR="00150345" w:rsidRPr="00150345">
        <w:t>(EC)</w:t>
      </w:r>
      <w:r w:rsidR="003B65CF" w:rsidRPr="003B65CF">
        <w:t xml:space="preserve"> </w:t>
      </w:r>
      <w:r w:rsidR="00150345" w:rsidRPr="00150345">
        <w:t>No</w:t>
      </w:r>
      <w:r w:rsidR="003B65CF" w:rsidRPr="003B65CF">
        <w:t> </w:t>
      </w:r>
      <w:r w:rsidR="00150345" w:rsidRPr="00150345">
        <w:t>936/2009</w:t>
      </w:r>
      <w:r w:rsidR="003B65CF" w:rsidRPr="003B65CF">
        <w:t xml:space="preserve"> </w:t>
      </w:r>
      <w:r w:rsidR="00150345" w:rsidRPr="00150345">
        <w:t>applying</w:t>
      </w:r>
      <w:r w:rsidR="003B65CF" w:rsidRPr="003B65CF">
        <w:t xml:space="preserve"> </w:t>
      </w:r>
      <w:r w:rsidR="00150345" w:rsidRPr="00150345">
        <w:t>the</w:t>
      </w:r>
      <w:r w:rsidR="003B65CF" w:rsidRPr="003B65CF">
        <w:t xml:space="preserve"> </w:t>
      </w:r>
      <w:r w:rsidR="00150345" w:rsidRPr="00150345">
        <w:t>agreements</w:t>
      </w:r>
      <w:r w:rsidR="003B65CF" w:rsidRPr="003B65CF">
        <w:t xml:space="preserve"> </w:t>
      </w:r>
      <w:r w:rsidR="00150345" w:rsidRPr="00150345">
        <w:t>between</w:t>
      </w:r>
      <w:r w:rsidR="003B65CF" w:rsidRPr="003B65CF">
        <w:t xml:space="preserve"> </w:t>
      </w:r>
      <w:r w:rsidR="00150345" w:rsidRPr="00150345">
        <w:t>the</w:t>
      </w:r>
      <w:r w:rsidR="003B65CF" w:rsidRPr="003B65CF">
        <w:t xml:space="preserve"> </w:t>
      </w:r>
      <w:r w:rsidR="00150345" w:rsidRPr="00150345">
        <w:t>European</w:t>
      </w:r>
      <w:r w:rsidR="003B65CF" w:rsidRPr="003B65CF">
        <w:t xml:space="preserve"> </w:t>
      </w:r>
      <w:r w:rsidR="00150345" w:rsidRPr="00150345">
        <w:t>Union</w:t>
      </w:r>
      <w:r w:rsidR="003B65CF" w:rsidRPr="003B65CF">
        <w:t xml:space="preserve"> </w:t>
      </w:r>
      <w:r w:rsidR="00150345" w:rsidRPr="00150345">
        <w:t>and</w:t>
      </w:r>
      <w:r w:rsidR="003B65CF" w:rsidRPr="003B65CF">
        <w:t xml:space="preserve"> </w:t>
      </w:r>
      <w:r w:rsidR="00150345" w:rsidRPr="00150345">
        <w:t>third</w:t>
      </w:r>
      <w:r w:rsidR="003B65CF" w:rsidRPr="003B65CF">
        <w:t xml:space="preserve"> </w:t>
      </w:r>
      <w:r w:rsidR="00150345" w:rsidRPr="00150345">
        <w:t>countries</w:t>
      </w:r>
      <w:r w:rsidR="003B65CF" w:rsidRPr="003B65CF">
        <w:t xml:space="preserve"> </w:t>
      </w:r>
      <w:r w:rsidR="00150345" w:rsidRPr="00150345">
        <w:t>on</w:t>
      </w:r>
      <w:r w:rsidR="003B65CF" w:rsidRPr="003B65CF">
        <w:t xml:space="preserve"> </w:t>
      </w:r>
      <w:r w:rsidR="00150345" w:rsidRPr="00150345">
        <w:t>the</w:t>
      </w:r>
      <w:r w:rsidR="003B65CF" w:rsidRPr="003B65CF">
        <w:t xml:space="preserve"> </w:t>
      </w:r>
      <w:r w:rsidR="00150345" w:rsidRPr="00150345">
        <w:t>mutual</w:t>
      </w:r>
      <w:r w:rsidR="003B65CF" w:rsidRPr="003B65CF">
        <w:t xml:space="preserve"> </w:t>
      </w:r>
      <w:r w:rsidR="00150345" w:rsidRPr="00150345">
        <w:t>recognition</w:t>
      </w:r>
      <w:r w:rsidR="003B65CF" w:rsidRPr="003B65CF">
        <w:t xml:space="preserve"> </w:t>
      </w:r>
      <w:r w:rsidR="00150345" w:rsidRPr="00150345">
        <w:t>of</w:t>
      </w:r>
      <w:r w:rsidR="003B65CF" w:rsidRPr="003B65CF">
        <w:t xml:space="preserve"> </w:t>
      </w:r>
      <w:r w:rsidR="00150345" w:rsidRPr="00150345">
        <w:t>certain</w:t>
      </w:r>
      <w:r w:rsidR="003B65CF" w:rsidRPr="003B65CF">
        <w:t xml:space="preserve"> </w:t>
      </w:r>
      <w:r w:rsidR="00150345" w:rsidRPr="00150345">
        <w:t>spirit</w:t>
      </w:r>
      <w:r w:rsidR="003B65CF" w:rsidRPr="003B65CF">
        <w:t xml:space="preserve"> </w:t>
      </w:r>
      <w:r w:rsidR="00150345" w:rsidRPr="00150345">
        <w:t>drinks</w:t>
      </w:r>
      <w:r w:rsidR="003B65CF" w:rsidRPr="003B65CF">
        <w:t xml:space="preserve"> </w:t>
      </w:r>
      <w:r w:rsidR="00306EAD">
        <w:t>(</w:t>
      </w:r>
      <w:r w:rsidR="00306EAD" w:rsidRPr="00150345">
        <w:rPr>
          <w:iCs/>
        </w:rPr>
        <w:t>OJ</w:t>
      </w:r>
      <w:r w:rsidR="003B65CF" w:rsidRPr="003B65CF">
        <w:rPr>
          <w:iCs/>
        </w:rPr>
        <w:t xml:space="preserve"> </w:t>
      </w:r>
      <w:r w:rsidR="00306EAD">
        <w:rPr>
          <w:iCs/>
        </w:rPr>
        <w:t>No</w:t>
      </w:r>
      <w:r w:rsidR="003B65CF" w:rsidRPr="003B65CF">
        <w:rPr>
          <w:iCs/>
        </w:rPr>
        <w:t xml:space="preserve"> </w:t>
      </w:r>
      <w:r w:rsidR="00306EAD">
        <w:rPr>
          <w:iCs/>
        </w:rPr>
        <w:t>L</w:t>
      </w:r>
      <w:r w:rsidR="003B65CF" w:rsidRPr="003B65CF">
        <w:rPr>
          <w:iCs/>
        </w:rPr>
        <w:t xml:space="preserve"> </w:t>
      </w:r>
      <w:r w:rsidR="00306EAD">
        <w:rPr>
          <w:iCs/>
        </w:rPr>
        <w:t>264,</w:t>
      </w:r>
      <w:r w:rsidR="003B65CF" w:rsidRPr="003B65CF">
        <w:rPr>
          <w:iCs/>
        </w:rPr>
        <w:t xml:space="preserve"> </w:t>
      </w:r>
      <w:r w:rsidR="00306EAD">
        <w:rPr>
          <w:iCs/>
        </w:rPr>
        <w:t>8.10.2009,</w:t>
      </w:r>
      <w:r w:rsidR="003B65CF" w:rsidRPr="003B65CF">
        <w:rPr>
          <w:iCs/>
        </w:rPr>
        <w:t xml:space="preserve"> </w:t>
      </w:r>
      <w:r w:rsidR="00306EAD">
        <w:rPr>
          <w:iCs/>
        </w:rPr>
        <w:t>p</w:t>
      </w:r>
      <w:r w:rsidR="003B65CF" w:rsidRPr="003B65CF">
        <w:rPr>
          <w:iCs/>
        </w:rPr>
        <w:t xml:space="preserve"> </w:t>
      </w:r>
      <w:r w:rsidR="00306EAD" w:rsidRPr="00150345">
        <w:rPr>
          <w:iCs/>
        </w:rPr>
        <w:t>5–6</w:t>
      </w:r>
      <w:r w:rsidR="00306EAD">
        <w:rPr>
          <w:iCs/>
        </w:rPr>
        <w:t>)</w:t>
      </w:r>
      <w:r w:rsidR="00306EAD">
        <w:t>.</w:t>
      </w:r>
    </w:p>
    <w:p w:rsidR="00B57BF5" w:rsidRPr="00855E22" w:rsidRDefault="00C11B43" w:rsidP="00855E22">
      <w:pPr>
        <w:pStyle w:val="T1"/>
      </w:pPr>
      <w:r>
        <w:t>Regulation</w:t>
      </w:r>
      <w:r w:rsidR="003B65CF" w:rsidRPr="003B65CF">
        <w:t xml:space="preserve"> </w:t>
      </w:r>
      <w:r>
        <w:t>29</w:t>
      </w:r>
      <w:r w:rsidR="003B65CF" w:rsidRPr="003B65CF">
        <w:t xml:space="preserve"> </w:t>
      </w:r>
      <w:r w:rsidR="0035197E">
        <w:t>amends</w:t>
      </w:r>
      <w:r w:rsidR="003B65CF" w:rsidRPr="003B65CF">
        <w:t xml:space="preserve"> </w:t>
      </w:r>
      <w:r w:rsidR="0035197E">
        <w:t>and</w:t>
      </w:r>
      <w:r w:rsidR="003B65CF" w:rsidRPr="003B65CF">
        <w:t xml:space="preserve"> </w:t>
      </w:r>
      <w:r w:rsidR="00A06CF9">
        <w:t>revokes</w:t>
      </w:r>
      <w:r w:rsidR="003B65CF" w:rsidRPr="003B65CF">
        <w:t xml:space="preserve"> </w:t>
      </w:r>
      <w:r w:rsidR="00A06CF9">
        <w:t>p</w:t>
      </w:r>
      <w:r w:rsidR="0035197E">
        <w:t>arts</w:t>
      </w:r>
      <w:r w:rsidR="003B65CF" w:rsidRPr="003B65CF">
        <w:t xml:space="preserve"> </w:t>
      </w:r>
      <w:r w:rsidR="0035197E">
        <w:t>of</w:t>
      </w:r>
      <w:r w:rsidR="003B65CF" w:rsidRPr="003B65CF">
        <w:t xml:space="preserve"> </w:t>
      </w:r>
      <w:r w:rsidR="0035197E">
        <w:t>the</w:t>
      </w:r>
      <w:r w:rsidR="003B65CF" w:rsidRPr="003B65CF">
        <w:t xml:space="preserve"> </w:t>
      </w:r>
      <w:r w:rsidR="0035197E">
        <w:t>Spirit</w:t>
      </w:r>
      <w:r w:rsidR="003B65CF" w:rsidRPr="003B65CF">
        <w:t xml:space="preserve"> </w:t>
      </w:r>
      <w:r w:rsidR="0035197E">
        <w:t>Drinks</w:t>
      </w:r>
      <w:r w:rsidR="003B65CF" w:rsidRPr="003B65CF">
        <w:t xml:space="preserve"> </w:t>
      </w:r>
      <w:r w:rsidR="0035197E">
        <w:t>Regulations</w:t>
      </w:r>
      <w:r w:rsidR="003B65CF" w:rsidRPr="003B65CF">
        <w:t xml:space="preserve"> </w:t>
      </w:r>
      <w:r w:rsidR="0035197E">
        <w:t>2008</w:t>
      </w:r>
      <w:r w:rsidR="003B65CF" w:rsidRPr="003B65CF">
        <w:t xml:space="preserve"> </w:t>
      </w:r>
      <w:r w:rsidR="00C14DEC">
        <w:t>(S.I.</w:t>
      </w:r>
      <w:r w:rsidR="003B65CF" w:rsidRPr="003B65CF">
        <w:t xml:space="preserve"> </w:t>
      </w:r>
      <w:r w:rsidR="00C14DEC">
        <w:t>2008/3206)</w:t>
      </w:r>
      <w:r w:rsidR="003B65CF" w:rsidRPr="003B65CF">
        <w:t xml:space="preserve"> </w:t>
      </w:r>
      <w:r w:rsidR="00A06CF9">
        <w:t>that</w:t>
      </w:r>
      <w:r w:rsidR="003B65CF" w:rsidRPr="003B65CF">
        <w:t xml:space="preserve"> </w:t>
      </w:r>
      <w:r w:rsidR="00A06CF9">
        <w:t>provided</w:t>
      </w:r>
      <w:r w:rsidR="003B65CF" w:rsidRPr="003B65CF">
        <w:t xml:space="preserve"> </w:t>
      </w:r>
      <w:r w:rsidR="00C14DEC">
        <w:t>for</w:t>
      </w:r>
      <w:r w:rsidR="003B65CF" w:rsidRPr="003B65CF">
        <w:t xml:space="preserve"> </w:t>
      </w:r>
      <w:r w:rsidR="00C14DEC">
        <w:t>the</w:t>
      </w:r>
      <w:r w:rsidR="003B65CF" w:rsidRPr="003B65CF">
        <w:t xml:space="preserve"> </w:t>
      </w:r>
      <w:r w:rsidR="00A06CF9">
        <w:t>enforcement</w:t>
      </w:r>
      <w:r w:rsidR="003B65CF" w:rsidRPr="003B65CF">
        <w:t xml:space="preserve"> </w:t>
      </w:r>
      <w:r w:rsidR="00A06CF9">
        <w:t>of</w:t>
      </w:r>
      <w:r w:rsidR="003B65CF" w:rsidRPr="003B65CF">
        <w:t xml:space="preserve"> </w:t>
      </w:r>
      <w:r w:rsidR="00A06CF9">
        <w:t>Regulation</w:t>
      </w:r>
      <w:r w:rsidR="003B65CF" w:rsidRPr="003B65CF">
        <w:t xml:space="preserve"> </w:t>
      </w:r>
      <w:r w:rsidR="00A06CF9">
        <w:t>(EC)</w:t>
      </w:r>
      <w:r w:rsidR="003B65CF" w:rsidRPr="003B65CF">
        <w:t xml:space="preserve"> </w:t>
      </w:r>
      <w:r w:rsidR="00C14DEC">
        <w:t>No</w:t>
      </w:r>
      <w:r w:rsidR="003B65CF" w:rsidRPr="003B65CF">
        <w:t xml:space="preserve"> </w:t>
      </w:r>
      <w:r w:rsidR="00A06CF9">
        <w:t>110/2008</w:t>
      </w:r>
      <w:r w:rsidR="003B65CF" w:rsidRPr="003B65CF">
        <w:t xml:space="preserve"> </w:t>
      </w:r>
      <w:r w:rsidR="00306EAD">
        <w:t>on</w:t>
      </w:r>
      <w:r w:rsidR="003B65CF" w:rsidRPr="003B65CF">
        <w:t xml:space="preserve"> </w:t>
      </w:r>
      <w:r w:rsidR="00306EAD">
        <w:t>the</w:t>
      </w:r>
      <w:r w:rsidR="003B65CF" w:rsidRPr="003B65CF">
        <w:t xml:space="preserve"> </w:t>
      </w:r>
      <w:r w:rsidR="00306EAD">
        <w:t>definition,</w:t>
      </w:r>
      <w:r w:rsidR="003B65CF" w:rsidRPr="003B65CF">
        <w:t xml:space="preserve"> </w:t>
      </w:r>
      <w:r w:rsidR="00306EAD">
        <w:t>description,</w:t>
      </w:r>
      <w:r w:rsidR="003B65CF" w:rsidRPr="003B65CF">
        <w:t xml:space="preserve"> </w:t>
      </w:r>
      <w:r w:rsidR="00306EAD">
        <w:t>presentation,</w:t>
      </w:r>
      <w:r w:rsidR="003B65CF" w:rsidRPr="003B65CF">
        <w:t xml:space="preserve"> </w:t>
      </w:r>
      <w:r w:rsidR="00306EAD">
        <w:t>labelling</w:t>
      </w:r>
      <w:r w:rsidR="003B65CF" w:rsidRPr="003B65CF">
        <w:t xml:space="preserve"> </w:t>
      </w:r>
      <w:r w:rsidR="00306EAD">
        <w:t>and</w:t>
      </w:r>
      <w:r w:rsidR="003B65CF" w:rsidRPr="003B65CF">
        <w:t xml:space="preserve"> </w:t>
      </w:r>
      <w:r w:rsidR="00306EAD">
        <w:t>the</w:t>
      </w:r>
      <w:r w:rsidR="003B65CF" w:rsidRPr="003B65CF">
        <w:t xml:space="preserve"> </w:t>
      </w:r>
      <w:r w:rsidR="00306EAD">
        <w:t>protection</w:t>
      </w:r>
      <w:r w:rsidR="003B65CF" w:rsidRPr="003B65CF">
        <w:t xml:space="preserve"> </w:t>
      </w:r>
      <w:r w:rsidR="00306EAD">
        <w:t>of</w:t>
      </w:r>
      <w:r w:rsidR="003B65CF" w:rsidRPr="003B65CF">
        <w:t xml:space="preserve"> </w:t>
      </w:r>
      <w:r w:rsidR="00306EAD">
        <w:t>geographical</w:t>
      </w:r>
      <w:r w:rsidR="003B65CF" w:rsidRPr="003B65CF">
        <w:t xml:space="preserve"> </w:t>
      </w:r>
      <w:r w:rsidR="00306EAD">
        <w:t>indications</w:t>
      </w:r>
      <w:r w:rsidR="003B65CF" w:rsidRPr="003B65CF">
        <w:t xml:space="preserve"> </w:t>
      </w:r>
      <w:r w:rsidR="00306EAD">
        <w:t>of</w:t>
      </w:r>
      <w:r w:rsidR="003B65CF" w:rsidRPr="003B65CF">
        <w:t xml:space="preserve"> </w:t>
      </w:r>
      <w:r w:rsidR="00306EAD">
        <w:t>spirit</w:t>
      </w:r>
      <w:r w:rsidR="003B65CF" w:rsidRPr="003B65CF">
        <w:t xml:space="preserve"> </w:t>
      </w:r>
      <w:r w:rsidR="00306EAD">
        <w:t>drinks</w:t>
      </w:r>
      <w:r w:rsidR="003B65CF" w:rsidRPr="003B65CF">
        <w:t xml:space="preserve"> </w:t>
      </w:r>
      <w:r w:rsidR="00306EAD">
        <w:t>and</w:t>
      </w:r>
      <w:r w:rsidR="003B65CF" w:rsidRPr="003B65CF">
        <w:t xml:space="preserve"> </w:t>
      </w:r>
      <w:r w:rsidR="00306EAD">
        <w:t>repealing</w:t>
      </w:r>
      <w:r w:rsidR="003B65CF" w:rsidRPr="003B65CF">
        <w:t xml:space="preserve"> </w:t>
      </w:r>
      <w:r w:rsidR="00306EAD">
        <w:t>Council</w:t>
      </w:r>
      <w:r w:rsidR="003B65CF" w:rsidRPr="003B65CF">
        <w:t xml:space="preserve"> </w:t>
      </w:r>
      <w:r w:rsidR="00306EAD">
        <w:t>Regulation</w:t>
      </w:r>
      <w:r w:rsidR="003B65CF" w:rsidRPr="003B65CF">
        <w:t xml:space="preserve"> </w:t>
      </w:r>
      <w:r w:rsidR="00306EAD">
        <w:t>(EEC)</w:t>
      </w:r>
      <w:r w:rsidR="003B65CF" w:rsidRPr="003B65CF">
        <w:t xml:space="preserve"> </w:t>
      </w:r>
      <w:r w:rsidR="00306EAD">
        <w:t>No</w:t>
      </w:r>
      <w:r w:rsidR="003B65CF" w:rsidRPr="003B65CF">
        <w:t> </w:t>
      </w:r>
      <w:r w:rsidR="00306EAD">
        <w:t>1576/89</w:t>
      </w:r>
      <w:r w:rsidR="003B65CF" w:rsidRPr="003B65CF">
        <w:t xml:space="preserve"> </w:t>
      </w:r>
      <w:r w:rsidR="00306EAD">
        <w:t>(</w:t>
      </w:r>
      <w:r w:rsidR="00306EAD" w:rsidRPr="00306EAD">
        <w:rPr>
          <w:iCs/>
        </w:rPr>
        <w:t>OJ</w:t>
      </w:r>
      <w:r w:rsidR="003B65CF" w:rsidRPr="003B65CF">
        <w:rPr>
          <w:iCs/>
        </w:rPr>
        <w:t xml:space="preserve"> </w:t>
      </w:r>
      <w:r w:rsidR="00306EAD">
        <w:rPr>
          <w:iCs/>
        </w:rPr>
        <w:t>No</w:t>
      </w:r>
      <w:r w:rsidR="003B65CF" w:rsidRPr="003B65CF">
        <w:rPr>
          <w:iCs/>
        </w:rPr>
        <w:t xml:space="preserve"> </w:t>
      </w:r>
      <w:r w:rsidR="00306EAD" w:rsidRPr="00306EAD">
        <w:rPr>
          <w:iCs/>
        </w:rPr>
        <w:t>L</w:t>
      </w:r>
      <w:r w:rsidR="003B65CF" w:rsidRPr="003B65CF">
        <w:rPr>
          <w:iCs/>
        </w:rPr>
        <w:t xml:space="preserve"> </w:t>
      </w:r>
      <w:r w:rsidR="00306EAD" w:rsidRPr="00306EAD">
        <w:rPr>
          <w:iCs/>
        </w:rPr>
        <w:t>39,</w:t>
      </w:r>
      <w:r w:rsidR="003B65CF" w:rsidRPr="003B65CF">
        <w:rPr>
          <w:iCs/>
        </w:rPr>
        <w:t xml:space="preserve"> </w:t>
      </w:r>
      <w:r w:rsidR="00306EAD" w:rsidRPr="00306EAD">
        <w:rPr>
          <w:iCs/>
        </w:rPr>
        <w:t>13.2.2008,</w:t>
      </w:r>
      <w:r w:rsidR="003B65CF" w:rsidRPr="003B65CF">
        <w:rPr>
          <w:iCs/>
        </w:rPr>
        <w:t xml:space="preserve"> </w:t>
      </w:r>
      <w:r w:rsidR="00306EAD" w:rsidRPr="00306EAD">
        <w:rPr>
          <w:iCs/>
        </w:rPr>
        <w:t>p.</w:t>
      </w:r>
      <w:r w:rsidR="003B65CF" w:rsidRPr="003B65CF">
        <w:rPr>
          <w:iCs/>
        </w:rPr>
        <w:t xml:space="preserve"> </w:t>
      </w:r>
      <w:r w:rsidR="00306EAD" w:rsidRPr="00306EAD">
        <w:rPr>
          <w:iCs/>
        </w:rPr>
        <w:t>16</w:t>
      </w:r>
      <w:r w:rsidR="00306EAD">
        <w:rPr>
          <w:iCs/>
        </w:rPr>
        <w:t>-54)</w:t>
      </w:r>
      <w:r w:rsidR="003B65CF" w:rsidRPr="003B65CF">
        <w:t xml:space="preserve"> </w:t>
      </w:r>
      <w:r w:rsidR="0035197E">
        <w:t>and</w:t>
      </w:r>
      <w:r w:rsidR="003B65CF" w:rsidRPr="003B65CF">
        <w:t xml:space="preserve"> </w:t>
      </w:r>
      <w:r w:rsidR="0035197E">
        <w:t>Regulation</w:t>
      </w:r>
      <w:r w:rsidR="003B65CF" w:rsidRPr="003B65CF">
        <w:t xml:space="preserve"> </w:t>
      </w:r>
      <w:r w:rsidR="0035197E">
        <w:t>(EC)</w:t>
      </w:r>
      <w:r w:rsidR="003B65CF" w:rsidRPr="003B65CF">
        <w:t xml:space="preserve"> </w:t>
      </w:r>
      <w:r w:rsidR="0035197E">
        <w:t>936/2009</w:t>
      </w:r>
      <w:r w:rsidR="003B65CF" w:rsidRPr="003B65CF">
        <w:t xml:space="preserve"> </w:t>
      </w:r>
      <w:r>
        <w:t>for</w:t>
      </w:r>
      <w:r w:rsidR="003B65CF" w:rsidRPr="003B65CF">
        <w:t xml:space="preserve"> </w:t>
      </w:r>
      <w:r>
        <w:t>spirit</w:t>
      </w:r>
      <w:r w:rsidR="003B65CF" w:rsidRPr="003B65CF">
        <w:t xml:space="preserve"> </w:t>
      </w:r>
      <w:r>
        <w:t>drinks</w:t>
      </w:r>
      <w:r w:rsidR="003B65CF" w:rsidRPr="003B65CF">
        <w:t xml:space="preserve"> </w:t>
      </w:r>
      <w:r w:rsidR="00A06CF9">
        <w:t>in</w:t>
      </w:r>
      <w:r w:rsidR="003B65CF" w:rsidRPr="003B65CF">
        <w:t xml:space="preserve"> </w:t>
      </w:r>
      <w:r w:rsidR="00A06CF9">
        <w:t>Northern</w:t>
      </w:r>
      <w:r w:rsidR="003B65CF" w:rsidRPr="003B65CF">
        <w:t xml:space="preserve"> </w:t>
      </w:r>
      <w:r w:rsidR="00A06CF9">
        <w:t>Ireland.</w:t>
      </w:r>
    </w:p>
    <w:sectPr w:rsidR="00B57BF5" w:rsidRPr="00855E22" w:rsidSect="00E61B82">
      <w:footerReference w:type="even" r:id="rId7"/>
      <w:footerReference w:type="default" r:id="rId8"/>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60" w:rsidRDefault="00C26B60">
      <w:r>
        <w:separator/>
      </w:r>
    </w:p>
  </w:endnote>
  <w:endnote w:type="continuationSeparator" w:id="0">
    <w:p w:rsidR="00C26B60" w:rsidRDefault="00C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5CF">
      <w:rPr>
        <w:rStyle w:val="PageNumber"/>
        <w:noProof/>
      </w:rPr>
      <w:t>20</w:t>
    </w:r>
    <w:r>
      <w:rPr>
        <w:rStyle w:val="PageNumber"/>
      </w:rPr>
      <w:fldChar w:fldCharType="end"/>
    </w:r>
  </w:p>
  <w:p w:rsidR="00EA00FE" w:rsidRDefault="00EA0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856">
      <w:rPr>
        <w:rStyle w:val="PageNumber"/>
        <w:noProof/>
      </w:rPr>
      <w:t>4</w:t>
    </w:r>
    <w:r>
      <w:rPr>
        <w:rStyle w:val="PageNumber"/>
      </w:rPr>
      <w:fldChar w:fldCharType="end"/>
    </w:r>
  </w:p>
  <w:p w:rsidR="00EA00FE" w:rsidRDefault="00EA0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60" w:rsidRDefault="00C26B60" w:rsidP="00FF5421">
      <w:r>
        <w:continuationSeparator/>
      </w:r>
    </w:p>
  </w:footnote>
  <w:footnote w:type="continuationSeparator" w:id="0">
    <w:p w:rsidR="00C26B60" w:rsidRDefault="00C26B60">
      <w:r>
        <w:continuationSeparator/>
      </w:r>
    </w:p>
  </w:footnote>
  <w:footnote w:type="continuationNotice" w:id="1">
    <w:p w:rsidR="00C26B60" w:rsidRDefault="00C26B60"/>
  </w:footnote>
  <w:footnote w:id="2">
    <w:p w:rsidR="004463CB" w:rsidRDefault="004463CB" w:rsidP="004463CB">
      <w:pPr>
        <w:pStyle w:val="FootnoteText"/>
      </w:pPr>
      <w:r>
        <w:t>(</w:t>
      </w:r>
      <w:r>
        <w:rPr>
          <w:rStyle w:val="FootnoteReference"/>
        </w:rPr>
        <w:footnoteRef/>
      </w:r>
      <w:r>
        <w:t>)</w:t>
      </w:r>
      <w:r>
        <w:tab/>
      </w:r>
      <w:bookmarkStart w:id="2" w:name="_Hlk86826825"/>
      <w:r>
        <w:t>2018 (c</w:t>
      </w:r>
      <w:r w:rsidR="006020BD">
        <w:t xml:space="preserve">. </w:t>
      </w:r>
      <w:r>
        <w:t xml:space="preserve">16); Part 1C of Schedule 2 was inserted by </w:t>
      </w:r>
      <w:r w:rsidR="004F72A1">
        <w:t>s</w:t>
      </w:r>
      <w:r>
        <w:t>ection 22 of the European Union (Withdrawal Agreement) Act 2020 (c.</w:t>
      </w:r>
      <w:r w:rsidR="004F72A1">
        <w:t xml:space="preserve"> </w:t>
      </w:r>
      <w:r>
        <w:t>1) (</w:t>
      </w:r>
      <w:r w:rsidR="004F72A1">
        <w:t>“</w:t>
      </w:r>
      <w:r>
        <w:t>the 2020 Act</w:t>
      </w:r>
      <w:r w:rsidR="004F72A1">
        <w:t>”</w:t>
      </w:r>
      <w:r>
        <w:t>); paragraph 21(b) of Schedule 7 was amended by paragraph 53(2) of Schedule 5 to the 2020 Act.</w:t>
      </w:r>
    </w:p>
    <w:bookmarkEnd w:id="2"/>
  </w:footnote>
  <w:footnote w:id="3">
    <w:p w:rsidR="006C6C50" w:rsidRDefault="006C6C50">
      <w:pPr>
        <w:pStyle w:val="FootnoteText"/>
      </w:pPr>
      <w:r>
        <w:t>(</w:t>
      </w:r>
      <w:r>
        <w:rPr>
          <w:rStyle w:val="FootnoteReference"/>
        </w:rPr>
        <w:footnoteRef/>
      </w:r>
      <w:r>
        <w:t>)</w:t>
      </w:r>
      <w:r>
        <w:tab/>
      </w:r>
      <w:r w:rsidRPr="006C6C50">
        <w:t xml:space="preserve">OJ No L 31, 1.2.2002, p 1, last amended by </w:t>
      </w:r>
      <w:r>
        <w:t>Regulation (EU) 2019/1381</w:t>
      </w:r>
      <w:r w:rsidR="00172D87">
        <w:t xml:space="preserve"> of the European Parliament and of the Council</w:t>
      </w:r>
      <w:r>
        <w:t xml:space="preserve"> (OJ No L 231, 6.9.2019, p 1</w:t>
      </w:r>
      <w:r w:rsidRPr="006C6C50">
        <w:t>).</w:t>
      </w:r>
    </w:p>
  </w:footnote>
  <w:footnote w:id="4">
    <w:p w:rsidR="008767A8" w:rsidRDefault="008767A8" w:rsidP="008767A8">
      <w:pPr>
        <w:pStyle w:val="FootnoteText"/>
      </w:pPr>
      <w:r>
        <w:t>(</w:t>
      </w:r>
      <w:r>
        <w:rPr>
          <w:rStyle w:val="FootnoteReference"/>
        </w:rPr>
        <w:footnoteRef/>
      </w:r>
      <w:r w:rsidR="009B2AD4">
        <w:t>)</w:t>
      </w:r>
      <w:r w:rsidR="009B2AD4">
        <w:tab/>
        <w:t xml:space="preserve">1954 c. </w:t>
      </w:r>
      <w:r>
        <w:t>33 (N.I.).</w:t>
      </w:r>
    </w:p>
  </w:footnote>
  <w:footnote w:id="5">
    <w:p w:rsidR="004A3DCC" w:rsidRDefault="004A3DCC" w:rsidP="004A3DCC">
      <w:pPr>
        <w:pStyle w:val="FootnoteText"/>
      </w:pPr>
      <w:r>
        <w:t>(</w:t>
      </w:r>
      <w:r>
        <w:rPr>
          <w:rStyle w:val="FootnoteReference"/>
        </w:rPr>
        <w:footnoteRef/>
      </w:r>
      <w:r>
        <w:t>)</w:t>
      </w:r>
      <w:r>
        <w:tab/>
      </w:r>
      <w:r w:rsidRPr="008767A8">
        <w:t xml:space="preserve">OJ </w:t>
      </w:r>
      <w:r>
        <w:t xml:space="preserve">No L 264, 8.10.2009, p. 5, </w:t>
      </w:r>
    </w:p>
  </w:footnote>
  <w:footnote w:id="6">
    <w:p w:rsidR="00672658" w:rsidRDefault="00672658">
      <w:pPr>
        <w:pStyle w:val="FootnoteText"/>
      </w:pPr>
      <w:r>
        <w:t>(</w:t>
      </w:r>
      <w:r>
        <w:rPr>
          <w:rStyle w:val="FootnoteReference"/>
        </w:rPr>
        <w:footnoteRef/>
      </w:r>
      <w:r>
        <w:t>)</w:t>
      </w:r>
      <w:r>
        <w:tab/>
      </w:r>
      <w:r w:rsidRPr="00672658">
        <w:t>OJ No L 160, 12.6.1989, p 1, last amended by the Act of Accession of 2005 (OJ No L 157, 21.6.05, p 11) and subsequently repealed by Regulation (EC) No 110/2008. However, the provisions of Council Regulation (EEC) No 1576/89 continue to apply on a transitional basis by virtue of Article 28(3) of Regulation (EC) No 110/2008.</w:t>
      </w:r>
    </w:p>
  </w:footnote>
  <w:footnote w:id="7">
    <w:p w:rsidR="00672658" w:rsidRDefault="00672658">
      <w:pPr>
        <w:pStyle w:val="FootnoteText"/>
      </w:pPr>
      <w:r>
        <w:t>(</w:t>
      </w:r>
      <w:r>
        <w:rPr>
          <w:rStyle w:val="FootnoteReference"/>
        </w:rPr>
        <w:footnoteRef/>
      </w:r>
      <w:r>
        <w:t>)</w:t>
      </w:r>
      <w:r>
        <w:tab/>
      </w:r>
      <w:r w:rsidRPr="00672658">
        <w:t>OJ No L 105, 25.4.1990, p 9, last amended by Commission Regulation (EC) No 2140/98 (OJ No L 270, 7.10.1998, p 9). Commission Regulation (EEC) No 1014/90 was subsequently repealed by virtue of the repeal of Regulation (EEC) No 1576/89 (under which Commission Regulation (EEC) No 1014/90 was adopted) by Regulation (EC) No 110/2008. However, the provisions of Commission Regulation (EEC) No 1014/90 continue to apply on a transitional basis by virtue of the operation of Article 28(3) of Regulation (EC) No 110/2008.</w:t>
      </w:r>
    </w:p>
  </w:footnote>
  <w:footnote w:id="8">
    <w:p w:rsidR="008767A8" w:rsidRDefault="008767A8">
      <w:pPr>
        <w:pStyle w:val="FootnoteText"/>
      </w:pPr>
      <w:r>
        <w:t>(</w:t>
      </w:r>
      <w:r>
        <w:rPr>
          <w:rStyle w:val="FootnoteReference"/>
        </w:rPr>
        <w:footnoteRef/>
      </w:r>
      <w:r>
        <w:t>)</w:t>
      </w:r>
      <w:r>
        <w:tab/>
      </w:r>
      <w:r w:rsidRPr="008767A8">
        <w:t xml:space="preserve">OJ </w:t>
      </w:r>
      <w:r>
        <w:t xml:space="preserve">No </w:t>
      </w:r>
      <w:r w:rsidRPr="008767A8">
        <w:t>L 39, 13.2.2008, p. 16, last amended and subsequently repealed by Regulation (EU) 2019/787 (OJ L 130, 17.5.2019, p. 1). However, the provisions of Regulation (EC) 110/2008 continue to apply on a transitional basis by virtue of Article 50(1) of Regulation (EU) 2019/787.</w:t>
      </w:r>
    </w:p>
  </w:footnote>
  <w:footnote w:id="9">
    <w:p w:rsidR="00026368" w:rsidRDefault="00026368">
      <w:pPr>
        <w:pStyle w:val="FootnoteText"/>
      </w:pPr>
      <w:r>
        <w:t>(</w:t>
      </w:r>
      <w:r>
        <w:rPr>
          <w:rStyle w:val="FootnoteReference"/>
        </w:rPr>
        <w:footnoteRef/>
      </w:r>
      <w:r>
        <w:t>)</w:t>
      </w:r>
      <w:r>
        <w:tab/>
      </w:r>
      <w:r w:rsidRPr="00026368">
        <w:t>S.I. 1981/1675 (N.I. 26).</w:t>
      </w:r>
    </w:p>
  </w:footnote>
  <w:footnote w:id="10">
    <w:p w:rsidR="00AF1E8B" w:rsidRDefault="00AF1E8B">
      <w:pPr>
        <w:pStyle w:val="FootnoteText"/>
      </w:pPr>
      <w:r>
        <w:t>(</w:t>
      </w:r>
      <w:r>
        <w:rPr>
          <w:rStyle w:val="FootnoteReference"/>
        </w:rPr>
        <w:footnoteRef/>
      </w:r>
      <w:r>
        <w:t>)</w:t>
      </w:r>
      <w:r>
        <w:tab/>
        <w:t>S.I. 2008 No. 3206</w:t>
      </w:r>
      <w:r w:rsidR="0032097F">
        <w:t>, as amended by S.I. 2020/1636, 1637 and 1661.</w:t>
      </w:r>
    </w:p>
  </w:footnote>
  <w:footnote w:id="11">
    <w:p w:rsidR="00F52988" w:rsidRDefault="00F52988">
      <w:pPr>
        <w:pStyle w:val="FootnoteText"/>
      </w:pPr>
      <w:r>
        <w:t>(</w:t>
      </w:r>
      <w:r>
        <w:rPr>
          <w:rStyle w:val="FootnoteReference"/>
        </w:rPr>
        <w:footnoteRef/>
      </w:r>
      <w:r>
        <w:t>)</w:t>
      </w:r>
      <w:r>
        <w:tab/>
        <w:t>S.I. 2020 No. 1636</w:t>
      </w:r>
      <w:r w:rsidR="00C651FF">
        <w:t>.</w:t>
      </w:r>
    </w:p>
  </w:footnote>
  <w:footnote w:id="12">
    <w:p w:rsidR="00F52988" w:rsidRDefault="00F52988">
      <w:pPr>
        <w:pStyle w:val="FootnoteText"/>
      </w:pPr>
      <w:r>
        <w:t>(</w:t>
      </w:r>
      <w:r>
        <w:rPr>
          <w:rStyle w:val="FootnoteReference"/>
        </w:rPr>
        <w:footnoteRef/>
      </w:r>
      <w:r>
        <w:t>)</w:t>
      </w:r>
      <w:r>
        <w:tab/>
        <w:t>S.I. 2020 No. 1637</w:t>
      </w:r>
      <w:r w:rsidR="00C651FF">
        <w:t>.</w:t>
      </w:r>
    </w:p>
  </w:footnote>
  <w:footnote w:id="13">
    <w:p w:rsidR="00C651FF" w:rsidRDefault="00C651FF">
      <w:pPr>
        <w:pStyle w:val="FootnoteText"/>
      </w:pPr>
      <w:r>
        <w:t>(</w:t>
      </w:r>
      <w:r>
        <w:rPr>
          <w:rStyle w:val="FootnoteReference"/>
        </w:rPr>
        <w:footnoteRef/>
      </w:r>
      <w:r>
        <w:t>)</w:t>
      </w:r>
      <w:r>
        <w:tab/>
        <w:t>S.I. 2020 No. 1661.</w:t>
      </w:r>
    </w:p>
  </w:footnote>
  <w:footnote w:id="14">
    <w:p w:rsidR="00D36379" w:rsidRDefault="00D36379">
      <w:pPr>
        <w:pStyle w:val="FootnoteText"/>
      </w:pPr>
      <w:r>
        <w:t>(</w:t>
      </w:r>
      <w:r>
        <w:rPr>
          <w:rStyle w:val="FootnoteReference"/>
        </w:rPr>
        <w:footnoteRef/>
      </w:r>
      <w:r>
        <w:t>)</w:t>
      </w:r>
      <w:r>
        <w:tab/>
        <w:t>S.R. 2014 No. 223, as amended by S.R. 2015 Nos. 261</w:t>
      </w:r>
      <w:r w:rsidR="00E740C1">
        <w:t xml:space="preserve"> and 365; S.R. 2016 No. 249;</w:t>
      </w:r>
      <w:r>
        <w:t xml:space="preserve"> S.R. 2019 No</w:t>
      </w:r>
      <w:r w:rsidR="00E740C1">
        <w:t>s</w:t>
      </w:r>
      <w:r>
        <w:t>. 5</w:t>
      </w:r>
      <w:r w:rsidR="00E740C1">
        <w:t xml:space="preserve"> and 353; and S.R.2020 Nos. 24 and 80</w:t>
      </w:r>
    </w:p>
  </w:footnote>
  <w:footnote w:id="15">
    <w:p w:rsidR="00E740C1" w:rsidRDefault="00E740C1">
      <w:pPr>
        <w:pStyle w:val="FootnoteText"/>
      </w:pPr>
      <w:r>
        <w:t>(</w:t>
      </w:r>
      <w:r>
        <w:rPr>
          <w:rStyle w:val="FootnoteReference"/>
        </w:rPr>
        <w:footnoteRef/>
      </w:r>
      <w:r>
        <w:t>)</w:t>
      </w:r>
      <w:r>
        <w:tab/>
        <w:t xml:space="preserve">S.R. 1989 No.164, relevant amendments made by </w:t>
      </w:r>
      <w:r w:rsidR="00E27165">
        <w:t>S.R. 2010 No. 203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F14"/>
    <w:multiLevelType w:val="hybridMultilevel"/>
    <w:tmpl w:val="21DC527C"/>
    <w:lvl w:ilvl="0" w:tplc="B1A0B472">
      <w:start w:val="2"/>
      <w:numFmt w:val="decimal"/>
      <w:lvlText w:val="(%1)"/>
      <w:lvlJc w:val="left"/>
      <w:pPr>
        <w:ind w:left="0"/>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2208D27C">
      <w:start w:val="1"/>
      <w:numFmt w:val="lowerLetter"/>
      <w:lvlText w:val="(%2)"/>
      <w:lvlJc w:val="left"/>
      <w:pPr>
        <w:ind w:left="886"/>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9B6CE5DA">
      <w:start w:val="1"/>
      <w:numFmt w:val="lowerRoman"/>
      <w:lvlText w:val="%3"/>
      <w:lvlJc w:val="left"/>
      <w:pPr>
        <w:ind w:left="153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94202C10">
      <w:start w:val="1"/>
      <w:numFmt w:val="decimal"/>
      <w:lvlText w:val="%4"/>
      <w:lvlJc w:val="left"/>
      <w:pPr>
        <w:ind w:left="225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B278119C">
      <w:start w:val="1"/>
      <w:numFmt w:val="lowerLetter"/>
      <w:lvlText w:val="%5"/>
      <w:lvlJc w:val="left"/>
      <w:pPr>
        <w:ind w:left="297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06484334">
      <w:start w:val="1"/>
      <w:numFmt w:val="lowerRoman"/>
      <w:lvlText w:val="%6"/>
      <w:lvlJc w:val="left"/>
      <w:pPr>
        <w:ind w:left="369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8770622A">
      <w:start w:val="1"/>
      <w:numFmt w:val="decimal"/>
      <w:lvlText w:val="%7"/>
      <w:lvlJc w:val="left"/>
      <w:pPr>
        <w:ind w:left="441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8476324E">
      <w:start w:val="1"/>
      <w:numFmt w:val="lowerLetter"/>
      <w:lvlText w:val="%8"/>
      <w:lvlJc w:val="left"/>
      <w:pPr>
        <w:ind w:left="513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268C2418">
      <w:start w:val="1"/>
      <w:numFmt w:val="lowerRoman"/>
      <w:lvlText w:val="%9"/>
      <w:lvlJc w:val="left"/>
      <w:pPr>
        <w:ind w:left="585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1" w15:restartNumberingAfterBreak="0">
    <w:nsid w:val="1C8E3CEE"/>
    <w:multiLevelType w:val="hybridMultilevel"/>
    <w:tmpl w:val="128C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B453E"/>
    <w:multiLevelType w:val="hybridMultilevel"/>
    <w:tmpl w:val="1B284F5C"/>
    <w:lvl w:ilvl="0" w:tplc="D10C30F2">
      <w:start w:val="1"/>
      <w:numFmt w:val="decimal"/>
      <w:lvlText w:val="%1."/>
      <w:lvlJc w:val="left"/>
      <w:pPr>
        <w:ind w:left="1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011CEF82">
      <w:start w:val="1"/>
      <w:numFmt w:val="lowerLetter"/>
      <w:lvlText w:val="%2"/>
      <w:lvlJc w:val="left"/>
      <w:pPr>
        <w:ind w:left="12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D0B2F26E">
      <w:start w:val="1"/>
      <w:numFmt w:val="lowerRoman"/>
      <w:lvlText w:val="%3"/>
      <w:lvlJc w:val="left"/>
      <w:pPr>
        <w:ind w:left="19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005075C4">
      <w:start w:val="1"/>
      <w:numFmt w:val="decimal"/>
      <w:lvlText w:val="%4"/>
      <w:lvlJc w:val="left"/>
      <w:pPr>
        <w:ind w:left="27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513E218E">
      <w:start w:val="1"/>
      <w:numFmt w:val="lowerLetter"/>
      <w:lvlText w:val="%5"/>
      <w:lvlJc w:val="left"/>
      <w:pPr>
        <w:ind w:left="343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B1B4C42A">
      <w:start w:val="1"/>
      <w:numFmt w:val="lowerRoman"/>
      <w:lvlText w:val="%6"/>
      <w:lvlJc w:val="left"/>
      <w:pPr>
        <w:ind w:left="415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2206BA5A">
      <w:start w:val="1"/>
      <w:numFmt w:val="decimal"/>
      <w:lvlText w:val="%7"/>
      <w:lvlJc w:val="left"/>
      <w:pPr>
        <w:ind w:left="48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850E0576">
      <w:start w:val="1"/>
      <w:numFmt w:val="lowerLetter"/>
      <w:lvlText w:val="%8"/>
      <w:lvlJc w:val="left"/>
      <w:pPr>
        <w:ind w:left="55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D4821CC8">
      <w:start w:val="1"/>
      <w:numFmt w:val="lowerRoman"/>
      <w:lvlText w:val="%9"/>
      <w:lvlJc w:val="left"/>
      <w:pPr>
        <w:ind w:left="63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3" w15:restartNumberingAfterBreak="0">
    <w:nsid w:val="24366721"/>
    <w:multiLevelType w:val="hybridMultilevel"/>
    <w:tmpl w:val="6BA62A1C"/>
    <w:lvl w:ilvl="0" w:tplc="C5D629A8">
      <w:start w:val="2"/>
      <w:numFmt w:val="decimal"/>
      <w:lvlText w:val="(%1)"/>
      <w:lvlJc w:val="left"/>
      <w:pPr>
        <w:ind w:left="0"/>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5A0AABF6">
      <w:start w:val="1"/>
      <w:numFmt w:val="lowerLetter"/>
      <w:lvlText w:val="%2"/>
      <w:lvlJc w:val="left"/>
      <w:pPr>
        <w:ind w:left="12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ACF6D1D6">
      <w:start w:val="1"/>
      <w:numFmt w:val="lowerRoman"/>
      <w:lvlText w:val="%3"/>
      <w:lvlJc w:val="left"/>
      <w:pPr>
        <w:ind w:left="19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A716A6E2">
      <w:start w:val="1"/>
      <w:numFmt w:val="decimal"/>
      <w:lvlText w:val="%4"/>
      <w:lvlJc w:val="left"/>
      <w:pPr>
        <w:ind w:left="27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E048EEFE">
      <w:start w:val="1"/>
      <w:numFmt w:val="lowerLetter"/>
      <w:lvlText w:val="%5"/>
      <w:lvlJc w:val="left"/>
      <w:pPr>
        <w:ind w:left="343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0C2071A0">
      <w:start w:val="1"/>
      <w:numFmt w:val="lowerRoman"/>
      <w:lvlText w:val="%6"/>
      <w:lvlJc w:val="left"/>
      <w:pPr>
        <w:ind w:left="415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7354F63E">
      <w:start w:val="1"/>
      <w:numFmt w:val="decimal"/>
      <w:lvlText w:val="%7"/>
      <w:lvlJc w:val="left"/>
      <w:pPr>
        <w:ind w:left="48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51D25944">
      <w:start w:val="1"/>
      <w:numFmt w:val="lowerLetter"/>
      <w:lvlText w:val="%8"/>
      <w:lvlJc w:val="left"/>
      <w:pPr>
        <w:ind w:left="55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F8C8D54E">
      <w:start w:val="1"/>
      <w:numFmt w:val="lowerRoman"/>
      <w:lvlText w:val="%9"/>
      <w:lvlJc w:val="left"/>
      <w:pPr>
        <w:ind w:left="63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5" w15:restartNumberingAfterBreak="0">
    <w:nsid w:val="3415577E"/>
    <w:multiLevelType w:val="hybridMultilevel"/>
    <w:tmpl w:val="76C6E798"/>
    <w:lvl w:ilvl="0" w:tplc="3F80A488">
      <w:start w:val="2"/>
      <w:numFmt w:val="decimal"/>
      <w:lvlText w:val="(%1)"/>
      <w:lvlJc w:val="left"/>
      <w:pPr>
        <w:ind w:left="0"/>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664860D4">
      <w:start w:val="1"/>
      <w:numFmt w:val="lowerLetter"/>
      <w:lvlText w:val="(%2)"/>
      <w:lvlJc w:val="left"/>
      <w:pPr>
        <w:ind w:left="886"/>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3886D9CA">
      <w:start w:val="1"/>
      <w:numFmt w:val="lowerRoman"/>
      <w:lvlText w:val="(%3)"/>
      <w:lvlJc w:val="left"/>
      <w:pPr>
        <w:ind w:left="1519"/>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B068F344">
      <w:start w:val="1"/>
      <w:numFmt w:val="decimal"/>
      <w:lvlText w:val="%4"/>
      <w:lvlJc w:val="left"/>
      <w:pPr>
        <w:ind w:left="216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0B8E9D24">
      <w:start w:val="1"/>
      <w:numFmt w:val="lowerLetter"/>
      <w:lvlText w:val="%5"/>
      <w:lvlJc w:val="left"/>
      <w:pPr>
        <w:ind w:left="288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F5D8E19A">
      <w:start w:val="1"/>
      <w:numFmt w:val="lowerRoman"/>
      <w:lvlText w:val="%6"/>
      <w:lvlJc w:val="left"/>
      <w:pPr>
        <w:ind w:left="360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89562E92">
      <w:start w:val="1"/>
      <w:numFmt w:val="decimal"/>
      <w:lvlText w:val="%7"/>
      <w:lvlJc w:val="left"/>
      <w:pPr>
        <w:ind w:left="432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FDD09910">
      <w:start w:val="1"/>
      <w:numFmt w:val="lowerLetter"/>
      <w:lvlText w:val="%8"/>
      <w:lvlJc w:val="left"/>
      <w:pPr>
        <w:ind w:left="504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92987E70">
      <w:start w:val="1"/>
      <w:numFmt w:val="lowerRoman"/>
      <w:lvlText w:val="%9"/>
      <w:lvlJc w:val="left"/>
      <w:pPr>
        <w:ind w:left="5767"/>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6" w15:restartNumberingAfterBreak="0">
    <w:nsid w:val="3E5C1CBC"/>
    <w:multiLevelType w:val="hybridMultilevel"/>
    <w:tmpl w:val="A48ADAF4"/>
    <w:lvl w:ilvl="0" w:tplc="71A64F82">
      <w:start w:val="2"/>
      <w:numFmt w:val="decimal"/>
      <w:lvlText w:val="%1."/>
      <w:lvlJc w:val="left"/>
      <w:pPr>
        <w:ind w:left="27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1" w:tplc="851AB034">
      <w:start w:val="1"/>
      <w:numFmt w:val="lowerLetter"/>
      <w:lvlText w:val="%2"/>
      <w:lvlJc w:val="left"/>
      <w:pPr>
        <w:ind w:left="108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2" w:tplc="5D947D78">
      <w:start w:val="1"/>
      <w:numFmt w:val="lowerRoman"/>
      <w:lvlText w:val="%3"/>
      <w:lvlJc w:val="left"/>
      <w:pPr>
        <w:ind w:left="180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3" w:tplc="D946CA9C">
      <w:start w:val="1"/>
      <w:numFmt w:val="decimal"/>
      <w:lvlText w:val="%4"/>
      <w:lvlJc w:val="left"/>
      <w:pPr>
        <w:ind w:left="252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4" w:tplc="5AE2E7C6">
      <w:start w:val="1"/>
      <w:numFmt w:val="lowerLetter"/>
      <w:lvlText w:val="%5"/>
      <w:lvlJc w:val="left"/>
      <w:pPr>
        <w:ind w:left="324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5" w:tplc="57C457D0">
      <w:start w:val="1"/>
      <w:numFmt w:val="lowerRoman"/>
      <w:lvlText w:val="%6"/>
      <w:lvlJc w:val="left"/>
      <w:pPr>
        <w:ind w:left="396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6" w:tplc="5C84D17C">
      <w:start w:val="1"/>
      <w:numFmt w:val="decimal"/>
      <w:lvlText w:val="%7"/>
      <w:lvlJc w:val="left"/>
      <w:pPr>
        <w:ind w:left="468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7" w:tplc="FF1203BA">
      <w:start w:val="1"/>
      <w:numFmt w:val="lowerLetter"/>
      <w:lvlText w:val="%8"/>
      <w:lvlJc w:val="left"/>
      <w:pPr>
        <w:ind w:left="540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lvl w:ilvl="8" w:tplc="759ED396">
      <w:start w:val="1"/>
      <w:numFmt w:val="lowerRoman"/>
      <w:lvlText w:val="%9"/>
      <w:lvlJc w:val="left"/>
      <w:pPr>
        <w:ind w:left="6120"/>
      </w:pPr>
      <w:rPr>
        <w:rFonts w:ascii="Arial Unicode MS" w:eastAsia="Arial Unicode MS" w:hAnsi="Arial Unicode MS" w:cs="Arial Unicode MS"/>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7AC4F3D"/>
    <w:multiLevelType w:val="hybridMultilevel"/>
    <w:tmpl w:val="1E2E3638"/>
    <w:lvl w:ilvl="0" w:tplc="557273F8">
      <w:start w:val="1"/>
      <w:numFmt w:val="decimal"/>
      <w:lvlText w:val="%1."/>
      <w:lvlJc w:val="left"/>
      <w:pPr>
        <w:ind w:left="1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7C6840D0">
      <w:start w:val="1"/>
      <w:numFmt w:val="lowerLetter"/>
      <w:lvlText w:val="%2"/>
      <w:lvlJc w:val="left"/>
      <w:pPr>
        <w:ind w:left="12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CD80367C">
      <w:start w:val="1"/>
      <w:numFmt w:val="lowerRoman"/>
      <w:lvlText w:val="%3"/>
      <w:lvlJc w:val="left"/>
      <w:pPr>
        <w:ind w:left="19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939EA178">
      <w:start w:val="1"/>
      <w:numFmt w:val="decimal"/>
      <w:lvlText w:val="%4"/>
      <w:lvlJc w:val="left"/>
      <w:pPr>
        <w:ind w:left="27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19C85AB2">
      <w:start w:val="1"/>
      <w:numFmt w:val="lowerLetter"/>
      <w:lvlText w:val="%5"/>
      <w:lvlJc w:val="left"/>
      <w:pPr>
        <w:ind w:left="343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D8328838">
      <w:start w:val="1"/>
      <w:numFmt w:val="lowerRoman"/>
      <w:lvlText w:val="%6"/>
      <w:lvlJc w:val="left"/>
      <w:pPr>
        <w:ind w:left="415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60B454BC">
      <w:start w:val="1"/>
      <w:numFmt w:val="decimal"/>
      <w:lvlText w:val="%7"/>
      <w:lvlJc w:val="left"/>
      <w:pPr>
        <w:ind w:left="487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06C05140">
      <w:start w:val="1"/>
      <w:numFmt w:val="lowerLetter"/>
      <w:lvlText w:val="%8"/>
      <w:lvlJc w:val="left"/>
      <w:pPr>
        <w:ind w:left="559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6AACDB22">
      <w:start w:val="1"/>
      <w:numFmt w:val="lowerRoman"/>
      <w:lvlText w:val="%9"/>
      <w:lvlJc w:val="left"/>
      <w:pPr>
        <w:ind w:left="6312"/>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681"/>
        </w:tabs>
        <w:ind w:left="681"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670D2205"/>
    <w:multiLevelType w:val="hybridMultilevel"/>
    <w:tmpl w:val="A32AF4AE"/>
    <w:lvl w:ilvl="0" w:tplc="540E179A">
      <w:start w:val="1"/>
      <w:numFmt w:val="lowerLetter"/>
      <w:lvlText w:val="(%1)"/>
      <w:lvlJc w:val="left"/>
      <w:pPr>
        <w:ind w:left="886"/>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1" w:tplc="AF6678E0">
      <w:start w:val="1"/>
      <w:numFmt w:val="lowerLetter"/>
      <w:lvlText w:val="%2"/>
      <w:lvlJc w:val="left"/>
      <w:pPr>
        <w:ind w:left="153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2" w:tplc="848EA2F6">
      <w:start w:val="1"/>
      <w:numFmt w:val="lowerRoman"/>
      <w:lvlText w:val="%3"/>
      <w:lvlJc w:val="left"/>
      <w:pPr>
        <w:ind w:left="225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3" w:tplc="2B466EEA">
      <w:start w:val="1"/>
      <w:numFmt w:val="decimal"/>
      <w:lvlText w:val="%4"/>
      <w:lvlJc w:val="left"/>
      <w:pPr>
        <w:ind w:left="297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4" w:tplc="9D08A4F2">
      <w:start w:val="1"/>
      <w:numFmt w:val="lowerLetter"/>
      <w:lvlText w:val="%5"/>
      <w:lvlJc w:val="left"/>
      <w:pPr>
        <w:ind w:left="369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5" w:tplc="6036691E">
      <w:start w:val="1"/>
      <w:numFmt w:val="lowerRoman"/>
      <w:lvlText w:val="%6"/>
      <w:lvlJc w:val="left"/>
      <w:pPr>
        <w:ind w:left="441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6" w:tplc="366E9FEE">
      <w:start w:val="1"/>
      <w:numFmt w:val="decimal"/>
      <w:lvlText w:val="%7"/>
      <w:lvlJc w:val="left"/>
      <w:pPr>
        <w:ind w:left="513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7" w:tplc="1214D496">
      <w:start w:val="1"/>
      <w:numFmt w:val="lowerLetter"/>
      <w:lvlText w:val="%8"/>
      <w:lvlJc w:val="left"/>
      <w:pPr>
        <w:ind w:left="585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lvl w:ilvl="8" w:tplc="F4527A44">
      <w:start w:val="1"/>
      <w:numFmt w:val="lowerRoman"/>
      <w:lvlText w:val="%9"/>
      <w:lvlJc w:val="left"/>
      <w:pPr>
        <w:ind w:left="6574"/>
      </w:pPr>
      <w:rPr>
        <w:rFonts w:ascii="Times New Roman" w:eastAsia="Times New Roman" w:hAnsi="Times New Roman" w:cs="Times New Roman"/>
        <w:b w:val="0"/>
        <w:i w:val="0"/>
        <w:strike w:val="0"/>
        <w:dstrike w:val="0"/>
        <w:color w:val="494949"/>
        <w:sz w:val="19"/>
        <w:szCs w:val="19"/>
        <w:u w:val="none" w:color="000000"/>
        <w:bdr w:val="none" w:sz="0" w:space="0" w:color="auto"/>
        <w:shd w:val="clear" w:color="auto" w:fill="auto"/>
        <w:vertAlign w:val="baseline"/>
      </w:rPr>
    </w:lvl>
  </w:abstractNum>
  <w:abstractNum w:abstractNumId="12" w15:restartNumberingAfterBreak="0">
    <w:nsid w:val="75797A1C"/>
    <w:multiLevelType w:val="hybridMultilevel"/>
    <w:tmpl w:val="188044A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10"/>
  </w:num>
  <w:num w:numId="6">
    <w:abstractNumId w:val="10"/>
  </w:num>
  <w:num w:numId="7">
    <w:abstractNumId w:val="10"/>
  </w:num>
  <w:num w:numId="8">
    <w:abstractNumId w:val="10"/>
  </w:num>
  <w:num w:numId="9">
    <w:abstractNumId w:val="10"/>
  </w:num>
  <w:num w:numId="10">
    <w:abstractNumId w:val="7"/>
  </w:num>
  <w:num w:numId="11">
    <w:abstractNumId w:val="9"/>
  </w:num>
  <w:num w:numId="12">
    <w:abstractNumId w:val="5"/>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11"/>
  </w:num>
  <w:num w:numId="20">
    <w:abstractNumId w:val="3"/>
  </w:num>
  <w:num w:numId="21">
    <w:abstractNumId w:val="8"/>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Fmt w:val="lowerLetter"/>
    <w:numRestart w:val="eachPage"/>
    <w:footnote w:id="-1"/>
    <w:footnote w:id="0"/>
    <w:footnote w:id="1"/>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MinorType" w:val="Regulations"/>
    <w:docVar w:name="documentType" w:val="NIR"/>
    <w:docVar w:name="Lang" w:val="NIR"/>
    <w:docVar w:name="list1Type1" w:val="Number"/>
    <w:docVar w:name="numberStylePart" w:val="Arabic"/>
    <w:docVar w:name="numberStyleSchedule" w:val="Arabic"/>
    <w:docVar w:name="numberStyleSection" w:val="Arabic"/>
    <w:docVar w:name="numberStyleSubpart" w:val="Arabic"/>
    <w:docVar w:name="numberStyleSubsection" w:val="Arabic"/>
    <w:docVar w:name="sublist1Type" w:val="Emdash"/>
    <w:docVar w:name="VerMajor" w:val="9"/>
    <w:docVar w:name="VerMinor" w:val="1"/>
  </w:docVars>
  <w:rsids>
    <w:rsidRoot w:val="0098010F"/>
    <w:rsid w:val="000017D2"/>
    <w:rsid w:val="00003AE7"/>
    <w:rsid w:val="000053BF"/>
    <w:rsid w:val="00005DCF"/>
    <w:rsid w:val="0000694F"/>
    <w:rsid w:val="000079E2"/>
    <w:rsid w:val="0001312F"/>
    <w:rsid w:val="00014319"/>
    <w:rsid w:val="00021FE1"/>
    <w:rsid w:val="000229B8"/>
    <w:rsid w:val="00023F2A"/>
    <w:rsid w:val="00024417"/>
    <w:rsid w:val="00026368"/>
    <w:rsid w:val="00027110"/>
    <w:rsid w:val="0002747F"/>
    <w:rsid w:val="00031649"/>
    <w:rsid w:val="0003170C"/>
    <w:rsid w:val="00033947"/>
    <w:rsid w:val="000344B1"/>
    <w:rsid w:val="00040919"/>
    <w:rsid w:val="00043C12"/>
    <w:rsid w:val="00050076"/>
    <w:rsid w:val="00052EFA"/>
    <w:rsid w:val="000576EB"/>
    <w:rsid w:val="0006536E"/>
    <w:rsid w:val="00087CDE"/>
    <w:rsid w:val="0009023E"/>
    <w:rsid w:val="0009033B"/>
    <w:rsid w:val="0009067C"/>
    <w:rsid w:val="000A7883"/>
    <w:rsid w:val="000B217F"/>
    <w:rsid w:val="000B4769"/>
    <w:rsid w:val="000B7A59"/>
    <w:rsid w:val="000C2228"/>
    <w:rsid w:val="000D5015"/>
    <w:rsid w:val="000D76C3"/>
    <w:rsid w:val="000E132F"/>
    <w:rsid w:val="000E4959"/>
    <w:rsid w:val="000E4AD4"/>
    <w:rsid w:val="000E71E2"/>
    <w:rsid w:val="000F236F"/>
    <w:rsid w:val="000F290E"/>
    <w:rsid w:val="000F3EE9"/>
    <w:rsid w:val="000F4191"/>
    <w:rsid w:val="000F6AA5"/>
    <w:rsid w:val="001058F7"/>
    <w:rsid w:val="001138FC"/>
    <w:rsid w:val="001149FE"/>
    <w:rsid w:val="00114DA8"/>
    <w:rsid w:val="00116167"/>
    <w:rsid w:val="001162DB"/>
    <w:rsid w:val="00117CF9"/>
    <w:rsid w:val="00123AC2"/>
    <w:rsid w:val="00127A70"/>
    <w:rsid w:val="00132A37"/>
    <w:rsid w:val="00142839"/>
    <w:rsid w:val="001457B6"/>
    <w:rsid w:val="00145FD7"/>
    <w:rsid w:val="00147D8F"/>
    <w:rsid w:val="00150345"/>
    <w:rsid w:val="001542BD"/>
    <w:rsid w:val="001545AD"/>
    <w:rsid w:val="00166EFB"/>
    <w:rsid w:val="0016704D"/>
    <w:rsid w:val="001673DA"/>
    <w:rsid w:val="00167904"/>
    <w:rsid w:val="00167C9B"/>
    <w:rsid w:val="001711E2"/>
    <w:rsid w:val="00172D87"/>
    <w:rsid w:val="00174A1D"/>
    <w:rsid w:val="0017508C"/>
    <w:rsid w:val="00186794"/>
    <w:rsid w:val="00186D24"/>
    <w:rsid w:val="0019407B"/>
    <w:rsid w:val="0019503E"/>
    <w:rsid w:val="00197FDC"/>
    <w:rsid w:val="001A0C94"/>
    <w:rsid w:val="001A15D5"/>
    <w:rsid w:val="001A220A"/>
    <w:rsid w:val="001A4CC4"/>
    <w:rsid w:val="001A5DE9"/>
    <w:rsid w:val="001B0B00"/>
    <w:rsid w:val="001B39DB"/>
    <w:rsid w:val="001B4AAF"/>
    <w:rsid w:val="001B7E66"/>
    <w:rsid w:val="001C06F9"/>
    <w:rsid w:val="001C10B3"/>
    <w:rsid w:val="001C1DFD"/>
    <w:rsid w:val="001C22E5"/>
    <w:rsid w:val="001C4800"/>
    <w:rsid w:val="001D2FBF"/>
    <w:rsid w:val="001D7DD7"/>
    <w:rsid w:val="001E0FF6"/>
    <w:rsid w:val="001E5D59"/>
    <w:rsid w:val="001E7714"/>
    <w:rsid w:val="001F0B49"/>
    <w:rsid w:val="001F2FB8"/>
    <w:rsid w:val="001F3198"/>
    <w:rsid w:val="001F7EC8"/>
    <w:rsid w:val="00202100"/>
    <w:rsid w:val="00203DBB"/>
    <w:rsid w:val="00204D89"/>
    <w:rsid w:val="0020612D"/>
    <w:rsid w:val="002116A8"/>
    <w:rsid w:val="002139E9"/>
    <w:rsid w:val="00215C2D"/>
    <w:rsid w:val="0021750A"/>
    <w:rsid w:val="002222EA"/>
    <w:rsid w:val="002234DD"/>
    <w:rsid w:val="0023008A"/>
    <w:rsid w:val="00230FB7"/>
    <w:rsid w:val="00233898"/>
    <w:rsid w:val="00237FEF"/>
    <w:rsid w:val="0024543E"/>
    <w:rsid w:val="00246EBA"/>
    <w:rsid w:val="00252709"/>
    <w:rsid w:val="002569F2"/>
    <w:rsid w:val="00263D03"/>
    <w:rsid w:val="002646A8"/>
    <w:rsid w:val="00265321"/>
    <w:rsid w:val="00265698"/>
    <w:rsid w:val="002657DD"/>
    <w:rsid w:val="0027393F"/>
    <w:rsid w:val="00281EEB"/>
    <w:rsid w:val="00282BC9"/>
    <w:rsid w:val="0028388F"/>
    <w:rsid w:val="002842A4"/>
    <w:rsid w:val="00290FD6"/>
    <w:rsid w:val="002A2E79"/>
    <w:rsid w:val="002A3B5E"/>
    <w:rsid w:val="002B09A9"/>
    <w:rsid w:val="002B2AB3"/>
    <w:rsid w:val="002C1149"/>
    <w:rsid w:val="002C158F"/>
    <w:rsid w:val="002D230F"/>
    <w:rsid w:val="002D2359"/>
    <w:rsid w:val="002D64BB"/>
    <w:rsid w:val="002D6522"/>
    <w:rsid w:val="002D7119"/>
    <w:rsid w:val="002E35DE"/>
    <w:rsid w:val="002F3E74"/>
    <w:rsid w:val="002F721C"/>
    <w:rsid w:val="0030031B"/>
    <w:rsid w:val="00306EAD"/>
    <w:rsid w:val="00310A2D"/>
    <w:rsid w:val="0032097F"/>
    <w:rsid w:val="00324150"/>
    <w:rsid w:val="003243CA"/>
    <w:rsid w:val="003265DE"/>
    <w:rsid w:val="0033001D"/>
    <w:rsid w:val="00330AAA"/>
    <w:rsid w:val="00332EFC"/>
    <w:rsid w:val="0033336C"/>
    <w:rsid w:val="0033471C"/>
    <w:rsid w:val="00336808"/>
    <w:rsid w:val="00337C6E"/>
    <w:rsid w:val="0034265E"/>
    <w:rsid w:val="00344103"/>
    <w:rsid w:val="0035076C"/>
    <w:rsid w:val="00350812"/>
    <w:rsid w:val="0035197E"/>
    <w:rsid w:val="003531B5"/>
    <w:rsid w:val="00354E7E"/>
    <w:rsid w:val="003558A5"/>
    <w:rsid w:val="00355BF1"/>
    <w:rsid w:val="00361CB5"/>
    <w:rsid w:val="00362E8E"/>
    <w:rsid w:val="00364A56"/>
    <w:rsid w:val="00366CFF"/>
    <w:rsid w:val="00367EEB"/>
    <w:rsid w:val="00370B12"/>
    <w:rsid w:val="00373527"/>
    <w:rsid w:val="00375A1D"/>
    <w:rsid w:val="00377EA3"/>
    <w:rsid w:val="00380763"/>
    <w:rsid w:val="003856CE"/>
    <w:rsid w:val="00395061"/>
    <w:rsid w:val="003A68D3"/>
    <w:rsid w:val="003A711F"/>
    <w:rsid w:val="003B1A1A"/>
    <w:rsid w:val="003B24EA"/>
    <w:rsid w:val="003B5101"/>
    <w:rsid w:val="003B522B"/>
    <w:rsid w:val="003B5A21"/>
    <w:rsid w:val="003B65CF"/>
    <w:rsid w:val="003B7CB9"/>
    <w:rsid w:val="003C369C"/>
    <w:rsid w:val="003C4314"/>
    <w:rsid w:val="003C6DD8"/>
    <w:rsid w:val="003D09D8"/>
    <w:rsid w:val="003D2B3A"/>
    <w:rsid w:val="003E6D63"/>
    <w:rsid w:val="003F2906"/>
    <w:rsid w:val="003F5552"/>
    <w:rsid w:val="003F6B8C"/>
    <w:rsid w:val="003F7307"/>
    <w:rsid w:val="003F756B"/>
    <w:rsid w:val="003F76C3"/>
    <w:rsid w:val="00401FF2"/>
    <w:rsid w:val="00403BDB"/>
    <w:rsid w:val="00403CB7"/>
    <w:rsid w:val="00404F57"/>
    <w:rsid w:val="00412075"/>
    <w:rsid w:val="004128CA"/>
    <w:rsid w:val="00422D45"/>
    <w:rsid w:val="004266DE"/>
    <w:rsid w:val="00427240"/>
    <w:rsid w:val="004334AB"/>
    <w:rsid w:val="00434316"/>
    <w:rsid w:val="004374BE"/>
    <w:rsid w:val="004405EC"/>
    <w:rsid w:val="00440859"/>
    <w:rsid w:val="00444DFD"/>
    <w:rsid w:val="004463CB"/>
    <w:rsid w:val="0044665F"/>
    <w:rsid w:val="00450D00"/>
    <w:rsid w:val="00455D7C"/>
    <w:rsid w:val="00456585"/>
    <w:rsid w:val="0046017B"/>
    <w:rsid w:val="0046133F"/>
    <w:rsid w:val="00462FB7"/>
    <w:rsid w:val="00467F1E"/>
    <w:rsid w:val="00484A79"/>
    <w:rsid w:val="004854CA"/>
    <w:rsid w:val="00487179"/>
    <w:rsid w:val="00496706"/>
    <w:rsid w:val="004A0A5F"/>
    <w:rsid w:val="004A3DCC"/>
    <w:rsid w:val="004A5683"/>
    <w:rsid w:val="004A5981"/>
    <w:rsid w:val="004B27F0"/>
    <w:rsid w:val="004B6B66"/>
    <w:rsid w:val="004C4102"/>
    <w:rsid w:val="004C7E6D"/>
    <w:rsid w:val="004D3553"/>
    <w:rsid w:val="004D4B50"/>
    <w:rsid w:val="004D6A75"/>
    <w:rsid w:val="004D6B89"/>
    <w:rsid w:val="004E02E6"/>
    <w:rsid w:val="004E4230"/>
    <w:rsid w:val="004F0B89"/>
    <w:rsid w:val="004F2532"/>
    <w:rsid w:val="004F2FAD"/>
    <w:rsid w:val="004F54E9"/>
    <w:rsid w:val="004F72A1"/>
    <w:rsid w:val="004F79D5"/>
    <w:rsid w:val="00501135"/>
    <w:rsid w:val="00507892"/>
    <w:rsid w:val="00512E1E"/>
    <w:rsid w:val="00517305"/>
    <w:rsid w:val="00527CE3"/>
    <w:rsid w:val="00527F30"/>
    <w:rsid w:val="00542527"/>
    <w:rsid w:val="0054598B"/>
    <w:rsid w:val="00551C1E"/>
    <w:rsid w:val="0055460F"/>
    <w:rsid w:val="0055504F"/>
    <w:rsid w:val="005617D8"/>
    <w:rsid w:val="005643E0"/>
    <w:rsid w:val="00566635"/>
    <w:rsid w:val="0057121E"/>
    <w:rsid w:val="00573A0E"/>
    <w:rsid w:val="005830FA"/>
    <w:rsid w:val="00584806"/>
    <w:rsid w:val="00586A38"/>
    <w:rsid w:val="0058710E"/>
    <w:rsid w:val="00593489"/>
    <w:rsid w:val="005951C3"/>
    <w:rsid w:val="00595A92"/>
    <w:rsid w:val="005A268D"/>
    <w:rsid w:val="005A366C"/>
    <w:rsid w:val="005A4DC3"/>
    <w:rsid w:val="005A5DA5"/>
    <w:rsid w:val="005A6DD2"/>
    <w:rsid w:val="005B1A23"/>
    <w:rsid w:val="005C13CE"/>
    <w:rsid w:val="005C1FC0"/>
    <w:rsid w:val="005C40A6"/>
    <w:rsid w:val="005D086C"/>
    <w:rsid w:val="005D09CA"/>
    <w:rsid w:val="005D41B8"/>
    <w:rsid w:val="005E0766"/>
    <w:rsid w:val="005E1203"/>
    <w:rsid w:val="005E2A5B"/>
    <w:rsid w:val="005F36E7"/>
    <w:rsid w:val="005F3CB4"/>
    <w:rsid w:val="005F7118"/>
    <w:rsid w:val="00601E12"/>
    <w:rsid w:val="006020BD"/>
    <w:rsid w:val="00602E90"/>
    <w:rsid w:val="00610631"/>
    <w:rsid w:val="006111A5"/>
    <w:rsid w:val="00613B50"/>
    <w:rsid w:val="00621479"/>
    <w:rsid w:val="00626BA9"/>
    <w:rsid w:val="0062736C"/>
    <w:rsid w:val="0063239C"/>
    <w:rsid w:val="00632874"/>
    <w:rsid w:val="00632D69"/>
    <w:rsid w:val="00634B89"/>
    <w:rsid w:val="00645512"/>
    <w:rsid w:val="006462B5"/>
    <w:rsid w:val="00646576"/>
    <w:rsid w:val="00647A6C"/>
    <w:rsid w:val="006507EE"/>
    <w:rsid w:val="0066052C"/>
    <w:rsid w:val="006672E0"/>
    <w:rsid w:val="006703C0"/>
    <w:rsid w:val="00670A25"/>
    <w:rsid w:val="00671B99"/>
    <w:rsid w:val="00672658"/>
    <w:rsid w:val="006745CF"/>
    <w:rsid w:val="00681B4E"/>
    <w:rsid w:val="00683D94"/>
    <w:rsid w:val="006864AE"/>
    <w:rsid w:val="00687A5D"/>
    <w:rsid w:val="00690A3B"/>
    <w:rsid w:val="006918B5"/>
    <w:rsid w:val="006A216C"/>
    <w:rsid w:val="006A320F"/>
    <w:rsid w:val="006A372E"/>
    <w:rsid w:val="006A595E"/>
    <w:rsid w:val="006A5F05"/>
    <w:rsid w:val="006A7DF8"/>
    <w:rsid w:val="006B102B"/>
    <w:rsid w:val="006B185F"/>
    <w:rsid w:val="006B30CD"/>
    <w:rsid w:val="006B3B7C"/>
    <w:rsid w:val="006B4ADB"/>
    <w:rsid w:val="006B79E5"/>
    <w:rsid w:val="006C24BA"/>
    <w:rsid w:val="006C26FF"/>
    <w:rsid w:val="006C3089"/>
    <w:rsid w:val="006C3978"/>
    <w:rsid w:val="006C6643"/>
    <w:rsid w:val="006C6C50"/>
    <w:rsid w:val="006D0D5B"/>
    <w:rsid w:val="006D420D"/>
    <w:rsid w:val="006D7810"/>
    <w:rsid w:val="006E1AF6"/>
    <w:rsid w:val="006E2A74"/>
    <w:rsid w:val="006E5DBB"/>
    <w:rsid w:val="006E65AD"/>
    <w:rsid w:val="006E7772"/>
    <w:rsid w:val="006F4C60"/>
    <w:rsid w:val="007079BB"/>
    <w:rsid w:val="00710AEB"/>
    <w:rsid w:val="00711BE8"/>
    <w:rsid w:val="00712705"/>
    <w:rsid w:val="00714719"/>
    <w:rsid w:val="00716ED4"/>
    <w:rsid w:val="00717B68"/>
    <w:rsid w:val="00725F1D"/>
    <w:rsid w:val="00726297"/>
    <w:rsid w:val="00730C30"/>
    <w:rsid w:val="00731C8C"/>
    <w:rsid w:val="0073596D"/>
    <w:rsid w:val="00744465"/>
    <w:rsid w:val="0074593A"/>
    <w:rsid w:val="0074692C"/>
    <w:rsid w:val="00753861"/>
    <w:rsid w:val="00756DB4"/>
    <w:rsid w:val="00763228"/>
    <w:rsid w:val="00770456"/>
    <w:rsid w:val="0077111D"/>
    <w:rsid w:val="00773CBE"/>
    <w:rsid w:val="00773CD6"/>
    <w:rsid w:val="00776221"/>
    <w:rsid w:val="007779C5"/>
    <w:rsid w:val="007812D2"/>
    <w:rsid w:val="0079183A"/>
    <w:rsid w:val="0079579A"/>
    <w:rsid w:val="007A09EC"/>
    <w:rsid w:val="007A4CC8"/>
    <w:rsid w:val="007A5DAA"/>
    <w:rsid w:val="007B03C1"/>
    <w:rsid w:val="007B22FE"/>
    <w:rsid w:val="007B254C"/>
    <w:rsid w:val="007B75E9"/>
    <w:rsid w:val="007C22A3"/>
    <w:rsid w:val="007C264A"/>
    <w:rsid w:val="007D3A1E"/>
    <w:rsid w:val="007D3FB2"/>
    <w:rsid w:val="007D4825"/>
    <w:rsid w:val="007E4210"/>
    <w:rsid w:val="007F089E"/>
    <w:rsid w:val="007F39D4"/>
    <w:rsid w:val="007F69B9"/>
    <w:rsid w:val="00803635"/>
    <w:rsid w:val="00803AFD"/>
    <w:rsid w:val="008063E5"/>
    <w:rsid w:val="00811FD9"/>
    <w:rsid w:val="008169AA"/>
    <w:rsid w:val="0081761D"/>
    <w:rsid w:val="0083118A"/>
    <w:rsid w:val="00831EA1"/>
    <w:rsid w:val="00832653"/>
    <w:rsid w:val="008346F2"/>
    <w:rsid w:val="00834955"/>
    <w:rsid w:val="00842F31"/>
    <w:rsid w:val="008456EB"/>
    <w:rsid w:val="0085091D"/>
    <w:rsid w:val="00851E64"/>
    <w:rsid w:val="0085377A"/>
    <w:rsid w:val="00853BC6"/>
    <w:rsid w:val="00855E22"/>
    <w:rsid w:val="00875978"/>
    <w:rsid w:val="008767A8"/>
    <w:rsid w:val="00880B93"/>
    <w:rsid w:val="00884054"/>
    <w:rsid w:val="0088528F"/>
    <w:rsid w:val="00887657"/>
    <w:rsid w:val="00891686"/>
    <w:rsid w:val="00891B5F"/>
    <w:rsid w:val="00892A7D"/>
    <w:rsid w:val="008936D6"/>
    <w:rsid w:val="00897333"/>
    <w:rsid w:val="008A2652"/>
    <w:rsid w:val="008A60AB"/>
    <w:rsid w:val="008A7454"/>
    <w:rsid w:val="008B1F2E"/>
    <w:rsid w:val="008C0575"/>
    <w:rsid w:val="008C1C07"/>
    <w:rsid w:val="008C3AB5"/>
    <w:rsid w:val="008C40E6"/>
    <w:rsid w:val="008C451D"/>
    <w:rsid w:val="008C4E45"/>
    <w:rsid w:val="008C76CA"/>
    <w:rsid w:val="008D1F15"/>
    <w:rsid w:val="008D541B"/>
    <w:rsid w:val="008E17BA"/>
    <w:rsid w:val="008E407D"/>
    <w:rsid w:val="008E68A5"/>
    <w:rsid w:val="008E7581"/>
    <w:rsid w:val="008F2059"/>
    <w:rsid w:val="008F26D4"/>
    <w:rsid w:val="008F2F05"/>
    <w:rsid w:val="008F7D32"/>
    <w:rsid w:val="00916087"/>
    <w:rsid w:val="00916123"/>
    <w:rsid w:val="0091613E"/>
    <w:rsid w:val="00917799"/>
    <w:rsid w:val="00920C52"/>
    <w:rsid w:val="00921C0A"/>
    <w:rsid w:val="00922204"/>
    <w:rsid w:val="00934923"/>
    <w:rsid w:val="00937BB0"/>
    <w:rsid w:val="00940392"/>
    <w:rsid w:val="00945377"/>
    <w:rsid w:val="00955042"/>
    <w:rsid w:val="00955F51"/>
    <w:rsid w:val="00957F8C"/>
    <w:rsid w:val="0096610D"/>
    <w:rsid w:val="0097642D"/>
    <w:rsid w:val="0098010F"/>
    <w:rsid w:val="009835C1"/>
    <w:rsid w:val="0098585C"/>
    <w:rsid w:val="00985908"/>
    <w:rsid w:val="00986ED9"/>
    <w:rsid w:val="00991335"/>
    <w:rsid w:val="009947C0"/>
    <w:rsid w:val="00996A8E"/>
    <w:rsid w:val="009A1998"/>
    <w:rsid w:val="009A40A5"/>
    <w:rsid w:val="009A7C67"/>
    <w:rsid w:val="009B2AD4"/>
    <w:rsid w:val="009B5DDB"/>
    <w:rsid w:val="009C2BBD"/>
    <w:rsid w:val="009C3952"/>
    <w:rsid w:val="009D270F"/>
    <w:rsid w:val="009D2F65"/>
    <w:rsid w:val="009E24C2"/>
    <w:rsid w:val="009E74A2"/>
    <w:rsid w:val="009F2961"/>
    <w:rsid w:val="009F5FA4"/>
    <w:rsid w:val="00A01907"/>
    <w:rsid w:val="00A04F80"/>
    <w:rsid w:val="00A05DED"/>
    <w:rsid w:val="00A06CF9"/>
    <w:rsid w:val="00A127A4"/>
    <w:rsid w:val="00A12E55"/>
    <w:rsid w:val="00A156DC"/>
    <w:rsid w:val="00A26481"/>
    <w:rsid w:val="00A31204"/>
    <w:rsid w:val="00A33157"/>
    <w:rsid w:val="00A35443"/>
    <w:rsid w:val="00A37067"/>
    <w:rsid w:val="00A41D78"/>
    <w:rsid w:val="00A42F2E"/>
    <w:rsid w:val="00A5371D"/>
    <w:rsid w:val="00A61491"/>
    <w:rsid w:val="00A616A2"/>
    <w:rsid w:val="00A62637"/>
    <w:rsid w:val="00A644DC"/>
    <w:rsid w:val="00A67635"/>
    <w:rsid w:val="00A73F75"/>
    <w:rsid w:val="00A77DED"/>
    <w:rsid w:val="00A840F7"/>
    <w:rsid w:val="00A84AFA"/>
    <w:rsid w:val="00A904C5"/>
    <w:rsid w:val="00A94825"/>
    <w:rsid w:val="00A968F9"/>
    <w:rsid w:val="00A9755E"/>
    <w:rsid w:val="00AA2213"/>
    <w:rsid w:val="00AA3D6E"/>
    <w:rsid w:val="00AA448A"/>
    <w:rsid w:val="00AA4F50"/>
    <w:rsid w:val="00AA5512"/>
    <w:rsid w:val="00AA5651"/>
    <w:rsid w:val="00AA66BB"/>
    <w:rsid w:val="00AB014E"/>
    <w:rsid w:val="00AB5644"/>
    <w:rsid w:val="00AC1157"/>
    <w:rsid w:val="00AC225B"/>
    <w:rsid w:val="00AC2949"/>
    <w:rsid w:val="00AC6E69"/>
    <w:rsid w:val="00AC7805"/>
    <w:rsid w:val="00AD22BA"/>
    <w:rsid w:val="00AD5DF4"/>
    <w:rsid w:val="00AE38E7"/>
    <w:rsid w:val="00AE3D25"/>
    <w:rsid w:val="00AE3D58"/>
    <w:rsid w:val="00AE4B31"/>
    <w:rsid w:val="00AE54C1"/>
    <w:rsid w:val="00AF0E95"/>
    <w:rsid w:val="00AF1E8B"/>
    <w:rsid w:val="00AF2B61"/>
    <w:rsid w:val="00AF4E21"/>
    <w:rsid w:val="00AF5B69"/>
    <w:rsid w:val="00AF5ECC"/>
    <w:rsid w:val="00B00182"/>
    <w:rsid w:val="00B02D3D"/>
    <w:rsid w:val="00B04F73"/>
    <w:rsid w:val="00B057DD"/>
    <w:rsid w:val="00B07141"/>
    <w:rsid w:val="00B11873"/>
    <w:rsid w:val="00B141E4"/>
    <w:rsid w:val="00B14268"/>
    <w:rsid w:val="00B23333"/>
    <w:rsid w:val="00B259A5"/>
    <w:rsid w:val="00B27A3B"/>
    <w:rsid w:val="00B301B5"/>
    <w:rsid w:val="00B31ACF"/>
    <w:rsid w:val="00B323C0"/>
    <w:rsid w:val="00B32F0A"/>
    <w:rsid w:val="00B357C2"/>
    <w:rsid w:val="00B36C79"/>
    <w:rsid w:val="00B36FE2"/>
    <w:rsid w:val="00B43C2E"/>
    <w:rsid w:val="00B4482D"/>
    <w:rsid w:val="00B4510A"/>
    <w:rsid w:val="00B47856"/>
    <w:rsid w:val="00B519EB"/>
    <w:rsid w:val="00B52A74"/>
    <w:rsid w:val="00B5732E"/>
    <w:rsid w:val="00B57BF5"/>
    <w:rsid w:val="00B62B5D"/>
    <w:rsid w:val="00B62DDC"/>
    <w:rsid w:val="00B64551"/>
    <w:rsid w:val="00B64CFF"/>
    <w:rsid w:val="00B86533"/>
    <w:rsid w:val="00B86B1C"/>
    <w:rsid w:val="00B913A5"/>
    <w:rsid w:val="00B93009"/>
    <w:rsid w:val="00BA287D"/>
    <w:rsid w:val="00BA47C6"/>
    <w:rsid w:val="00BA763C"/>
    <w:rsid w:val="00BB1BD2"/>
    <w:rsid w:val="00BB1FD9"/>
    <w:rsid w:val="00BB635D"/>
    <w:rsid w:val="00BC218F"/>
    <w:rsid w:val="00BC2D7F"/>
    <w:rsid w:val="00BC378E"/>
    <w:rsid w:val="00BC3A4C"/>
    <w:rsid w:val="00BD5A83"/>
    <w:rsid w:val="00BE3434"/>
    <w:rsid w:val="00BE477A"/>
    <w:rsid w:val="00BF1A5B"/>
    <w:rsid w:val="00BF23E5"/>
    <w:rsid w:val="00BF4222"/>
    <w:rsid w:val="00C03ABD"/>
    <w:rsid w:val="00C04D0F"/>
    <w:rsid w:val="00C0562E"/>
    <w:rsid w:val="00C065ED"/>
    <w:rsid w:val="00C07DFB"/>
    <w:rsid w:val="00C113FE"/>
    <w:rsid w:val="00C11B43"/>
    <w:rsid w:val="00C128C4"/>
    <w:rsid w:val="00C13624"/>
    <w:rsid w:val="00C13726"/>
    <w:rsid w:val="00C14123"/>
    <w:rsid w:val="00C14DEC"/>
    <w:rsid w:val="00C15240"/>
    <w:rsid w:val="00C20389"/>
    <w:rsid w:val="00C221F0"/>
    <w:rsid w:val="00C26B60"/>
    <w:rsid w:val="00C32EA9"/>
    <w:rsid w:val="00C3305E"/>
    <w:rsid w:val="00C33447"/>
    <w:rsid w:val="00C33756"/>
    <w:rsid w:val="00C37204"/>
    <w:rsid w:val="00C405BC"/>
    <w:rsid w:val="00C41234"/>
    <w:rsid w:val="00C45A86"/>
    <w:rsid w:val="00C46554"/>
    <w:rsid w:val="00C50962"/>
    <w:rsid w:val="00C50ADC"/>
    <w:rsid w:val="00C519E3"/>
    <w:rsid w:val="00C533D3"/>
    <w:rsid w:val="00C651FF"/>
    <w:rsid w:val="00C6605C"/>
    <w:rsid w:val="00C73F8F"/>
    <w:rsid w:val="00C779D4"/>
    <w:rsid w:val="00C832E5"/>
    <w:rsid w:val="00C868DF"/>
    <w:rsid w:val="00C87ACD"/>
    <w:rsid w:val="00C9028B"/>
    <w:rsid w:val="00C926ED"/>
    <w:rsid w:val="00C95799"/>
    <w:rsid w:val="00CA04AE"/>
    <w:rsid w:val="00CA5736"/>
    <w:rsid w:val="00CA74D3"/>
    <w:rsid w:val="00CA767A"/>
    <w:rsid w:val="00CB13DE"/>
    <w:rsid w:val="00CB1994"/>
    <w:rsid w:val="00CB3E0D"/>
    <w:rsid w:val="00CB6441"/>
    <w:rsid w:val="00CC63A9"/>
    <w:rsid w:val="00CD2CBA"/>
    <w:rsid w:val="00CD74A9"/>
    <w:rsid w:val="00CE2300"/>
    <w:rsid w:val="00CE4E7D"/>
    <w:rsid w:val="00CE760E"/>
    <w:rsid w:val="00CF72AE"/>
    <w:rsid w:val="00CF7585"/>
    <w:rsid w:val="00D0274C"/>
    <w:rsid w:val="00D062BF"/>
    <w:rsid w:val="00D12505"/>
    <w:rsid w:val="00D163D9"/>
    <w:rsid w:val="00D20C09"/>
    <w:rsid w:val="00D2110F"/>
    <w:rsid w:val="00D232EA"/>
    <w:rsid w:val="00D246C4"/>
    <w:rsid w:val="00D31480"/>
    <w:rsid w:val="00D36379"/>
    <w:rsid w:val="00D3713A"/>
    <w:rsid w:val="00D43537"/>
    <w:rsid w:val="00D43B26"/>
    <w:rsid w:val="00D455F0"/>
    <w:rsid w:val="00D45611"/>
    <w:rsid w:val="00D51A74"/>
    <w:rsid w:val="00D559FA"/>
    <w:rsid w:val="00D60EE1"/>
    <w:rsid w:val="00D63769"/>
    <w:rsid w:val="00D6477E"/>
    <w:rsid w:val="00D66995"/>
    <w:rsid w:val="00D71ACB"/>
    <w:rsid w:val="00D76454"/>
    <w:rsid w:val="00D77019"/>
    <w:rsid w:val="00D82F9F"/>
    <w:rsid w:val="00D84B83"/>
    <w:rsid w:val="00DA031B"/>
    <w:rsid w:val="00DA0356"/>
    <w:rsid w:val="00DA22E2"/>
    <w:rsid w:val="00DA3369"/>
    <w:rsid w:val="00DA3E2C"/>
    <w:rsid w:val="00DA5C3E"/>
    <w:rsid w:val="00DB1ACF"/>
    <w:rsid w:val="00DB7A31"/>
    <w:rsid w:val="00DC29A1"/>
    <w:rsid w:val="00DC427E"/>
    <w:rsid w:val="00DD7349"/>
    <w:rsid w:val="00DE4921"/>
    <w:rsid w:val="00DE5B3E"/>
    <w:rsid w:val="00DE674E"/>
    <w:rsid w:val="00E0218C"/>
    <w:rsid w:val="00E068E4"/>
    <w:rsid w:val="00E1318E"/>
    <w:rsid w:val="00E22DB5"/>
    <w:rsid w:val="00E24D8F"/>
    <w:rsid w:val="00E25D01"/>
    <w:rsid w:val="00E26A7C"/>
    <w:rsid w:val="00E27165"/>
    <w:rsid w:val="00E30F9D"/>
    <w:rsid w:val="00E31902"/>
    <w:rsid w:val="00E327AE"/>
    <w:rsid w:val="00E408A2"/>
    <w:rsid w:val="00E41EA0"/>
    <w:rsid w:val="00E46685"/>
    <w:rsid w:val="00E52999"/>
    <w:rsid w:val="00E53110"/>
    <w:rsid w:val="00E566A1"/>
    <w:rsid w:val="00E57E35"/>
    <w:rsid w:val="00E61B82"/>
    <w:rsid w:val="00E6241D"/>
    <w:rsid w:val="00E7062D"/>
    <w:rsid w:val="00E740C1"/>
    <w:rsid w:val="00E75FD9"/>
    <w:rsid w:val="00E8404B"/>
    <w:rsid w:val="00E8622F"/>
    <w:rsid w:val="00E86CDA"/>
    <w:rsid w:val="00E87867"/>
    <w:rsid w:val="00E87F33"/>
    <w:rsid w:val="00E90740"/>
    <w:rsid w:val="00E943EE"/>
    <w:rsid w:val="00E958EF"/>
    <w:rsid w:val="00E972EB"/>
    <w:rsid w:val="00EA00FE"/>
    <w:rsid w:val="00EA22B2"/>
    <w:rsid w:val="00EA531B"/>
    <w:rsid w:val="00EB166A"/>
    <w:rsid w:val="00EC196A"/>
    <w:rsid w:val="00EC1FCA"/>
    <w:rsid w:val="00EC26A6"/>
    <w:rsid w:val="00EC296E"/>
    <w:rsid w:val="00EC6837"/>
    <w:rsid w:val="00EC7BBE"/>
    <w:rsid w:val="00ED0A2E"/>
    <w:rsid w:val="00ED0C05"/>
    <w:rsid w:val="00ED10CB"/>
    <w:rsid w:val="00ED292B"/>
    <w:rsid w:val="00ED3871"/>
    <w:rsid w:val="00ED6564"/>
    <w:rsid w:val="00ED69D8"/>
    <w:rsid w:val="00ED72A2"/>
    <w:rsid w:val="00EE1524"/>
    <w:rsid w:val="00EE1EDB"/>
    <w:rsid w:val="00EE2C5D"/>
    <w:rsid w:val="00EE33D5"/>
    <w:rsid w:val="00EE3806"/>
    <w:rsid w:val="00EE4B86"/>
    <w:rsid w:val="00EE68DB"/>
    <w:rsid w:val="00EE7147"/>
    <w:rsid w:val="00EE7B7F"/>
    <w:rsid w:val="00EF08C9"/>
    <w:rsid w:val="00F1269D"/>
    <w:rsid w:val="00F23681"/>
    <w:rsid w:val="00F23742"/>
    <w:rsid w:val="00F273BB"/>
    <w:rsid w:val="00F27C1C"/>
    <w:rsid w:val="00F27E20"/>
    <w:rsid w:val="00F363EA"/>
    <w:rsid w:val="00F3741E"/>
    <w:rsid w:val="00F42CD0"/>
    <w:rsid w:val="00F45D1C"/>
    <w:rsid w:val="00F47030"/>
    <w:rsid w:val="00F50553"/>
    <w:rsid w:val="00F52907"/>
    <w:rsid w:val="00F52988"/>
    <w:rsid w:val="00F533BB"/>
    <w:rsid w:val="00F61A8A"/>
    <w:rsid w:val="00F638EE"/>
    <w:rsid w:val="00F7087E"/>
    <w:rsid w:val="00F72321"/>
    <w:rsid w:val="00F73DAE"/>
    <w:rsid w:val="00F761C4"/>
    <w:rsid w:val="00F820F3"/>
    <w:rsid w:val="00F82829"/>
    <w:rsid w:val="00F85303"/>
    <w:rsid w:val="00F945B8"/>
    <w:rsid w:val="00F972DE"/>
    <w:rsid w:val="00FA518D"/>
    <w:rsid w:val="00FA7226"/>
    <w:rsid w:val="00FB1FA3"/>
    <w:rsid w:val="00FB563A"/>
    <w:rsid w:val="00FB5EDA"/>
    <w:rsid w:val="00FD356F"/>
    <w:rsid w:val="00FD3F6C"/>
    <w:rsid w:val="00FE2FE4"/>
    <w:rsid w:val="00FE46C6"/>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34EF41A-1AD1-425C-A376-01016528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semiHidden/>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paragraph" w:styleId="BalloonText">
    <w:name w:val="Balloon Text"/>
    <w:basedOn w:val="Normal"/>
    <w:link w:val="BalloonTextChar"/>
    <w:semiHidden/>
    <w:unhideWhenUsed/>
    <w:rsid w:val="004463CB"/>
    <w:rPr>
      <w:rFonts w:ascii="Segoe UI" w:hAnsi="Segoe UI" w:cs="Segoe UI"/>
      <w:sz w:val="18"/>
      <w:szCs w:val="18"/>
    </w:rPr>
  </w:style>
  <w:style w:type="character" w:customStyle="1" w:styleId="BalloonTextChar">
    <w:name w:val="Balloon Text Char"/>
    <w:link w:val="BalloonText"/>
    <w:semiHidden/>
    <w:rsid w:val="004463CB"/>
    <w:rPr>
      <w:rFonts w:ascii="Segoe UI" w:hAnsi="Segoe UI" w:cs="Segoe UI"/>
      <w:sz w:val="18"/>
      <w:szCs w:val="18"/>
    </w:rPr>
  </w:style>
  <w:style w:type="character" w:customStyle="1" w:styleId="Date1">
    <w:name w:val="Date1"/>
    <w:rsid w:val="00AF1E8B"/>
  </w:style>
  <w:style w:type="paragraph" w:styleId="Revision">
    <w:name w:val="Revision"/>
    <w:hidden/>
    <w:uiPriority w:val="99"/>
    <w:semiHidden/>
    <w:rsid w:val="002569F2"/>
    <w:rPr>
      <w:sz w:val="24"/>
      <w:szCs w:val="24"/>
    </w:rPr>
  </w:style>
  <w:style w:type="paragraph" w:styleId="ListParagraph">
    <w:name w:val="List Paragraph"/>
    <w:basedOn w:val="Normal"/>
    <w:uiPriority w:val="34"/>
    <w:qFormat/>
    <w:rsid w:val="004C7E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2602">
      <w:bodyDiv w:val="1"/>
      <w:marLeft w:val="0"/>
      <w:marRight w:val="0"/>
      <w:marTop w:val="0"/>
      <w:marBottom w:val="0"/>
      <w:divBdr>
        <w:top w:val="none" w:sz="0" w:space="0" w:color="auto"/>
        <w:left w:val="none" w:sz="0" w:space="0" w:color="auto"/>
        <w:bottom w:val="none" w:sz="0" w:space="0" w:color="auto"/>
        <w:right w:val="none" w:sz="0" w:space="0" w:color="auto"/>
      </w:divBdr>
    </w:div>
    <w:div w:id="1583023668">
      <w:bodyDiv w:val="1"/>
      <w:marLeft w:val="0"/>
      <w:marRight w:val="0"/>
      <w:marTop w:val="0"/>
      <w:marBottom w:val="0"/>
      <w:divBdr>
        <w:top w:val="none" w:sz="0" w:space="0" w:color="auto"/>
        <w:left w:val="none" w:sz="0" w:space="0" w:color="auto"/>
        <w:bottom w:val="none" w:sz="0" w:space="0" w:color="auto"/>
        <w:right w:val="none" w:sz="0" w:space="0" w:color="auto"/>
      </w:divBdr>
    </w:div>
    <w:div w:id="18472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 V9</Template>
  <TotalTime>2</TotalTime>
  <Pages>20</Pages>
  <Words>8085</Words>
  <Characters>40425</Characters>
  <Application>Microsoft Office Word</Application>
  <DocSecurity>0</DocSecurity>
  <Lines>970</Lines>
  <Paragraphs>473</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48017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Steve Boyd</dc:creator>
  <cp:keywords/>
  <dc:description/>
  <cp:lastModifiedBy>McKiernan, Daniel</cp:lastModifiedBy>
  <cp:revision>2</cp:revision>
  <dcterms:created xsi:type="dcterms:W3CDTF">2023-03-09T13:16:00Z</dcterms:created>
  <dcterms:modified xsi:type="dcterms:W3CDTF">2023-03-09T13:16:00Z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15.0</vt:lpwstr>
  </property>
  <property fmtid="{D5CDD505-2E9C-101B-9397-08002B2CF9AE}" pid="4" name="SI template version">
    <vt:lpwstr>Version 9.1</vt:lpwstr>
  </property>
  <property fmtid="{D5CDD505-2E9C-101B-9397-08002B2CF9AE}" pid="5" name="InitialWordVersion">
    <vt:lpwstr>15.0</vt:lpwstr>
  </property>
  <property fmtid="{D5CDD505-2E9C-101B-9397-08002B2CF9AE}" pid="6" name="InitialOSversion">
    <vt:lpwstr>Windows NT 10.0</vt:lpwstr>
  </property>
</Properties>
</file>